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4319F" w14:textId="77777777" w:rsidR="00247BDC" w:rsidRDefault="00350BDE" w:rsidP="00CE1491">
      <w:pPr>
        <w:spacing w:line="480" w:lineRule="auto"/>
        <w:rPr>
          <w:rFonts w:ascii="Century Gothic" w:hAnsi="Century Gothic"/>
          <w:b/>
          <w:lang w:val="en-US"/>
        </w:rPr>
      </w:pPr>
      <w:r w:rsidRPr="00350BDE">
        <w:rPr>
          <w:rFonts w:ascii="Century Gothic" w:hAnsi="Century Gothic"/>
          <w:b/>
          <w:lang w:val="en-US"/>
        </w:rPr>
        <w:t>Supplementary data</w:t>
      </w:r>
    </w:p>
    <w:p w14:paraId="0C4D5691" w14:textId="77777777" w:rsidR="002A6108" w:rsidRPr="00350BDE" w:rsidRDefault="002A6108" w:rsidP="00CE1491">
      <w:pPr>
        <w:spacing w:line="480" w:lineRule="auto"/>
        <w:rPr>
          <w:rFonts w:ascii="Century Gothic" w:hAnsi="Century Gothic"/>
          <w:b/>
          <w:lang w:val="en-US"/>
        </w:rPr>
      </w:pPr>
      <w:bookmarkStart w:id="0" w:name="_GoBack"/>
      <w:bookmarkEnd w:id="0"/>
    </w:p>
    <w:p w14:paraId="71109E44" w14:textId="77777777" w:rsidR="00350BDE" w:rsidRPr="007D5353" w:rsidRDefault="007D5353" w:rsidP="00CE1491">
      <w:pPr>
        <w:spacing w:line="480" w:lineRule="auto"/>
        <w:rPr>
          <w:rFonts w:ascii="Century Gothic" w:hAnsi="Century Gothic"/>
          <w:b/>
          <w:lang w:val="en-US"/>
        </w:rPr>
      </w:pPr>
      <w:r w:rsidRPr="007D5353">
        <w:rPr>
          <w:rFonts w:ascii="Century Gothic" w:hAnsi="Century Gothic"/>
          <w:b/>
          <w:lang w:val="en-US"/>
        </w:rPr>
        <w:t xml:space="preserve">Staging </w:t>
      </w:r>
      <w:r>
        <w:rPr>
          <w:rFonts w:ascii="Century Gothic" w:hAnsi="Century Gothic"/>
          <w:b/>
          <w:lang w:val="en-US"/>
        </w:rPr>
        <w:t>work-up</w:t>
      </w:r>
    </w:p>
    <w:p w14:paraId="25947A23" w14:textId="77777777" w:rsidR="007D5353" w:rsidRDefault="007D5353" w:rsidP="00CE1491">
      <w:pPr>
        <w:spacing w:line="480" w:lineRule="auto"/>
        <w:rPr>
          <w:rFonts w:ascii="Century Gothic" w:hAnsi="Century Gothic"/>
          <w:lang w:val="en-US"/>
        </w:rPr>
      </w:pPr>
      <w:r w:rsidRPr="00FD02A4">
        <w:rPr>
          <w:rFonts w:ascii="Century Gothic" w:hAnsi="Century Gothic"/>
          <w:lang w:val="en-US"/>
        </w:rPr>
        <w:t xml:space="preserve">To be eligible for </w:t>
      </w:r>
      <w:r>
        <w:rPr>
          <w:rFonts w:ascii="Century Gothic" w:hAnsi="Century Gothic"/>
          <w:lang w:val="en-US"/>
        </w:rPr>
        <w:t>inclusion in the analysis,</w:t>
      </w:r>
      <w:r w:rsidRPr="00FD02A4">
        <w:rPr>
          <w:rFonts w:ascii="Century Gothic" w:hAnsi="Century Gothic"/>
          <w:lang w:val="en-US"/>
        </w:rPr>
        <w:t xml:space="preserve"> dogs were required to undergo a compl</w:t>
      </w:r>
      <w:r>
        <w:rPr>
          <w:rFonts w:ascii="Century Gothic" w:hAnsi="Century Gothic"/>
          <w:lang w:val="en-US"/>
        </w:rPr>
        <w:t>ete initial staging work-up</w:t>
      </w:r>
      <w:r w:rsidRPr="00FD02A4">
        <w:rPr>
          <w:rFonts w:ascii="Century Gothic" w:hAnsi="Century Gothic"/>
          <w:lang w:val="en-US"/>
        </w:rPr>
        <w:t>, consisting of history and physical examination, complete blood cell count with differential, serum biochemistry profile</w:t>
      </w:r>
      <w:r>
        <w:rPr>
          <w:rFonts w:ascii="Century Gothic" w:hAnsi="Century Gothic"/>
          <w:lang w:val="en-US"/>
        </w:rPr>
        <w:t xml:space="preserve"> including LDH</w:t>
      </w:r>
      <w:r w:rsidRPr="00FD02A4">
        <w:rPr>
          <w:rFonts w:ascii="Century Gothic" w:hAnsi="Century Gothic"/>
          <w:lang w:val="en-US"/>
        </w:rPr>
        <w:t>, thoracic radiographs, abdominal ultrasound, cytological evaluation of liver and spleen regardless of their sonographic appearance, FC</w:t>
      </w:r>
      <w:r>
        <w:rPr>
          <w:rFonts w:ascii="Century Gothic" w:hAnsi="Century Gothic"/>
          <w:lang w:val="en-US"/>
        </w:rPr>
        <w:t xml:space="preserve"> on LN, PB and BM, and, whenever possible, being compatible with the dogs’ condition and owners’ compliance, </w:t>
      </w:r>
      <w:r w:rsidRPr="00FD02A4">
        <w:rPr>
          <w:rFonts w:ascii="Century Gothic" w:hAnsi="Century Gothic"/>
          <w:lang w:val="en-US"/>
        </w:rPr>
        <w:t>surgical removal of a peripheral LN to obtain a histopathological diagnosis</w:t>
      </w:r>
      <w:r>
        <w:rPr>
          <w:rFonts w:ascii="Century Gothic" w:hAnsi="Century Gothic"/>
          <w:lang w:val="en-US"/>
        </w:rPr>
        <w:t xml:space="preserve"> and material for the vaccine generation.</w:t>
      </w:r>
    </w:p>
    <w:p w14:paraId="4C1E45B0" w14:textId="77777777" w:rsidR="007D5353" w:rsidRDefault="007D5353" w:rsidP="00CE1491">
      <w:pPr>
        <w:spacing w:line="480" w:lineRule="auto"/>
        <w:rPr>
          <w:rFonts w:ascii="Century Gothic" w:hAnsi="Century Gothic"/>
          <w:lang w:val="en-US"/>
        </w:rPr>
      </w:pPr>
    </w:p>
    <w:p w14:paraId="40645AE3" w14:textId="77777777" w:rsidR="007D5353" w:rsidRPr="00E404A8" w:rsidRDefault="007D5353" w:rsidP="007D5353">
      <w:pPr>
        <w:spacing w:line="480" w:lineRule="auto"/>
        <w:ind w:right="701"/>
        <w:jc w:val="both"/>
        <w:rPr>
          <w:rFonts w:ascii="Century Gothic" w:hAnsi="Century Gothic"/>
          <w:b/>
          <w:lang w:val="en-US"/>
        </w:rPr>
      </w:pPr>
      <w:r w:rsidRPr="00E404A8">
        <w:rPr>
          <w:rFonts w:ascii="Century Gothic" w:hAnsi="Century Gothic"/>
          <w:b/>
          <w:lang w:val="en-US"/>
        </w:rPr>
        <w:t>Autologous vaccine preparation</w:t>
      </w:r>
    </w:p>
    <w:p w14:paraId="64FF8A28" w14:textId="77777777" w:rsidR="007D5353" w:rsidRPr="00863EE2" w:rsidRDefault="007D5353" w:rsidP="007D5353">
      <w:pPr>
        <w:spacing w:line="480" w:lineRule="auto"/>
        <w:ind w:right="701"/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I</w:t>
      </w:r>
      <w:r w:rsidRPr="00863EE2">
        <w:rPr>
          <w:rFonts w:ascii="Century Gothic" w:hAnsi="Century Gothic"/>
          <w:lang w:val="en-US"/>
        </w:rPr>
        <w:t xml:space="preserve">ntracellular proteins were extracted from the tumor sample by </w:t>
      </w:r>
      <w:proofErr w:type="spellStart"/>
      <w:r w:rsidRPr="00863EE2">
        <w:rPr>
          <w:rFonts w:ascii="Century Gothic" w:hAnsi="Century Gothic"/>
          <w:lang w:val="en-US"/>
        </w:rPr>
        <w:t>homogenisation</w:t>
      </w:r>
      <w:proofErr w:type="spellEnd"/>
      <w:r w:rsidRPr="00863EE2">
        <w:rPr>
          <w:rFonts w:ascii="Century Gothic" w:hAnsi="Century Gothic"/>
          <w:lang w:val="en-US"/>
        </w:rPr>
        <w:t xml:space="preserve"> and centrifugation (5000g for 10 </w:t>
      </w:r>
      <w:proofErr w:type="spellStart"/>
      <w:r w:rsidRPr="00863EE2">
        <w:rPr>
          <w:rFonts w:ascii="Century Gothic" w:hAnsi="Century Gothic"/>
          <w:lang w:val="en-US"/>
        </w:rPr>
        <w:t>mn</w:t>
      </w:r>
      <w:proofErr w:type="spellEnd"/>
      <w:r w:rsidRPr="00863EE2">
        <w:rPr>
          <w:rFonts w:ascii="Century Gothic" w:hAnsi="Century Gothic"/>
          <w:lang w:val="en-US"/>
        </w:rPr>
        <w:t xml:space="preserve">) to remove cell debris. The supernatant was then diluted in a supersaturated ammonium sulfate solution (50/50 v/v). The proteins were precipitated for 1h at 4°C, then the solution was centrifuged at 5000g (30 </w:t>
      </w:r>
      <w:proofErr w:type="spellStart"/>
      <w:r w:rsidRPr="00863EE2">
        <w:rPr>
          <w:rFonts w:ascii="Century Gothic" w:hAnsi="Century Gothic"/>
          <w:lang w:val="en-US"/>
        </w:rPr>
        <w:t>mn</w:t>
      </w:r>
      <w:proofErr w:type="spellEnd"/>
      <w:r w:rsidRPr="00863EE2">
        <w:rPr>
          <w:rFonts w:ascii="Century Gothic" w:hAnsi="Century Gothic"/>
          <w:lang w:val="en-US"/>
        </w:rPr>
        <w:t xml:space="preserve">). The clot was re-suspended in a phosphate buffer (pH 6.8, 20mM). Then, this solution was passed through a column containing hydroxyapatite powder (350 mg). The powder was washed using a phosphate buffer solution (pH 6.8, 20 </w:t>
      </w:r>
      <w:proofErr w:type="spellStart"/>
      <w:r w:rsidRPr="00863EE2">
        <w:rPr>
          <w:rFonts w:ascii="Century Gothic" w:hAnsi="Century Gothic"/>
          <w:lang w:val="en-US"/>
        </w:rPr>
        <w:t>mM</w:t>
      </w:r>
      <w:proofErr w:type="spellEnd"/>
      <w:r w:rsidRPr="00863EE2">
        <w:rPr>
          <w:rFonts w:ascii="Century Gothic" w:hAnsi="Century Gothic"/>
          <w:lang w:val="en-US"/>
        </w:rPr>
        <w:t xml:space="preserve">). Finally, the powder was suspended in a 2% </w:t>
      </w:r>
      <w:proofErr w:type="spellStart"/>
      <w:r w:rsidRPr="00863EE2">
        <w:rPr>
          <w:rFonts w:ascii="Century Gothic" w:hAnsi="Century Gothic"/>
          <w:lang w:val="en-US"/>
        </w:rPr>
        <w:t>carboxymethyl</w:t>
      </w:r>
      <w:proofErr w:type="spellEnd"/>
      <w:r w:rsidRPr="00863EE2">
        <w:rPr>
          <w:rFonts w:ascii="Century Gothic" w:hAnsi="Century Gothic"/>
          <w:lang w:val="en-US"/>
        </w:rPr>
        <w:t xml:space="preserve"> cellulose solution and divided in 8 syringes of 1 ml each. Each dose of vaccine contained 0.5 ml </w:t>
      </w:r>
      <w:proofErr w:type="spellStart"/>
      <w:r w:rsidRPr="00863EE2">
        <w:rPr>
          <w:rFonts w:ascii="Century Gothic" w:hAnsi="Century Gothic"/>
          <w:lang w:val="en-US"/>
        </w:rPr>
        <w:lastRenderedPageBreak/>
        <w:t>NaCl</w:t>
      </w:r>
      <w:proofErr w:type="spellEnd"/>
      <w:r w:rsidRPr="00863EE2">
        <w:rPr>
          <w:rFonts w:ascii="Century Gothic" w:hAnsi="Century Gothic"/>
          <w:lang w:val="en-US"/>
        </w:rPr>
        <w:t xml:space="preserve">, 0.02M (pH 6.8, 20 </w:t>
      </w:r>
      <w:proofErr w:type="spellStart"/>
      <w:r w:rsidRPr="00863EE2">
        <w:rPr>
          <w:rFonts w:ascii="Century Gothic" w:hAnsi="Century Gothic"/>
          <w:lang w:val="en-US"/>
        </w:rPr>
        <w:t>mM</w:t>
      </w:r>
      <w:proofErr w:type="spellEnd"/>
      <w:r w:rsidRPr="00863EE2">
        <w:rPr>
          <w:rFonts w:ascii="Century Gothic" w:hAnsi="Century Gothic"/>
          <w:lang w:val="en-US"/>
        </w:rPr>
        <w:t xml:space="preserve">) </w:t>
      </w:r>
      <w:proofErr w:type="spellStart"/>
      <w:r w:rsidRPr="00863EE2">
        <w:rPr>
          <w:rFonts w:ascii="Century Gothic" w:hAnsi="Century Gothic"/>
          <w:lang w:val="en-US"/>
        </w:rPr>
        <w:t>carboxymethylcellulose</w:t>
      </w:r>
      <w:proofErr w:type="spellEnd"/>
      <w:r w:rsidRPr="00863EE2">
        <w:rPr>
          <w:rFonts w:ascii="Century Gothic" w:hAnsi="Century Gothic"/>
          <w:lang w:val="en-US"/>
        </w:rPr>
        <w:t xml:space="preserve"> 2%, </w:t>
      </w:r>
      <w:proofErr w:type="gramStart"/>
      <w:r w:rsidRPr="00863EE2">
        <w:rPr>
          <w:rFonts w:ascii="Century Gothic" w:hAnsi="Century Gothic"/>
          <w:lang w:val="en-US"/>
        </w:rPr>
        <w:t>41 mg hydroxyapatite powder, &lt;1500 µg HSP.</w:t>
      </w:r>
      <w:proofErr w:type="gramEnd"/>
    </w:p>
    <w:p w14:paraId="3A641C9D" w14:textId="77777777" w:rsidR="007D5353" w:rsidRDefault="007D5353" w:rsidP="007D5353">
      <w:pPr>
        <w:spacing w:line="480" w:lineRule="auto"/>
        <w:ind w:right="701"/>
        <w:jc w:val="both"/>
        <w:rPr>
          <w:rFonts w:ascii="Century Gothic" w:hAnsi="Century Gothic"/>
          <w:lang w:val="en-US"/>
        </w:rPr>
      </w:pPr>
      <w:r w:rsidRPr="0073245B">
        <w:rPr>
          <w:rFonts w:ascii="Century Gothic" w:hAnsi="Century Gothic"/>
          <w:lang w:val="en-US"/>
        </w:rPr>
        <w:t xml:space="preserve">Quality controls included SDS page and dot blot. For SDS page, the proteins were recovered from the powder by washing 10 </w:t>
      </w:r>
      <w:proofErr w:type="spellStart"/>
      <w:r w:rsidRPr="0073245B">
        <w:rPr>
          <w:rFonts w:ascii="Century Gothic" w:hAnsi="Century Gothic"/>
          <w:lang w:val="en-US"/>
        </w:rPr>
        <w:t>mgrs</w:t>
      </w:r>
      <w:proofErr w:type="spellEnd"/>
      <w:r w:rsidRPr="0073245B">
        <w:rPr>
          <w:rFonts w:ascii="Century Gothic" w:hAnsi="Century Gothic"/>
          <w:lang w:val="en-US"/>
        </w:rPr>
        <w:t xml:space="preserve"> of vaccine powders in 0.5 ml of a 0.5 M </w:t>
      </w:r>
      <w:proofErr w:type="spellStart"/>
      <w:r w:rsidRPr="0073245B">
        <w:rPr>
          <w:rFonts w:ascii="Century Gothic" w:hAnsi="Century Gothic"/>
          <w:lang w:val="en-US"/>
        </w:rPr>
        <w:t>NaCl</w:t>
      </w:r>
      <w:proofErr w:type="spellEnd"/>
      <w:r w:rsidRPr="0073245B">
        <w:rPr>
          <w:rFonts w:ascii="Century Gothic" w:hAnsi="Century Gothic"/>
          <w:lang w:val="en-US"/>
        </w:rPr>
        <w:t xml:space="preserve"> solution. The SDS was then made using </w:t>
      </w:r>
      <w:proofErr w:type="spellStart"/>
      <w:r w:rsidRPr="0073245B">
        <w:rPr>
          <w:rFonts w:ascii="Century Gothic" w:hAnsi="Century Gothic"/>
          <w:lang w:val="en-US"/>
        </w:rPr>
        <w:t>tris</w:t>
      </w:r>
      <w:proofErr w:type="spellEnd"/>
      <w:r w:rsidRPr="0073245B">
        <w:rPr>
          <w:rFonts w:ascii="Century Gothic" w:hAnsi="Century Gothic"/>
          <w:lang w:val="en-US"/>
        </w:rPr>
        <w:t xml:space="preserve">-glycine gels (in </w:t>
      </w:r>
      <w:proofErr w:type="spellStart"/>
      <w:r w:rsidRPr="0073245B">
        <w:rPr>
          <w:rFonts w:ascii="Century Gothic" w:hAnsi="Century Gothic"/>
          <w:lang w:val="en-US"/>
        </w:rPr>
        <w:t>vitrogen</w:t>
      </w:r>
      <w:proofErr w:type="spellEnd"/>
      <w:r w:rsidRPr="0073245B">
        <w:rPr>
          <w:rFonts w:ascii="Century Gothic" w:hAnsi="Century Gothic"/>
          <w:lang w:val="en-US"/>
        </w:rPr>
        <w:t>) according to manufacturer</w:t>
      </w:r>
      <w:r>
        <w:rPr>
          <w:rFonts w:ascii="Century Gothic" w:hAnsi="Century Gothic"/>
          <w:lang w:val="en-US"/>
        </w:rPr>
        <w:t>’s</w:t>
      </w:r>
      <w:r w:rsidRPr="0073245B">
        <w:rPr>
          <w:rFonts w:ascii="Century Gothic" w:hAnsi="Century Gothic"/>
          <w:lang w:val="en-US"/>
        </w:rPr>
        <w:t xml:space="preserve"> instructions. For dot blot, 10 µl of the vaccine solution </w:t>
      </w:r>
      <w:r>
        <w:rPr>
          <w:rFonts w:ascii="Century Gothic" w:hAnsi="Century Gothic"/>
          <w:lang w:val="en-US"/>
        </w:rPr>
        <w:t>were</w:t>
      </w:r>
      <w:r w:rsidRPr="0073245B">
        <w:rPr>
          <w:rFonts w:ascii="Century Gothic" w:hAnsi="Century Gothic"/>
          <w:lang w:val="en-US"/>
        </w:rPr>
        <w:t xml:space="preserve"> deposited on a nitrocellulose membrane and allowed to dry </w:t>
      </w:r>
      <w:r>
        <w:rPr>
          <w:rFonts w:ascii="Century Gothic" w:hAnsi="Century Gothic"/>
          <w:lang w:val="en-US"/>
        </w:rPr>
        <w:t>at</w:t>
      </w:r>
      <w:r w:rsidRPr="0073245B">
        <w:rPr>
          <w:rFonts w:ascii="Century Gothic" w:hAnsi="Century Gothic"/>
          <w:lang w:val="en-US"/>
        </w:rPr>
        <w:t xml:space="preserve"> open air. After drying, the membrane </w:t>
      </w:r>
      <w:r>
        <w:rPr>
          <w:rFonts w:ascii="Century Gothic" w:hAnsi="Century Gothic"/>
          <w:lang w:val="en-US"/>
        </w:rPr>
        <w:t>was</w:t>
      </w:r>
      <w:r w:rsidRPr="0073245B">
        <w:rPr>
          <w:rFonts w:ascii="Century Gothic" w:hAnsi="Century Gothic"/>
          <w:lang w:val="en-US"/>
        </w:rPr>
        <w:t xml:space="preserve"> washed with a blocking solution (1% BSA in PBS) and then with a </w:t>
      </w:r>
      <w:proofErr w:type="spellStart"/>
      <w:r w:rsidRPr="0073245B">
        <w:rPr>
          <w:rFonts w:ascii="Century Gothic" w:hAnsi="Century Gothic"/>
          <w:lang w:val="en-US"/>
        </w:rPr>
        <w:t>Tris</w:t>
      </w:r>
      <w:proofErr w:type="spellEnd"/>
      <w:r w:rsidRPr="0073245B">
        <w:rPr>
          <w:rFonts w:ascii="Century Gothic" w:hAnsi="Century Gothic"/>
          <w:lang w:val="en-US"/>
        </w:rPr>
        <w:t xml:space="preserve"> buffer solution (pH 7.4) containing 0.5% tween detergent 20. The membrane </w:t>
      </w:r>
      <w:r>
        <w:rPr>
          <w:rFonts w:ascii="Century Gothic" w:hAnsi="Century Gothic"/>
          <w:lang w:val="en-US"/>
        </w:rPr>
        <w:t>was</w:t>
      </w:r>
      <w:r w:rsidRPr="0073245B">
        <w:rPr>
          <w:rFonts w:ascii="Century Gothic" w:hAnsi="Century Gothic"/>
          <w:lang w:val="en-US"/>
        </w:rPr>
        <w:t xml:space="preserve"> then incubated with the primary antibody for one hour at room temperature (anti-gp96, anti-HSP70, </w:t>
      </w:r>
      <w:proofErr w:type="spellStart"/>
      <w:r w:rsidRPr="0073245B">
        <w:rPr>
          <w:rFonts w:ascii="Century Gothic" w:hAnsi="Century Gothic"/>
          <w:lang w:val="en-US"/>
        </w:rPr>
        <w:t>stressgen</w:t>
      </w:r>
      <w:proofErr w:type="spellEnd"/>
      <w:r w:rsidRPr="0073245B">
        <w:rPr>
          <w:rFonts w:ascii="Century Gothic" w:hAnsi="Century Gothic"/>
          <w:lang w:val="en-US"/>
        </w:rPr>
        <w:t xml:space="preserve">-US) before being washed in the same buffer. The membrane </w:t>
      </w:r>
      <w:r>
        <w:rPr>
          <w:rFonts w:ascii="Century Gothic" w:hAnsi="Century Gothic"/>
          <w:lang w:val="en-US"/>
        </w:rPr>
        <w:t>was</w:t>
      </w:r>
      <w:r w:rsidRPr="0073245B">
        <w:rPr>
          <w:rFonts w:ascii="Century Gothic" w:hAnsi="Century Gothic"/>
          <w:lang w:val="en-US"/>
        </w:rPr>
        <w:t xml:space="preserve"> incubated for 30 minutes with the secondary antibody labeled with an alkaline phosphatase and then washed with the buffer before adding an alkaline phosphatase developer.</w:t>
      </w:r>
    </w:p>
    <w:p w14:paraId="2DAA8515" w14:textId="77777777" w:rsidR="007D5353" w:rsidRDefault="007D5353" w:rsidP="007D5353">
      <w:pPr>
        <w:spacing w:line="480" w:lineRule="auto"/>
        <w:ind w:right="701"/>
        <w:jc w:val="both"/>
        <w:rPr>
          <w:rFonts w:ascii="Century Gothic" w:hAnsi="Century Gothic"/>
          <w:lang w:val="en-US"/>
        </w:rPr>
      </w:pPr>
    </w:p>
    <w:p w14:paraId="11FD2BDB" w14:textId="77777777" w:rsidR="004D3EB3" w:rsidRDefault="004D3EB3" w:rsidP="007D5353">
      <w:pPr>
        <w:spacing w:line="480" w:lineRule="auto"/>
        <w:ind w:right="701"/>
        <w:jc w:val="both"/>
        <w:rPr>
          <w:rFonts w:ascii="Century Gothic" w:hAnsi="Century Gothic"/>
          <w:lang w:val="en-US"/>
        </w:rPr>
      </w:pPr>
    </w:p>
    <w:p w14:paraId="388818B9" w14:textId="3F820773" w:rsidR="004D3EB3" w:rsidRPr="004D3EB3" w:rsidRDefault="004D3EB3" w:rsidP="007D5353">
      <w:pPr>
        <w:spacing w:line="480" w:lineRule="auto"/>
        <w:ind w:right="701"/>
        <w:jc w:val="both"/>
        <w:rPr>
          <w:rFonts w:ascii="Century Gothic" w:hAnsi="Century Gothic"/>
          <w:b/>
          <w:lang w:val="en-US"/>
        </w:rPr>
      </w:pPr>
      <w:r w:rsidRPr="004D3EB3">
        <w:rPr>
          <w:rFonts w:ascii="Century Gothic" w:hAnsi="Century Gothic"/>
          <w:b/>
          <w:lang w:val="en-US"/>
        </w:rPr>
        <w:t>Immunological monitoring</w:t>
      </w:r>
    </w:p>
    <w:p w14:paraId="2A3290A8" w14:textId="77777777" w:rsidR="004D3EB3" w:rsidRPr="00DB0741" w:rsidRDefault="004D3EB3" w:rsidP="004D3EB3">
      <w:pPr>
        <w:spacing w:line="480" w:lineRule="auto"/>
        <w:ind w:right="701"/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For immunological monitoring, t</w:t>
      </w:r>
      <w:r w:rsidRPr="00DB0741">
        <w:rPr>
          <w:rFonts w:ascii="Century Gothic" w:hAnsi="Century Gothic"/>
          <w:lang w:val="en-US"/>
        </w:rPr>
        <w:t xml:space="preserve">he DTH </w:t>
      </w:r>
      <w:r>
        <w:rPr>
          <w:rFonts w:ascii="Century Gothic" w:hAnsi="Century Gothic"/>
          <w:lang w:val="en-US"/>
        </w:rPr>
        <w:t xml:space="preserve">skin </w:t>
      </w:r>
      <w:r w:rsidRPr="00DB0741">
        <w:rPr>
          <w:rFonts w:ascii="Century Gothic" w:hAnsi="Century Gothic"/>
          <w:lang w:val="en-US"/>
        </w:rPr>
        <w:t>test was perf</w:t>
      </w:r>
      <w:r>
        <w:rPr>
          <w:rFonts w:ascii="Century Gothic" w:hAnsi="Century Gothic"/>
          <w:lang w:val="en-US"/>
        </w:rPr>
        <w:t xml:space="preserve">ormed in all vaccinated dogs at the end of treatment and </w:t>
      </w:r>
      <w:proofErr w:type="gramStart"/>
      <w:r>
        <w:rPr>
          <w:rFonts w:ascii="Century Gothic" w:hAnsi="Century Gothic"/>
          <w:lang w:val="en-US"/>
        </w:rPr>
        <w:t xml:space="preserve">the results were read </w:t>
      </w:r>
      <w:r w:rsidRPr="00DB0741">
        <w:rPr>
          <w:rFonts w:ascii="Century Gothic" w:hAnsi="Century Gothic"/>
          <w:lang w:val="en-US"/>
        </w:rPr>
        <w:t xml:space="preserve">by a trained </w:t>
      </w:r>
      <w:r>
        <w:rPr>
          <w:rFonts w:ascii="Century Gothic" w:hAnsi="Century Gothic"/>
          <w:lang w:val="en-US"/>
        </w:rPr>
        <w:t>veterinarian</w:t>
      </w:r>
      <w:proofErr w:type="gramEnd"/>
      <w:r w:rsidRPr="00DB0741">
        <w:rPr>
          <w:rFonts w:ascii="Century Gothic" w:hAnsi="Century Gothic"/>
          <w:lang w:val="en-US"/>
        </w:rPr>
        <w:t xml:space="preserve">. </w:t>
      </w:r>
      <w:r w:rsidRPr="00067BCE">
        <w:rPr>
          <w:rFonts w:ascii="Century Gothic" w:hAnsi="Century Gothic"/>
          <w:lang w:val="en-US"/>
        </w:rPr>
        <w:t>Briefly, the tumor extract to be injected in the dermis for</w:t>
      </w:r>
      <w:r>
        <w:rPr>
          <w:rFonts w:ascii="Century Gothic" w:hAnsi="Century Gothic"/>
          <w:lang w:val="en-US"/>
        </w:rPr>
        <w:t xml:space="preserve"> </w:t>
      </w:r>
      <w:r w:rsidRPr="00067BCE">
        <w:rPr>
          <w:rFonts w:ascii="Century Gothic" w:hAnsi="Century Gothic"/>
          <w:lang w:val="en-US"/>
        </w:rPr>
        <w:t xml:space="preserve">DTH skin test was prepared as follows: 100 mL of the </w:t>
      </w:r>
      <w:r>
        <w:rPr>
          <w:rFonts w:ascii="Century Gothic" w:hAnsi="Century Gothic"/>
          <w:lang w:val="en-US"/>
        </w:rPr>
        <w:t xml:space="preserve">autologous tumor </w:t>
      </w:r>
      <w:r w:rsidRPr="00067BCE">
        <w:rPr>
          <w:rFonts w:ascii="Century Gothic" w:hAnsi="Century Gothic"/>
          <w:lang w:val="en-US"/>
        </w:rPr>
        <w:t>homogenate was diluted in 0.5 mL</w:t>
      </w:r>
      <w:r>
        <w:rPr>
          <w:rFonts w:ascii="Century Gothic" w:hAnsi="Century Gothic"/>
          <w:lang w:val="en-US"/>
        </w:rPr>
        <w:t xml:space="preserve"> </w:t>
      </w:r>
      <w:r w:rsidRPr="00067BCE">
        <w:rPr>
          <w:rFonts w:ascii="Century Gothic" w:hAnsi="Century Gothic"/>
          <w:lang w:val="en-US"/>
        </w:rPr>
        <w:t xml:space="preserve">of a CMC solution (2% in 20 </w:t>
      </w:r>
      <w:proofErr w:type="spellStart"/>
      <w:r w:rsidRPr="00067BCE">
        <w:rPr>
          <w:rFonts w:ascii="Century Gothic" w:hAnsi="Century Gothic"/>
          <w:lang w:val="en-US"/>
        </w:rPr>
        <w:t>mmol</w:t>
      </w:r>
      <w:proofErr w:type="spellEnd"/>
      <w:r w:rsidRPr="00067BCE">
        <w:rPr>
          <w:rFonts w:ascii="Century Gothic" w:hAnsi="Century Gothic"/>
          <w:lang w:val="en-US"/>
        </w:rPr>
        <w:t xml:space="preserve">/L </w:t>
      </w:r>
      <w:proofErr w:type="spellStart"/>
      <w:r w:rsidRPr="00067BCE">
        <w:rPr>
          <w:rFonts w:ascii="Century Gothic" w:hAnsi="Century Gothic"/>
          <w:lang w:val="en-US"/>
        </w:rPr>
        <w:t>NaCl</w:t>
      </w:r>
      <w:proofErr w:type="spellEnd"/>
      <w:r w:rsidRPr="00067BCE">
        <w:rPr>
          <w:rFonts w:ascii="Century Gothic" w:hAnsi="Century Gothic"/>
          <w:lang w:val="en-US"/>
        </w:rPr>
        <w:t xml:space="preserve">); 0.1 mL of </w:t>
      </w:r>
      <w:r>
        <w:rPr>
          <w:rFonts w:ascii="Century Gothic" w:hAnsi="Century Gothic"/>
          <w:lang w:val="en-US"/>
        </w:rPr>
        <w:t xml:space="preserve">the </w:t>
      </w:r>
      <w:r w:rsidRPr="00067BCE">
        <w:rPr>
          <w:rFonts w:ascii="Century Gothic" w:hAnsi="Century Gothic"/>
          <w:lang w:val="en-US"/>
        </w:rPr>
        <w:t xml:space="preserve">solution </w:t>
      </w:r>
      <w:r>
        <w:rPr>
          <w:rFonts w:ascii="Century Gothic" w:hAnsi="Century Gothic"/>
          <w:lang w:val="en-US"/>
        </w:rPr>
        <w:t xml:space="preserve">obtained </w:t>
      </w:r>
      <w:r w:rsidRPr="00067BCE">
        <w:rPr>
          <w:rFonts w:ascii="Century Gothic" w:hAnsi="Century Gothic"/>
          <w:lang w:val="en-US"/>
        </w:rPr>
        <w:t xml:space="preserve">was </w:t>
      </w:r>
      <w:r>
        <w:rPr>
          <w:rFonts w:ascii="Century Gothic" w:hAnsi="Century Gothic"/>
          <w:lang w:val="en-US"/>
        </w:rPr>
        <w:t xml:space="preserve">injected </w:t>
      </w:r>
      <w:proofErr w:type="spellStart"/>
      <w:r>
        <w:rPr>
          <w:rFonts w:ascii="Century Gothic" w:hAnsi="Century Gothic"/>
          <w:lang w:val="en-US"/>
        </w:rPr>
        <w:t>intradermally</w:t>
      </w:r>
      <w:proofErr w:type="spellEnd"/>
      <w:r>
        <w:rPr>
          <w:rFonts w:ascii="Century Gothic" w:hAnsi="Century Gothic"/>
          <w:lang w:val="en-US"/>
        </w:rPr>
        <w:t xml:space="preserve"> into a different site from the vaccination site. </w:t>
      </w:r>
      <w:r w:rsidRPr="00DB0741">
        <w:rPr>
          <w:rFonts w:ascii="Century Gothic" w:hAnsi="Century Gothic"/>
          <w:lang w:val="en-US"/>
        </w:rPr>
        <w:t>The presence of</w:t>
      </w:r>
      <w:r>
        <w:rPr>
          <w:rFonts w:ascii="Century Gothic" w:hAnsi="Century Gothic"/>
          <w:lang w:val="en-US"/>
        </w:rPr>
        <w:t xml:space="preserve"> </w:t>
      </w:r>
      <w:r w:rsidRPr="00DB0741">
        <w:rPr>
          <w:rFonts w:ascii="Century Gothic" w:hAnsi="Century Gothic"/>
          <w:lang w:val="en-US"/>
        </w:rPr>
        <w:t>erythema or induration was recorded 24 and 48 h after the</w:t>
      </w:r>
      <w:r>
        <w:rPr>
          <w:rFonts w:ascii="Century Gothic" w:hAnsi="Century Gothic"/>
          <w:lang w:val="en-US"/>
        </w:rPr>
        <w:t xml:space="preserve"> </w:t>
      </w:r>
      <w:r w:rsidRPr="00DB0741">
        <w:rPr>
          <w:rFonts w:ascii="Century Gothic" w:hAnsi="Century Gothic"/>
          <w:lang w:val="en-US"/>
        </w:rPr>
        <w:t>injection. The test was considered positive if the area of</w:t>
      </w:r>
      <w:r>
        <w:rPr>
          <w:rFonts w:ascii="Century Gothic" w:hAnsi="Century Gothic"/>
          <w:lang w:val="en-US"/>
        </w:rPr>
        <w:t xml:space="preserve"> </w:t>
      </w:r>
      <w:r w:rsidRPr="00DB0741">
        <w:rPr>
          <w:rFonts w:ascii="Century Gothic" w:hAnsi="Century Gothic"/>
          <w:lang w:val="en-US"/>
        </w:rPr>
        <w:t>induration and/or erythema was more than 10</w:t>
      </w:r>
      <w:r>
        <w:rPr>
          <w:rFonts w:ascii="Century Gothic" w:hAnsi="Century Gothic"/>
          <w:lang w:val="en-US"/>
        </w:rPr>
        <w:t xml:space="preserve"> </w:t>
      </w:r>
      <w:r w:rsidRPr="00DB0741">
        <w:rPr>
          <w:rFonts w:ascii="Century Gothic" w:hAnsi="Century Gothic"/>
          <w:lang w:val="en-US"/>
        </w:rPr>
        <w:t>mm in</w:t>
      </w:r>
      <w:r>
        <w:rPr>
          <w:rFonts w:ascii="Century Gothic" w:hAnsi="Century Gothic"/>
          <w:lang w:val="en-US"/>
        </w:rPr>
        <w:t xml:space="preserve"> </w:t>
      </w:r>
      <w:r w:rsidRPr="00DB0741">
        <w:rPr>
          <w:rFonts w:ascii="Century Gothic" w:hAnsi="Century Gothic"/>
          <w:lang w:val="en-US"/>
        </w:rPr>
        <w:t>diameter.</w:t>
      </w:r>
    </w:p>
    <w:p w14:paraId="58293278" w14:textId="77777777" w:rsidR="004D3EB3" w:rsidRDefault="004D3EB3" w:rsidP="007D5353">
      <w:pPr>
        <w:spacing w:line="480" w:lineRule="auto"/>
        <w:ind w:right="701"/>
        <w:jc w:val="both"/>
        <w:rPr>
          <w:rFonts w:ascii="Century Gothic" w:hAnsi="Century Gothic"/>
          <w:lang w:val="en-US"/>
        </w:rPr>
      </w:pPr>
    </w:p>
    <w:p w14:paraId="01C04C80" w14:textId="77777777" w:rsidR="007D5353" w:rsidRDefault="007D5353" w:rsidP="00CE1491">
      <w:pPr>
        <w:spacing w:line="480" w:lineRule="auto"/>
        <w:rPr>
          <w:rFonts w:ascii="Century Gothic" w:hAnsi="Century Gothic"/>
          <w:lang w:val="en-US"/>
        </w:rPr>
      </w:pPr>
    </w:p>
    <w:p w14:paraId="4943841F" w14:textId="77777777" w:rsidR="007D5353" w:rsidRPr="00350BDE" w:rsidRDefault="007D5353" w:rsidP="00CE1491">
      <w:pPr>
        <w:spacing w:line="480" w:lineRule="auto"/>
        <w:rPr>
          <w:rFonts w:ascii="Century Gothic" w:hAnsi="Century Gothic"/>
          <w:lang w:val="en-US"/>
        </w:rPr>
      </w:pPr>
    </w:p>
    <w:p w14:paraId="3E3066E4" w14:textId="77777777" w:rsidR="00350BDE" w:rsidRPr="00350BDE" w:rsidRDefault="00350BDE" w:rsidP="00CE1491">
      <w:pPr>
        <w:spacing w:line="480" w:lineRule="auto"/>
        <w:rPr>
          <w:rFonts w:ascii="Century Gothic" w:hAnsi="Century Gothic"/>
          <w:b/>
          <w:lang w:val="en-US"/>
        </w:rPr>
      </w:pPr>
      <w:r w:rsidRPr="00350BDE">
        <w:rPr>
          <w:rFonts w:ascii="Century Gothic" w:hAnsi="Century Gothic"/>
          <w:b/>
          <w:lang w:val="en-US"/>
        </w:rPr>
        <w:t>CHOP-based protocols administered to unvaccinated dogs</w:t>
      </w:r>
    </w:p>
    <w:p w14:paraId="61E80A33" w14:textId="77777777" w:rsidR="00350BDE" w:rsidRDefault="00350BDE" w:rsidP="00CE1491">
      <w:pPr>
        <w:spacing w:line="480" w:lineRule="auto"/>
        <w:rPr>
          <w:rFonts w:ascii="Century Gothic" w:hAnsi="Century Gothic"/>
          <w:lang w:val="en-US"/>
        </w:rPr>
      </w:pPr>
    </w:p>
    <w:p w14:paraId="1DDC2A69" w14:textId="77777777" w:rsidR="00350BDE" w:rsidRDefault="00350BDE" w:rsidP="00CE1491">
      <w:pPr>
        <w:spacing w:line="480" w:lineRule="auto"/>
        <w:rPr>
          <w:rFonts w:ascii="Century Gothic" w:hAnsi="Century Gothic"/>
          <w:i/>
          <w:lang w:val="en-US"/>
        </w:rPr>
      </w:pPr>
      <w:r w:rsidRPr="00350BDE">
        <w:rPr>
          <w:rFonts w:ascii="Century Gothic" w:hAnsi="Century Gothic"/>
          <w:i/>
          <w:lang w:val="en-US"/>
        </w:rPr>
        <w:t>Protocol 1 (dose intensity 16.8):</w:t>
      </w:r>
    </w:p>
    <w:p w14:paraId="2253B67E" w14:textId="77777777" w:rsidR="00350BDE" w:rsidRPr="00350BDE" w:rsidRDefault="00350BDE" w:rsidP="00CE1491">
      <w:pPr>
        <w:spacing w:line="480" w:lineRule="auto"/>
        <w:rPr>
          <w:rFonts w:ascii="Century Gothic" w:hAnsi="Century Gothic"/>
          <w:i/>
          <w:lang w:val="en-US"/>
        </w:rPr>
      </w:pPr>
    </w:p>
    <w:p w14:paraId="008CCA08" w14:textId="77777777" w:rsidR="00350BDE" w:rsidRPr="00350BDE" w:rsidRDefault="00350BDE" w:rsidP="00CE1491">
      <w:pPr>
        <w:spacing w:line="480" w:lineRule="auto"/>
        <w:rPr>
          <w:rFonts w:ascii="Century Gothic" w:hAnsi="Century Gothic"/>
          <w:lang w:val="en-US"/>
        </w:rPr>
      </w:pPr>
      <w:r w:rsidRPr="00350BDE">
        <w:rPr>
          <w:rFonts w:ascii="Century Gothic" w:hAnsi="Century Gothic"/>
          <w:lang w:val="en-US"/>
        </w:rPr>
        <w:t>Week 1: L-</w:t>
      </w:r>
      <w:proofErr w:type="spellStart"/>
      <w:r w:rsidRPr="00350BDE">
        <w:rPr>
          <w:rFonts w:ascii="Century Gothic" w:hAnsi="Century Gothic"/>
          <w:lang w:val="en-US"/>
        </w:rPr>
        <w:t>Asparaginase</w:t>
      </w:r>
      <w:proofErr w:type="spellEnd"/>
      <w:r w:rsidRPr="00350BDE">
        <w:rPr>
          <w:rFonts w:ascii="Century Gothic" w:hAnsi="Century Gothic"/>
          <w:lang w:val="en-US"/>
        </w:rPr>
        <w:t xml:space="preserve"> @ 400 UI/kg SC</w:t>
      </w:r>
    </w:p>
    <w:p w14:paraId="342F489C" w14:textId="77777777" w:rsidR="00350BDE" w:rsidRPr="00350BDE" w:rsidRDefault="00350BDE" w:rsidP="00CE1491">
      <w:pPr>
        <w:spacing w:line="480" w:lineRule="auto"/>
        <w:rPr>
          <w:rFonts w:ascii="Century Gothic" w:hAnsi="Century Gothic"/>
          <w:lang w:val="en-US"/>
        </w:rPr>
      </w:pPr>
      <w:r w:rsidRPr="00350BDE">
        <w:rPr>
          <w:rFonts w:ascii="Century Gothic" w:hAnsi="Century Gothic"/>
          <w:lang w:val="en-US"/>
        </w:rPr>
        <w:t>Week 2: Vincristine @ 0,75 mg/m2 IV</w:t>
      </w:r>
    </w:p>
    <w:p w14:paraId="150148E4" w14:textId="77777777" w:rsidR="00350BDE" w:rsidRPr="00350BDE" w:rsidRDefault="00350BDE" w:rsidP="00CE1491">
      <w:pPr>
        <w:spacing w:line="480" w:lineRule="auto"/>
        <w:rPr>
          <w:rFonts w:ascii="Century Gothic" w:hAnsi="Century Gothic"/>
          <w:lang w:val="en-US"/>
        </w:rPr>
      </w:pPr>
      <w:r w:rsidRPr="00350BDE">
        <w:rPr>
          <w:rFonts w:ascii="Century Gothic" w:hAnsi="Century Gothic"/>
          <w:lang w:val="en-US"/>
        </w:rPr>
        <w:t>Week 3: Cyclophosphamide @ 75 mg/m2 PO for 4 consecutive days</w:t>
      </w:r>
    </w:p>
    <w:p w14:paraId="6D5604FD" w14:textId="77777777" w:rsidR="00350BDE" w:rsidRPr="00350BDE" w:rsidRDefault="00350BDE" w:rsidP="00CE1491">
      <w:pPr>
        <w:spacing w:line="480" w:lineRule="auto"/>
        <w:rPr>
          <w:rFonts w:ascii="Century Gothic" w:hAnsi="Century Gothic"/>
          <w:lang w:val="en-US"/>
        </w:rPr>
      </w:pPr>
      <w:r w:rsidRPr="00350BDE">
        <w:rPr>
          <w:rFonts w:ascii="Century Gothic" w:hAnsi="Century Gothic"/>
          <w:lang w:val="en-US"/>
        </w:rPr>
        <w:t>Week 4: Doxorubicin @ 30 mg/m2 IV</w:t>
      </w:r>
    </w:p>
    <w:p w14:paraId="180A6246" w14:textId="77777777" w:rsidR="00350BDE" w:rsidRPr="00350BDE" w:rsidRDefault="00350BDE" w:rsidP="00CE1491">
      <w:pPr>
        <w:spacing w:line="480" w:lineRule="auto"/>
        <w:rPr>
          <w:rFonts w:ascii="Century Gothic" w:hAnsi="Century Gothic"/>
          <w:lang w:val="en-US"/>
        </w:rPr>
      </w:pPr>
      <w:r w:rsidRPr="00350BDE">
        <w:rPr>
          <w:rFonts w:ascii="Century Gothic" w:hAnsi="Century Gothic"/>
          <w:lang w:val="en-US"/>
        </w:rPr>
        <w:t>Week 5: Vincristine</w:t>
      </w:r>
    </w:p>
    <w:p w14:paraId="6168D924" w14:textId="77777777" w:rsidR="00350BDE" w:rsidRPr="00350BDE" w:rsidRDefault="00350BDE" w:rsidP="00CE1491">
      <w:pPr>
        <w:spacing w:line="480" w:lineRule="auto"/>
        <w:rPr>
          <w:rFonts w:ascii="Century Gothic" w:hAnsi="Century Gothic"/>
          <w:lang w:val="en-US"/>
        </w:rPr>
      </w:pPr>
      <w:r w:rsidRPr="00350BDE">
        <w:rPr>
          <w:rFonts w:ascii="Century Gothic" w:hAnsi="Century Gothic"/>
          <w:lang w:val="en-US"/>
        </w:rPr>
        <w:t>Week 6: Cyclophosphamide @ 75 mg/m2 PO for 4 consecutive days</w:t>
      </w:r>
    </w:p>
    <w:p w14:paraId="0E5F1F62" w14:textId="77777777" w:rsidR="00350BDE" w:rsidRPr="00350BDE" w:rsidRDefault="00350BDE" w:rsidP="00CE1491">
      <w:pPr>
        <w:spacing w:line="480" w:lineRule="auto"/>
        <w:rPr>
          <w:rFonts w:ascii="Century Gothic" w:hAnsi="Century Gothic"/>
          <w:lang w:val="en-US"/>
        </w:rPr>
      </w:pPr>
      <w:r w:rsidRPr="00350BDE">
        <w:rPr>
          <w:rFonts w:ascii="Century Gothic" w:hAnsi="Century Gothic"/>
          <w:lang w:val="en-US"/>
        </w:rPr>
        <w:t>Week 7: Doxorubicin @ 30 mg/m2 IV</w:t>
      </w:r>
    </w:p>
    <w:p w14:paraId="7243BC41" w14:textId="77777777" w:rsidR="00350BDE" w:rsidRPr="00350BDE" w:rsidRDefault="00350BDE" w:rsidP="00CE1491">
      <w:pPr>
        <w:spacing w:line="480" w:lineRule="auto"/>
        <w:rPr>
          <w:rFonts w:ascii="Century Gothic" w:hAnsi="Century Gothic"/>
          <w:lang w:val="en-US"/>
        </w:rPr>
      </w:pPr>
      <w:r w:rsidRPr="00350BDE">
        <w:rPr>
          <w:rFonts w:ascii="Century Gothic" w:hAnsi="Century Gothic"/>
          <w:lang w:val="en-US"/>
        </w:rPr>
        <w:t>Week 8: rest</w:t>
      </w:r>
    </w:p>
    <w:p w14:paraId="2B99F8A9" w14:textId="77777777" w:rsidR="00350BDE" w:rsidRPr="00350BDE" w:rsidRDefault="00350BDE" w:rsidP="00CE1491">
      <w:pPr>
        <w:spacing w:line="480" w:lineRule="auto"/>
        <w:rPr>
          <w:rFonts w:ascii="Century Gothic" w:hAnsi="Century Gothic"/>
          <w:lang w:val="en-US"/>
        </w:rPr>
      </w:pPr>
      <w:r w:rsidRPr="00350BDE">
        <w:rPr>
          <w:rFonts w:ascii="Century Gothic" w:hAnsi="Century Gothic"/>
          <w:lang w:val="en-US"/>
        </w:rPr>
        <w:t>Week 9: Lomustine @ 80 mg/m2 PO</w:t>
      </w:r>
    </w:p>
    <w:p w14:paraId="4CE5265D" w14:textId="77777777" w:rsidR="00350BDE" w:rsidRPr="00350BDE" w:rsidRDefault="00350BDE" w:rsidP="00CE1491">
      <w:pPr>
        <w:spacing w:line="480" w:lineRule="auto"/>
        <w:rPr>
          <w:rFonts w:ascii="Century Gothic" w:hAnsi="Century Gothic"/>
          <w:lang w:val="en-US"/>
        </w:rPr>
      </w:pPr>
      <w:r w:rsidRPr="00350BDE">
        <w:rPr>
          <w:rFonts w:ascii="Century Gothic" w:hAnsi="Century Gothic"/>
          <w:lang w:val="en-US"/>
        </w:rPr>
        <w:t>Week 10: rest</w:t>
      </w:r>
    </w:p>
    <w:p w14:paraId="0DFD95C1" w14:textId="77777777" w:rsidR="00350BDE" w:rsidRPr="00350BDE" w:rsidRDefault="00350BDE" w:rsidP="00CE1491">
      <w:pPr>
        <w:spacing w:line="480" w:lineRule="auto"/>
        <w:rPr>
          <w:rFonts w:ascii="Century Gothic" w:hAnsi="Century Gothic"/>
          <w:lang w:val="en-US"/>
        </w:rPr>
      </w:pPr>
      <w:r w:rsidRPr="00350BDE">
        <w:rPr>
          <w:rFonts w:ascii="Century Gothic" w:hAnsi="Century Gothic"/>
          <w:lang w:val="en-US"/>
        </w:rPr>
        <w:t>Week 11: Vincristine @ 0,75 mg/m2 IV</w:t>
      </w:r>
    </w:p>
    <w:p w14:paraId="5466CA07" w14:textId="77777777" w:rsidR="00350BDE" w:rsidRPr="00350BDE" w:rsidRDefault="00350BDE" w:rsidP="00CE1491">
      <w:pPr>
        <w:spacing w:line="480" w:lineRule="auto"/>
        <w:rPr>
          <w:rFonts w:ascii="Century Gothic" w:hAnsi="Century Gothic"/>
          <w:lang w:val="en-US"/>
        </w:rPr>
      </w:pPr>
      <w:r w:rsidRPr="00350BDE">
        <w:rPr>
          <w:rFonts w:ascii="Century Gothic" w:hAnsi="Century Gothic"/>
          <w:lang w:val="en-US"/>
        </w:rPr>
        <w:t>Week 12: Cyclophosphamide @ 75 mg/m2 PO for 4 consecutive days</w:t>
      </w:r>
    </w:p>
    <w:p w14:paraId="0661623C" w14:textId="77777777" w:rsidR="00350BDE" w:rsidRPr="00350BDE" w:rsidRDefault="00350BDE" w:rsidP="00CE1491">
      <w:pPr>
        <w:spacing w:line="480" w:lineRule="auto"/>
        <w:rPr>
          <w:rFonts w:ascii="Century Gothic" w:hAnsi="Century Gothic"/>
          <w:lang w:val="en-US"/>
        </w:rPr>
      </w:pPr>
      <w:r w:rsidRPr="00350BDE">
        <w:rPr>
          <w:rFonts w:ascii="Century Gothic" w:hAnsi="Century Gothic"/>
          <w:lang w:val="en-US"/>
        </w:rPr>
        <w:t>Week 13: Doxorubicin @ 30 mg/m2 IV</w:t>
      </w:r>
    </w:p>
    <w:p w14:paraId="61025CA7" w14:textId="77777777" w:rsidR="00350BDE" w:rsidRPr="00350BDE" w:rsidRDefault="00350BDE" w:rsidP="00CE1491">
      <w:pPr>
        <w:spacing w:line="480" w:lineRule="auto"/>
        <w:rPr>
          <w:rFonts w:ascii="Century Gothic" w:hAnsi="Century Gothic"/>
          <w:lang w:val="en-US"/>
        </w:rPr>
      </w:pPr>
      <w:r w:rsidRPr="00350BDE">
        <w:rPr>
          <w:rFonts w:ascii="Century Gothic" w:hAnsi="Century Gothic"/>
          <w:lang w:val="en-US"/>
        </w:rPr>
        <w:t>Week 14: rest</w:t>
      </w:r>
    </w:p>
    <w:p w14:paraId="32A97019" w14:textId="77777777" w:rsidR="00350BDE" w:rsidRPr="00350BDE" w:rsidRDefault="00350BDE" w:rsidP="00CE1491">
      <w:pPr>
        <w:spacing w:line="480" w:lineRule="auto"/>
        <w:rPr>
          <w:rFonts w:ascii="Century Gothic" w:hAnsi="Century Gothic"/>
          <w:lang w:val="en-US"/>
        </w:rPr>
      </w:pPr>
      <w:r w:rsidRPr="00350BDE">
        <w:rPr>
          <w:rFonts w:ascii="Century Gothic" w:hAnsi="Century Gothic"/>
          <w:lang w:val="en-US"/>
        </w:rPr>
        <w:t>Week 15: Lomustine @ 80 mg/m2 PO</w:t>
      </w:r>
    </w:p>
    <w:p w14:paraId="293E4B78" w14:textId="77777777" w:rsidR="00350BDE" w:rsidRPr="00350BDE" w:rsidRDefault="00350BDE" w:rsidP="00CE1491">
      <w:pPr>
        <w:spacing w:line="480" w:lineRule="auto"/>
        <w:rPr>
          <w:rFonts w:ascii="Century Gothic" w:hAnsi="Century Gothic"/>
          <w:lang w:val="en-US"/>
        </w:rPr>
      </w:pPr>
      <w:r w:rsidRPr="00350BDE">
        <w:rPr>
          <w:rFonts w:ascii="Century Gothic" w:hAnsi="Century Gothic"/>
          <w:lang w:val="en-US"/>
        </w:rPr>
        <w:t>Week 16: rest</w:t>
      </w:r>
    </w:p>
    <w:p w14:paraId="55E21302" w14:textId="77777777" w:rsidR="00350BDE" w:rsidRPr="00350BDE" w:rsidRDefault="00350BDE" w:rsidP="00CE1491">
      <w:pPr>
        <w:spacing w:line="480" w:lineRule="auto"/>
        <w:rPr>
          <w:rFonts w:ascii="Century Gothic" w:hAnsi="Century Gothic"/>
          <w:lang w:val="en-US"/>
        </w:rPr>
      </w:pPr>
      <w:r w:rsidRPr="00350BDE">
        <w:rPr>
          <w:rFonts w:ascii="Century Gothic" w:hAnsi="Century Gothic"/>
          <w:lang w:val="en-US"/>
        </w:rPr>
        <w:t>Week 17: Vincristine @ 0,75 mg/m2 IV</w:t>
      </w:r>
    </w:p>
    <w:p w14:paraId="5D001A74" w14:textId="77777777" w:rsidR="00350BDE" w:rsidRPr="00350BDE" w:rsidRDefault="00350BDE" w:rsidP="00CE1491">
      <w:pPr>
        <w:spacing w:line="480" w:lineRule="auto"/>
        <w:rPr>
          <w:rFonts w:ascii="Century Gothic" w:hAnsi="Century Gothic"/>
          <w:lang w:val="en-US"/>
        </w:rPr>
      </w:pPr>
      <w:r w:rsidRPr="00350BDE">
        <w:rPr>
          <w:rFonts w:ascii="Century Gothic" w:hAnsi="Century Gothic"/>
          <w:lang w:val="en-US"/>
        </w:rPr>
        <w:t>Week 18: Cyclophosphamide @ 75 mg/m2 PO for 4 consecutive days</w:t>
      </w:r>
    </w:p>
    <w:p w14:paraId="6803AF1A" w14:textId="77777777" w:rsidR="00350BDE" w:rsidRPr="00350BDE" w:rsidRDefault="00350BDE" w:rsidP="00CE1491">
      <w:pPr>
        <w:spacing w:line="480" w:lineRule="auto"/>
        <w:rPr>
          <w:rFonts w:ascii="Century Gothic" w:hAnsi="Century Gothic"/>
          <w:lang w:val="en-US"/>
        </w:rPr>
      </w:pPr>
      <w:r w:rsidRPr="00350BDE">
        <w:rPr>
          <w:rFonts w:ascii="Century Gothic" w:hAnsi="Century Gothic"/>
          <w:lang w:val="en-US"/>
        </w:rPr>
        <w:t>Week 19: Doxorubicin @ 30 mg/m2 IV</w:t>
      </w:r>
    </w:p>
    <w:p w14:paraId="706165EA" w14:textId="77777777" w:rsidR="00350BDE" w:rsidRDefault="00350BDE" w:rsidP="00CE1491">
      <w:pPr>
        <w:spacing w:line="480" w:lineRule="auto"/>
        <w:rPr>
          <w:rFonts w:ascii="Century Gothic" w:hAnsi="Century Gothic"/>
          <w:lang w:val="en-US"/>
        </w:rPr>
      </w:pPr>
    </w:p>
    <w:p w14:paraId="638FAA4E" w14:textId="77777777" w:rsidR="00350BDE" w:rsidRPr="00350BDE" w:rsidRDefault="00350BDE" w:rsidP="00CE1491">
      <w:pPr>
        <w:spacing w:line="48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Predniso</w:t>
      </w:r>
      <w:r w:rsidR="00CE1491">
        <w:rPr>
          <w:rFonts w:ascii="Century Gothic" w:hAnsi="Century Gothic"/>
          <w:lang w:val="en-US"/>
        </w:rPr>
        <w:t>lo</w:t>
      </w:r>
      <w:r>
        <w:rPr>
          <w:rFonts w:ascii="Century Gothic" w:hAnsi="Century Gothic"/>
          <w:lang w:val="en-US"/>
        </w:rPr>
        <w:t xml:space="preserve">ne </w:t>
      </w:r>
      <w:r w:rsidR="00CE1491">
        <w:rPr>
          <w:rFonts w:ascii="Century Gothic" w:hAnsi="Century Gothic"/>
          <w:lang w:val="en-US"/>
        </w:rPr>
        <w:t>administered at 1 mg/kg daily from week 1 to week 4; then 0.5 mg/kg daily until the end of treatment</w:t>
      </w:r>
    </w:p>
    <w:p w14:paraId="19856C8C" w14:textId="77777777" w:rsidR="00350BDE" w:rsidRDefault="00350BDE" w:rsidP="00CE1491">
      <w:pPr>
        <w:spacing w:line="480" w:lineRule="auto"/>
        <w:rPr>
          <w:rFonts w:ascii="Century Gothic" w:hAnsi="Century Gothic"/>
          <w:lang w:val="en-US"/>
        </w:rPr>
      </w:pPr>
    </w:p>
    <w:p w14:paraId="2EA1F427" w14:textId="77777777" w:rsidR="00CE1491" w:rsidRDefault="00CE1491" w:rsidP="00CE1491">
      <w:pPr>
        <w:spacing w:line="480" w:lineRule="auto"/>
        <w:rPr>
          <w:rFonts w:ascii="Century Gothic" w:hAnsi="Century Gothic"/>
          <w:lang w:val="en-US"/>
        </w:rPr>
      </w:pPr>
    </w:p>
    <w:p w14:paraId="162045FA" w14:textId="77777777" w:rsidR="00350BDE" w:rsidRDefault="00350BDE" w:rsidP="00CE1491">
      <w:pPr>
        <w:spacing w:line="480" w:lineRule="auto"/>
        <w:rPr>
          <w:rFonts w:ascii="Century Gothic" w:hAnsi="Century Gothic"/>
          <w:i/>
          <w:lang w:val="en-US"/>
        </w:rPr>
      </w:pPr>
      <w:r w:rsidRPr="00350BDE">
        <w:rPr>
          <w:rFonts w:ascii="Century Gothic" w:hAnsi="Century Gothic"/>
          <w:i/>
          <w:lang w:val="en-US"/>
        </w:rPr>
        <w:t>Protocol 2 (dose intensity 16.9)</w:t>
      </w:r>
      <w:r>
        <w:rPr>
          <w:rFonts w:ascii="Century Gothic" w:hAnsi="Century Gothic"/>
          <w:i/>
          <w:lang w:val="en-US"/>
        </w:rPr>
        <w:t xml:space="preserve"> (Simon et al, JVIM 2006)</w:t>
      </w:r>
    </w:p>
    <w:p w14:paraId="6F293812" w14:textId="77777777" w:rsidR="00350BDE" w:rsidRPr="00350BDE" w:rsidRDefault="00350BDE" w:rsidP="00CE1491">
      <w:pPr>
        <w:spacing w:line="480" w:lineRule="auto"/>
        <w:rPr>
          <w:rFonts w:ascii="Century Gothic" w:hAnsi="Century Gothic"/>
          <w:i/>
          <w:lang w:val="en-US"/>
        </w:rPr>
      </w:pPr>
    </w:p>
    <w:p w14:paraId="1B5909D8" w14:textId="77777777" w:rsidR="00350BDE" w:rsidRDefault="00350BDE" w:rsidP="00CE1491">
      <w:pPr>
        <w:spacing w:line="480" w:lineRule="auto"/>
        <w:rPr>
          <w:rFonts w:ascii="Century Gothic" w:hAnsi="Century Gothic"/>
          <w:lang w:val="en-US"/>
        </w:rPr>
      </w:pPr>
      <w:r w:rsidRPr="00350BDE">
        <w:rPr>
          <w:rFonts w:ascii="Century Gothic" w:hAnsi="Century Gothic"/>
          <w:lang w:val="en-US"/>
        </w:rPr>
        <w:t>Week 1: L-</w:t>
      </w:r>
      <w:proofErr w:type="spellStart"/>
      <w:r w:rsidRPr="00350BDE">
        <w:rPr>
          <w:rFonts w:ascii="Century Gothic" w:hAnsi="Century Gothic"/>
          <w:lang w:val="en-US"/>
        </w:rPr>
        <w:t>Asparaginase</w:t>
      </w:r>
      <w:proofErr w:type="spellEnd"/>
      <w:r w:rsidRPr="00350BDE">
        <w:rPr>
          <w:rFonts w:ascii="Century Gothic" w:hAnsi="Century Gothic"/>
          <w:lang w:val="en-US"/>
        </w:rPr>
        <w:t xml:space="preserve"> @ 400 UI/kg SC </w:t>
      </w:r>
      <w:r>
        <w:rPr>
          <w:rFonts w:ascii="Century Gothic" w:hAnsi="Century Gothic"/>
          <w:lang w:val="en-US"/>
        </w:rPr>
        <w:t>and Vincristine @ 0,7</w:t>
      </w:r>
      <w:r w:rsidRPr="00350BDE">
        <w:rPr>
          <w:rFonts w:ascii="Century Gothic" w:hAnsi="Century Gothic"/>
          <w:lang w:val="en-US"/>
        </w:rPr>
        <w:t xml:space="preserve"> mg/m2 IV</w:t>
      </w:r>
    </w:p>
    <w:p w14:paraId="41DB6E53" w14:textId="77777777" w:rsidR="00350BDE" w:rsidRDefault="00350BDE" w:rsidP="00CE1491">
      <w:pPr>
        <w:spacing w:line="480" w:lineRule="auto"/>
        <w:rPr>
          <w:rFonts w:ascii="Century Gothic" w:hAnsi="Century Gothic"/>
          <w:lang w:val="en-US"/>
        </w:rPr>
      </w:pPr>
      <w:r w:rsidRPr="00350BDE">
        <w:rPr>
          <w:rFonts w:ascii="Century Gothic" w:hAnsi="Century Gothic"/>
          <w:lang w:val="en-US"/>
        </w:rPr>
        <w:t xml:space="preserve">Week 2: Cyclophosphamide @ </w:t>
      </w:r>
      <w:r>
        <w:rPr>
          <w:rFonts w:ascii="Century Gothic" w:hAnsi="Century Gothic"/>
          <w:lang w:val="en-US"/>
        </w:rPr>
        <w:t>200 mg/m2 IV</w:t>
      </w:r>
      <w:r w:rsidRPr="00350BDE">
        <w:rPr>
          <w:rFonts w:ascii="Century Gothic" w:hAnsi="Century Gothic"/>
          <w:lang w:val="en-US"/>
        </w:rPr>
        <w:t xml:space="preserve"> </w:t>
      </w:r>
    </w:p>
    <w:p w14:paraId="1A242B3D" w14:textId="77777777" w:rsidR="00350BDE" w:rsidRPr="00350BDE" w:rsidRDefault="00350BDE" w:rsidP="00CE1491">
      <w:pPr>
        <w:spacing w:line="480" w:lineRule="auto"/>
        <w:rPr>
          <w:rFonts w:ascii="Century Gothic" w:hAnsi="Century Gothic"/>
          <w:lang w:val="en-US"/>
        </w:rPr>
      </w:pPr>
      <w:r w:rsidRPr="00350BDE">
        <w:rPr>
          <w:rFonts w:ascii="Century Gothic" w:hAnsi="Century Gothic"/>
          <w:lang w:val="en-US"/>
        </w:rPr>
        <w:t>Week 3: Doxorubicin @ 30 mg/m2 IV</w:t>
      </w:r>
    </w:p>
    <w:p w14:paraId="789B88C4" w14:textId="77777777" w:rsidR="00CE1491" w:rsidRDefault="00350BDE" w:rsidP="00CE1491">
      <w:pPr>
        <w:spacing w:line="480" w:lineRule="auto"/>
        <w:rPr>
          <w:rFonts w:ascii="Century Gothic" w:hAnsi="Century Gothic"/>
          <w:lang w:val="en-US"/>
        </w:rPr>
      </w:pPr>
      <w:r w:rsidRPr="00350BDE">
        <w:rPr>
          <w:rFonts w:ascii="Century Gothic" w:hAnsi="Century Gothic"/>
          <w:lang w:val="en-US"/>
        </w:rPr>
        <w:t xml:space="preserve">Week 4: </w:t>
      </w:r>
      <w:r w:rsidR="00CE1491">
        <w:rPr>
          <w:rFonts w:ascii="Century Gothic" w:hAnsi="Century Gothic"/>
          <w:lang w:val="en-US"/>
        </w:rPr>
        <w:t>Vincristine @ 0,7</w:t>
      </w:r>
      <w:r w:rsidR="00CE1491" w:rsidRPr="00350BDE">
        <w:rPr>
          <w:rFonts w:ascii="Century Gothic" w:hAnsi="Century Gothic"/>
          <w:lang w:val="en-US"/>
        </w:rPr>
        <w:t xml:space="preserve"> mg/m2 IV</w:t>
      </w:r>
    </w:p>
    <w:p w14:paraId="01DABD98" w14:textId="77777777" w:rsidR="00CE1491" w:rsidRDefault="00CE1491" w:rsidP="00CE1491">
      <w:pPr>
        <w:spacing w:line="48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Week 5: </w:t>
      </w:r>
      <w:r w:rsidRPr="00350BDE">
        <w:rPr>
          <w:rFonts w:ascii="Century Gothic" w:hAnsi="Century Gothic"/>
          <w:lang w:val="en-US"/>
        </w:rPr>
        <w:t xml:space="preserve">Cyclophosphamide @ </w:t>
      </w:r>
      <w:r>
        <w:rPr>
          <w:rFonts w:ascii="Century Gothic" w:hAnsi="Century Gothic"/>
          <w:lang w:val="en-US"/>
        </w:rPr>
        <w:t>200 mg/m2 IV</w:t>
      </w:r>
      <w:r w:rsidRPr="00350BDE">
        <w:rPr>
          <w:rFonts w:ascii="Century Gothic" w:hAnsi="Century Gothic"/>
          <w:lang w:val="en-US"/>
        </w:rPr>
        <w:t xml:space="preserve"> </w:t>
      </w:r>
    </w:p>
    <w:p w14:paraId="3FA82365" w14:textId="77777777" w:rsidR="00CE1491" w:rsidRPr="00350BDE" w:rsidRDefault="00CE1491" w:rsidP="00CE1491">
      <w:pPr>
        <w:spacing w:line="48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Week 6: </w:t>
      </w:r>
      <w:r w:rsidRPr="00350BDE">
        <w:rPr>
          <w:rFonts w:ascii="Century Gothic" w:hAnsi="Century Gothic"/>
          <w:lang w:val="en-US"/>
        </w:rPr>
        <w:t>Doxorubicin @ 30 mg/m2 IV</w:t>
      </w:r>
    </w:p>
    <w:p w14:paraId="3062B5DB" w14:textId="77777777" w:rsidR="00CE1491" w:rsidRDefault="00CE1491" w:rsidP="00CE1491">
      <w:pPr>
        <w:spacing w:line="48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Week 7</w:t>
      </w:r>
      <w:r w:rsidRPr="00350BDE">
        <w:rPr>
          <w:rFonts w:ascii="Century Gothic" w:hAnsi="Century Gothic"/>
          <w:lang w:val="en-US"/>
        </w:rPr>
        <w:t xml:space="preserve">: </w:t>
      </w:r>
      <w:r>
        <w:rPr>
          <w:rFonts w:ascii="Century Gothic" w:hAnsi="Century Gothic"/>
          <w:lang w:val="en-US"/>
        </w:rPr>
        <w:t>Vincristine @ 0,7</w:t>
      </w:r>
      <w:r w:rsidRPr="00350BDE">
        <w:rPr>
          <w:rFonts w:ascii="Century Gothic" w:hAnsi="Century Gothic"/>
          <w:lang w:val="en-US"/>
        </w:rPr>
        <w:t xml:space="preserve"> mg/m2 IV</w:t>
      </w:r>
    </w:p>
    <w:p w14:paraId="55E76D12" w14:textId="77777777" w:rsidR="00CE1491" w:rsidRDefault="00CE1491" w:rsidP="00CE1491">
      <w:pPr>
        <w:spacing w:line="48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Week 8: </w:t>
      </w:r>
      <w:r w:rsidRPr="00350BDE">
        <w:rPr>
          <w:rFonts w:ascii="Century Gothic" w:hAnsi="Century Gothic"/>
          <w:lang w:val="en-US"/>
        </w:rPr>
        <w:t xml:space="preserve">Cyclophosphamide @ </w:t>
      </w:r>
      <w:r>
        <w:rPr>
          <w:rFonts w:ascii="Century Gothic" w:hAnsi="Century Gothic"/>
          <w:lang w:val="en-US"/>
        </w:rPr>
        <w:t>200 mg/m2 IV</w:t>
      </w:r>
      <w:r w:rsidRPr="00350BDE">
        <w:rPr>
          <w:rFonts w:ascii="Century Gothic" w:hAnsi="Century Gothic"/>
          <w:lang w:val="en-US"/>
        </w:rPr>
        <w:t xml:space="preserve"> </w:t>
      </w:r>
    </w:p>
    <w:p w14:paraId="2A503590" w14:textId="77777777" w:rsidR="00CE1491" w:rsidRPr="00350BDE" w:rsidRDefault="00CE1491" w:rsidP="00CE1491">
      <w:pPr>
        <w:spacing w:line="48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Week 9: </w:t>
      </w:r>
      <w:r w:rsidRPr="00350BDE">
        <w:rPr>
          <w:rFonts w:ascii="Century Gothic" w:hAnsi="Century Gothic"/>
          <w:lang w:val="en-US"/>
        </w:rPr>
        <w:t>Doxorubicin @ 30 mg/m2 IV</w:t>
      </w:r>
    </w:p>
    <w:p w14:paraId="6223AFF9" w14:textId="77777777" w:rsidR="00CE1491" w:rsidRDefault="00CE1491" w:rsidP="00CE1491">
      <w:pPr>
        <w:spacing w:line="48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Week 10</w:t>
      </w:r>
      <w:r w:rsidRPr="00350BDE">
        <w:rPr>
          <w:rFonts w:ascii="Century Gothic" w:hAnsi="Century Gothic"/>
          <w:lang w:val="en-US"/>
        </w:rPr>
        <w:t xml:space="preserve">: </w:t>
      </w:r>
      <w:r>
        <w:rPr>
          <w:rFonts w:ascii="Century Gothic" w:hAnsi="Century Gothic"/>
          <w:lang w:val="en-US"/>
        </w:rPr>
        <w:t>Vincristine @ 0,7</w:t>
      </w:r>
      <w:r w:rsidRPr="00350BDE">
        <w:rPr>
          <w:rFonts w:ascii="Century Gothic" w:hAnsi="Century Gothic"/>
          <w:lang w:val="en-US"/>
        </w:rPr>
        <w:t xml:space="preserve"> mg/m2 IV</w:t>
      </w:r>
    </w:p>
    <w:p w14:paraId="0E22DB6C" w14:textId="77777777" w:rsidR="00CE1491" w:rsidRDefault="00CE1491" w:rsidP="00CE1491">
      <w:pPr>
        <w:spacing w:line="48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Week 11: </w:t>
      </w:r>
      <w:r w:rsidRPr="00350BDE">
        <w:rPr>
          <w:rFonts w:ascii="Century Gothic" w:hAnsi="Century Gothic"/>
          <w:lang w:val="en-US"/>
        </w:rPr>
        <w:t xml:space="preserve">Cyclophosphamide @ </w:t>
      </w:r>
      <w:r>
        <w:rPr>
          <w:rFonts w:ascii="Century Gothic" w:hAnsi="Century Gothic"/>
          <w:lang w:val="en-US"/>
        </w:rPr>
        <w:t>200 mg/m2 IV</w:t>
      </w:r>
      <w:r w:rsidRPr="00350BDE">
        <w:rPr>
          <w:rFonts w:ascii="Century Gothic" w:hAnsi="Century Gothic"/>
          <w:lang w:val="en-US"/>
        </w:rPr>
        <w:t xml:space="preserve"> </w:t>
      </w:r>
    </w:p>
    <w:p w14:paraId="6A486A4A" w14:textId="77777777" w:rsidR="00CE1491" w:rsidRPr="00350BDE" w:rsidRDefault="00CE1491" w:rsidP="00CE1491">
      <w:pPr>
        <w:spacing w:line="48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Week 12: </w:t>
      </w:r>
      <w:r w:rsidRPr="00350BDE">
        <w:rPr>
          <w:rFonts w:ascii="Century Gothic" w:hAnsi="Century Gothic"/>
          <w:lang w:val="en-US"/>
        </w:rPr>
        <w:t>Doxorubicin @ 30 mg/m2 IV</w:t>
      </w:r>
    </w:p>
    <w:p w14:paraId="77229197" w14:textId="77777777" w:rsidR="00350BDE" w:rsidRDefault="00350BDE" w:rsidP="00CE1491">
      <w:pPr>
        <w:spacing w:line="480" w:lineRule="auto"/>
        <w:rPr>
          <w:rFonts w:ascii="Century Gothic" w:hAnsi="Century Gothic"/>
          <w:lang w:val="en-US"/>
        </w:rPr>
      </w:pPr>
    </w:p>
    <w:p w14:paraId="04383F9A" w14:textId="77777777" w:rsidR="00CE1491" w:rsidRDefault="00CE1491" w:rsidP="00CE1491">
      <w:pPr>
        <w:spacing w:line="48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Prednisolone administered at 50 mg/m2 PO on days 1-3 of every treatment week</w:t>
      </w:r>
    </w:p>
    <w:p w14:paraId="7CECA03A" w14:textId="77777777" w:rsidR="00350BDE" w:rsidRPr="00350BDE" w:rsidRDefault="00350BDE">
      <w:pPr>
        <w:rPr>
          <w:rFonts w:ascii="Century Gothic" w:hAnsi="Century Gothic"/>
          <w:lang w:val="en-US"/>
        </w:rPr>
      </w:pPr>
    </w:p>
    <w:sectPr w:rsidR="00350BDE" w:rsidRPr="00350BDE" w:rsidSect="00132C02">
      <w:type w:val="continuous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DE"/>
    <w:rsid w:val="00132C02"/>
    <w:rsid w:val="00247BDC"/>
    <w:rsid w:val="002A6108"/>
    <w:rsid w:val="00350BDE"/>
    <w:rsid w:val="004D3EB3"/>
    <w:rsid w:val="007D5353"/>
    <w:rsid w:val="00CE1491"/>
    <w:rsid w:val="00D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A3D6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BD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BD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686</Words>
  <Characters>3913</Characters>
  <Application>Microsoft Macintosh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Marconato</dc:creator>
  <cp:keywords/>
  <dc:description/>
  <cp:lastModifiedBy>Laura Marconato</cp:lastModifiedBy>
  <cp:revision>4</cp:revision>
  <dcterms:created xsi:type="dcterms:W3CDTF">2019-01-03T10:26:00Z</dcterms:created>
  <dcterms:modified xsi:type="dcterms:W3CDTF">2019-02-17T07:29:00Z</dcterms:modified>
</cp:coreProperties>
</file>