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672B3" w14:textId="0D17370E" w:rsidR="00DF12F0" w:rsidRPr="00865053" w:rsidRDefault="00BB4697" w:rsidP="00865053">
      <w:pPr>
        <w:pStyle w:val="Heading1"/>
        <w:jc w:val="center"/>
        <w:rPr>
          <w:sz w:val="24"/>
          <w:szCs w:val="24"/>
        </w:rPr>
      </w:pPr>
      <w:r w:rsidRPr="00865053">
        <w:rPr>
          <w:sz w:val="24"/>
          <w:szCs w:val="24"/>
        </w:rPr>
        <w:t xml:space="preserve">Supplementary </w:t>
      </w:r>
      <w:r w:rsidR="004E6E5C" w:rsidRPr="00865053">
        <w:rPr>
          <w:sz w:val="24"/>
          <w:szCs w:val="24"/>
        </w:rPr>
        <w:t>F</w:t>
      </w:r>
      <w:r w:rsidRPr="00865053">
        <w:rPr>
          <w:sz w:val="24"/>
          <w:szCs w:val="24"/>
        </w:rPr>
        <w:t>igure</w:t>
      </w:r>
      <w:r w:rsidR="00881F7D" w:rsidRPr="00865053">
        <w:rPr>
          <w:sz w:val="24"/>
          <w:szCs w:val="24"/>
        </w:rPr>
        <w:t>s and Figure</w:t>
      </w:r>
      <w:r w:rsidR="004E6E5C" w:rsidRPr="00865053">
        <w:rPr>
          <w:sz w:val="24"/>
          <w:szCs w:val="24"/>
        </w:rPr>
        <w:t xml:space="preserve"> Legend</w:t>
      </w:r>
      <w:r w:rsidRPr="00865053">
        <w:rPr>
          <w:sz w:val="24"/>
          <w:szCs w:val="24"/>
        </w:rPr>
        <w:t>s</w:t>
      </w:r>
      <w:r w:rsidR="00865053" w:rsidRPr="00865053">
        <w:rPr>
          <w:sz w:val="24"/>
          <w:szCs w:val="24"/>
        </w:rPr>
        <w:t xml:space="preserve"> for:</w:t>
      </w:r>
    </w:p>
    <w:p w14:paraId="4EA7CE4E" w14:textId="16A26559" w:rsidR="00865053" w:rsidRPr="00865053" w:rsidRDefault="00865053" w:rsidP="00865053">
      <w:pPr>
        <w:spacing w:line="360" w:lineRule="auto"/>
        <w:rPr>
          <w:rFonts w:ascii="Times New Roman" w:hAnsi="Times New Roman" w:cs="Times New Roman"/>
        </w:rPr>
      </w:pPr>
    </w:p>
    <w:p w14:paraId="57E0D3A9" w14:textId="77777777" w:rsidR="00865053" w:rsidRPr="00865053" w:rsidRDefault="00865053" w:rsidP="00865053">
      <w:pPr>
        <w:pStyle w:val="Heading1"/>
        <w:spacing w:before="0"/>
        <w:jc w:val="center"/>
        <w:rPr>
          <w:i/>
          <w:sz w:val="24"/>
          <w:szCs w:val="24"/>
        </w:rPr>
      </w:pPr>
      <w:r w:rsidRPr="00865053">
        <w:rPr>
          <w:sz w:val="24"/>
          <w:szCs w:val="24"/>
        </w:rPr>
        <w:t xml:space="preserve">A robust phylogenomic timetree for biotechnologically and medically important fungi in the genera </w:t>
      </w:r>
      <w:r w:rsidRPr="00865053">
        <w:rPr>
          <w:i/>
          <w:sz w:val="24"/>
          <w:szCs w:val="24"/>
        </w:rPr>
        <w:t xml:space="preserve">Aspergillus </w:t>
      </w:r>
      <w:r w:rsidRPr="00865053">
        <w:rPr>
          <w:sz w:val="24"/>
          <w:szCs w:val="24"/>
        </w:rPr>
        <w:t xml:space="preserve">and </w:t>
      </w:r>
      <w:r w:rsidRPr="00865053">
        <w:rPr>
          <w:i/>
          <w:sz w:val="24"/>
          <w:szCs w:val="24"/>
        </w:rPr>
        <w:t>Penicillium</w:t>
      </w:r>
    </w:p>
    <w:p w14:paraId="6724E29E" w14:textId="77777777" w:rsidR="00865053" w:rsidRPr="00865053" w:rsidRDefault="00865053" w:rsidP="00865053">
      <w:pPr>
        <w:spacing w:line="360" w:lineRule="auto"/>
        <w:jc w:val="center"/>
        <w:rPr>
          <w:rFonts w:ascii="Times New Roman" w:hAnsi="Times New Roman" w:cs="Times New Roman"/>
        </w:rPr>
      </w:pPr>
    </w:p>
    <w:p w14:paraId="0D16BAA4" w14:textId="77777777" w:rsidR="00865053" w:rsidRPr="00865053" w:rsidRDefault="00865053" w:rsidP="00865053">
      <w:pPr>
        <w:spacing w:line="360" w:lineRule="auto"/>
        <w:jc w:val="center"/>
        <w:rPr>
          <w:rFonts w:ascii="Times New Roman" w:eastAsia="Times New Roman" w:hAnsi="Times New Roman" w:cs="Times New Roman"/>
        </w:rPr>
      </w:pPr>
      <w:r w:rsidRPr="00865053">
        <w:rPr>
          <w:rFonts w:ascii="Times New Roman" w:hAnsi="Times New Roman" w:cs="Times New Roman"/>
        </w:rPr>
        <w:t>Jacob L. Steenwyk</w:t>
      </w:r>
      <w:r w:rsidRPr="00865053">
        <w:rPr>
          <w:rFonts w:ascii="Times New Roman" w:hAnsi="Times New Roman" w:cs="Times New Roman"/>
          <w:vertAlign w:val="superscript"/>
        </w:rPr>
        <w:t>1</w:t>
      </w:r>
      <w:r w:rsidRPr="00865053">
        <w:rPr>
          <w:rFonts w:ascii="Times New Roman" w:hAnsi="Times New Roman" w:cs="Times New Roman"/>
        </w:rPr>
        <w:t>, Xing-Xing Shen</w:t>
      </w:r>
      <w:r w:rsidRPr="00865053">
        <w:rPr>
          <w:rFonts w:ascii="Times New Roman" w:hAnsi="Times New Roman" w:cs="Times New Roman"/>
          <w:vertAlign w:val="superscript"/>
        </w:rPr>
        <w:t>1</w:t>
      </w:r>
      <w:r w:rsidRPr="00865053">
        <w:rPr>
          <w:rFonts w:ascii="Times New Roman" w:hAnsi="Times New Roman" w:cs="Times New Roman"/>
        </w:rPr>
        <w:t>, Abigail L. Lind</w:t>
      </w:r>
      <w:r w:rsidRPr="00865053">
        <w:rPr>
          <w:rFonts w:ascii="Times New Roman" w:hAnsi="Times New Roman" w:cs="Times New Roman"/>
          <w:vertAlign w:val="superscript"/>
        </w:rPr>
        <w:t>2,3</w:t>
      </w:r>
      <w:r w:rsidRPr="00865053">
        <w:rPr>
          <w:rFonts w:ascii="Times New Roman" w:hAnsi="Times New Roman" w:cs="Times New Roman"/>
        </w:rPr>
        <w:t>, Gustavo H. Goldman</w:t>
      </w:r>
      <w:r w:rsidRPr="00865053">
        <w:rPr>
          <w:rFonts w:ascii="Times New Roman" w:hAnsi="Times New Roman" w:cs="Times New Roman"/>
          <w:vertAlign w:val="superscript"/>
        </w:rPr>
        <w:t>4</w:t>
      </w:r>
      <w:r w:rsidRPr="00865053">
        <w:rPr>
          <w:rFonts w:ascii="Times New Roman" w:eastAsia="Times New Roman" w:hAnsi="Times New Roman" w:cs="Times New Roman"/>
        </w:rPr>
        <w:t>,</w:t>
      </w:r>
      <w:r w:rsidRPr="00865053">
        <w:rPr>
          <w:rFonts w:ascii="Times New Roman" w:hAnsi="Times New Roman" w:cs="Times New Roman"/>
        </w:rPr>
        <w:t xml:space="preserve"> and Antonis Rokas</w:t>
      </w:r>
      <w:r w:rsidRPr="00865053">
        <w:rPr>
          <w:rFonts w:ascii="Times New Roman" w:hAnsi="Times New Roman" w:cs="Times New Roman"/>
          <w:vertAlign w:val="superscript"/>
        </w:rPr>
        <w:t>1,2,</w:t>
      </w:r>
      <w:r w:rsidRPr="00865053">
        <w:rPr>
          <w:rFonts w:ascii="Times New Roman" w:hAnsi="Times New Roman" w:cs="Times New Roman"/>
        </w:rPr>
        <w:t>*</w:t>
      </w:r>
    </w:p>
    <w:p w14:paraId="3C02E6FE" w14:textId="77777777" w:rsidR="00865053" w:rsidRPr="00865053" w:rsidRDefault="00865053" w:rsidP="00865053">
      <w:pPr>
        <w:spacing w:line="360" w:lineRule="auto"/>
        <w:jc w:val="center"/>
        <w:rPr>
          <w:rFonts w:ascii="Times New Roman" w:hAnsi="Times New Roman" w:cs="Times New Roman"/>
        </w:rPr>
      </w:pPr>
    </w:p>
    <w:p w14:paraId="566467B4" w14:textId="77777777" w:rsidR="00865053" w:rsidRPr="00865053" w:rsidRDefault="00865053" w:rsidP="00865053">
      <w:pPr>
        <w:spacing w:line="360" w:lineRule="auto"/>
        <w:jc w:val="center"/>
        <w:rPr>
          <w:rFonts w:ascii="Times New Roman" w:hAnsi="Times New Roman" w:cs="Times New Roman"/>
        </w:rPr>
      </w:pPr>
      <w:r w:rsidRPr="00865053">
        <w:rPr>
          <w:rFonts w:ascii="Times New Roman" w:hAnsi="Times New Roman" w:cs="Times New Roman"/>
          <w:vertAlign w:val="superscript"/>
        </w:rPr>
        <w:t xml:space="preserve">1 </w:t>
      </w:r>
      <w:r w:rsidRPr="00865053">
        <w:rPr>
          <w:rFonts w:ascii="Times New Roman" w:hAnsi="Times New Roman" w:cs="Times New Roman"/>
        </w:rPr>
        <w:t>Department of Biological Sciences, Vanderbilt University, Nashville, TN, 37235, USA</w:t>
      </w:r>
    </w:p>
    <w:p w14:paraId="64EB3E87" w14:textId="77777777" w:rsidR="00865053" w:rsidRPr="00865053" w:rsidRDefault="00865053" w:rsidP="00865053">
      <w:pPr>
        <w:spacing w:line="360" w:lineRule="auto"/>
        <w:jc w:val="center"/>
        <w:rPr>
          <w:rFonts w:ascii="Times New Roman" w:hAnsi="Times New Roman" w:cs="Times New Roman"/>
        </w:rPr>
      </w:pPr>
      <w:r w:rsidRPr="00865053">
        <w:rPr>
          <w:rFonts w:ascii="Times New Roman" w:hAnsi="Times New Roman" w:cs="Times New Roman"/>
          <w:vertAlign w:val="superscript"/>
        </w:rPr>
        <w:t xml:space="preserve">2 </w:t>
      </w:r>
      <w:r w:rsidRPr="00865053">
        <w:rPr>
          <w:rFonts w:ascii="Times New Roman" w:hAnsi="Times New Roman" w:cs="Times New Roman"/>
        </w:rPr>
        <w:t>Department of Biomedical Informatics, Vanderbilt University School of Medicine, Nashville, Tennessee, United States of America</w:t>
      </w:r>
    </w:p>
    <w:p w14:paraId="2FCAAE97" w14:textId="77777777" w:rsidR="00865053" w:rsidRPr="00865053" w:rsidRDefault="00865053" w:rsidP="00865053">
      <w:pPr>
        <w:spacing w:line="360" w:lineRule="auto"/>
        <w:jc w:val="center"/>
        <w:rPr>
          <w:rFonts w:ascii="Times New Roman" w:hAnsi="Times New Roman" w:cs="Times New Roman"/>
        </w:rPr>
      </w:pPr>
      <w:r w:rsidRPr="00865053">
        <w:rPr>
          <w:rFonts w:ascii="Times New Roman" w:hAnsi="Times New Roman" w:cs="Times New Roman"/>
          <w:vertAlign w:val="superscript"/>
        </w:rPr>
        <w:t xml:space="preserve">3 </w:t>
      </w:r>
      <w:r w:rsidRPr="00865053">
        <w:rPr>
          <w:rFonts w:ascii="Times New Roman" w:hAnsi="Times New Roman" w:cs="Times New Roman"/>
        </w:rPr>
        <w:t>Gladstone Institute for Data Science and Biotechnology, San Francisco, California, USA</w:t>
      </w:r>
    </w:p>
    <w:p w14:paraId="0D989FC4" w14:textId="77777777" w:rsidR="00865053" w:rsidRPr="00865053" w:rsidRDefault="00865053" w:rsidP="00865053">
      <w:pPr>
        <w:spacing w:line="360" w:lineRule="auto"/>
        <w:jc w:val="center"/>
        <w:rPr>
          <w:rFonts w:ascii="Times New Roman" w:eastAsia="Times New Roman" w:hAnsi="Times New Roman" w:cs="Times New Roman"/>
        </w:rPr>
      </w:pPr>
      <w:r w:rsidRPr="00865053">
        <w:rPr>
          <w:rFonts w:ascii="Times New Roman" w:eastAsia="Times New Roman" w:hAnsi="Times New Roman" w:cs="Times New Roman"/>
          <w:vertAlign w:val="superscript"/>
        </w:rPr>
        <w:t xml:space="preserve">4 </w:t>
      </w:r>
      <w:r w:rsidRPr="00865053">
        <w:rPr>
          <w:rFonts w:ascii="Times New Roman" w:eastAsia="Times New Roman" w:hAnsi="Times New Roman" w:cs="Times New Roman"/>
        </w:rPr>
        <w:t>Departamento de Ciências Farmacêuticas, Faculdade de Ciências Farmacêuticas de Ribeirão Prêto, Bloco Q, Universidade de São Paulo, São Paulo, Brazil</w:t>
      </w:r>
    </w:p>
    <w:p w14:paraId="3335CB91" w14:textId="77777777" w:rsidR="00865053" w:rsidRPr="00865053" w:rsidRDefault="00865053" w:rsidP="00865053">
      <w:pPr>
        <w:spacing w:line="360" w:lineRule="auto"/>
        <w:rPr>
          <w:rFonts w:ascii="Times New Roman" w:hAnsi="Times New Roman" w:cs="Times New Roman"/>
        </w:rPr>
      </w:pPr>
    </w:p>
    <w:p w14:paraId="31CF3758" w14:textId="77777777" w:rsidR="00865053" w:rsidRPr="00865053" w:rsidRDefault="00865053" w:rsidP="00865053">
      <w:pPr>
        <w:spacing w:line="360" w:lineRule="auto"/>
        <w:rPr>
          <w:rFonts w:ascii="Times New Roman" w:hAnsi="Times New Roman" w:cs="Times New Roman"/>
          <w:color w:val="0563C1" w:themeColor="hyperlink"/>
          <w:u w:val="single"/>
        </w:rPr>
      </w:pPr>
      <w:r w:rsidRPr="00865053">
        <w:rPr>
          <w:rFonts w:ascii="Times New Roman" w:hAnsi="Times New Roman" w:cs="Times New Roman"/>
        </w:rPr>
        <w:t xml:space="preserve">* Correspondence: </w:t>
      </w:r>
      <w:hyperlink r:id="rId5">
        <w:r w:rsidRPr="00865053">
          <w:rPr>
            <w:rStyle w:val="Hyperlink"/>
            <w:rFonts w:ascii="Times New Roman" w:hAnsi="Times New Roman" w:cs="Times New Roman"/>
          </w:rPr>
          <w:t>antonis.rokas@vanderbilt.edu</w:t>
        </w:r>
      </w:hyperlink>
    </w:p>
    <w:p w14:paraId="6F16C718" w14:textId="056D8AF1" w:rsidR="00865053" w:rsidRPr="00865053" w:rsidRDefault="00865053" w:rsidP="00865053">
      <w:pPr>
        <w:spacing w:line="360" w:lineRule="auto"/>
        <w:rPr>
          <w:rFonts w:ascii="Times New Roman" w:hAnsi="Times New Roman" w:cs="Times New Roman"/>
        </w:rPr>
      </w:pPr>
      <w:r w:rsidRPr="00865053">
        <w:rPr>
          <w:rFonts w:ascii="Times New Roman" w:hAnsi="Times New Roman" w:cs="Times New Roman"/>
        </w:rPr>
        <w:br w:type="page"/>
      </w:r>
    </w:p>
    <w:p w14:paraId="5677F9D9" w14:textId="36F2FBB4" w:rsidR="00865053" w:rsidRPr="00865053" w:rsidRDefault="00865053" w:rsidP="00865053">
      <w:pPr>
        <w:spacing w:line="360" w:lineRule="auto"/>
        <w:rPr>
          <w:rFonts w:ascii="Times New Roman" w:hAnsi="Times New Roman" w:cs="Times New Roman"/>
          <w:b/>
        </w:rPr>
      </w:pPr>
      <w:r w:rsidRPr="00865053">
        <w:rPr>
          <w:rFonts w:ascii="Times New Roman" w:hAnsi="Times New Roman" w:cs="Times New Roman"/>
          <w:b/>
        </w:rPr>
        <w:lastRenderedPageBreak/>
        <w:t>Supplementary Figure Legend</w:t>
      </w:r>
      <w:r>
        <w:rPr>
          <w:rFonts w:ascii="Times New Roman" w:hAnsi="Times New Roman" w:cs="Times New Roman"/>
          <w:b/>
        </w:rPr>
        <w:t>s</w:t>
      </w:r>
    </w:p>
    <w:p w14:paraId="45FE6F1F" w14:textId="77777777" w:rsidR="0022049F" w:rsidRPr="00865053" w:rsidRDefault="0022049F" w:rsidP="00865053">
      <w:pPr>
        <w:spacing w:line="360" w:lineRule="auto"/>
        <w:rPr>
          <w:rFonts w:ascii="Times New Roman" w:hAnsi="Times New Roman" w:cs="Times New Roman"/>
        </w:rPr>
      </w:pPr>
    </w:p>
    <w:p w14:paraId="05588819" w14:textId="053A4DE7" w:rsidR="00B22F77" w:rsidRPr="00865053" w:rsidRDefault="00B22F77" w:rsidP="00865053">
      <w:pPr>
        <w:pStyle w:val="Heading3"/>
        <w:spacing w:line="360" w:lineRule="auto"/>
        <w:rPr>
          <w:rFonts w:ascii="Times New Roman" w:hAnsi="Times New Roman" w:cs="Times New Roman"/>
          <w:b/>
          <w:color w:val="000000" w:themeColor="text1"/>
        </w:rPr>
      </w:pPr>
      <w:r w:rsidRPr="00865053">
        <w:rPr>
          <w:rFonts w:ascii="Times New Roman" w:hAnsi="Times New Roman" w:cs="Times New Roman"/>
          <w:b/>
          <w:color w:val="000000" w:themeColor="text1"/>
        </w:rPr>
        <w:t xml:space="preserve">Supplementary figure </w:t>
      </w:r>
      <w:r w:rsidR="00D505AA" w:rsidRPr="00865053">
        <w:rPr>
          <w:rFonts w:ascii="Times New Roman" w:hAnsi="Times New Roman" w:cs="Times New Roman"/>
          <w:b/>
          <w:color w:val="000000" w:themeColor="text1"/>
        </w:rPr>
        <w:t>1</w:t>
      </w:r>
      <w:r w:rsidRPr="00865053">
        <w:rPr>
          <w:rFonts w:ascii="Times New Roman" w:hAnsi="Times New Roman" w:cs="Times New Roman"/>
          <w:b/>
          <w:color w:val="000000" w:themeColor="text1"/>
        </w:rPr>
        <w:t xml:space="preserve">. </w:t>
      </w:r>
      <w:r w:rsidR="00217DD4" w:rsidRPr="00865053">
        <w:rPr>
          <w:rFonts w:ascii="Times New Roman" w:hAnsi="Times New Roman" w:cs="Times New Roman"/>
          <w:b/>
          <w:color w:val="000000" w:themeColor="text1"/>
        </w:rPr>
        <w:t xml:space="preserve">Previously reported phylogenies </w:t>
      </w:r>
      <w:r w:rsidR="005C5CDA" w:rsidRPr="00865053">
        <w:rPr>
          <w:rFonts w:ascii="Times New Roman" w:hAnsi="Times New Roman" w:cs="Times New Roman"/>
          <w:b/>
          <w:color w:val="000000" w:themeColor="text1"/>
        </w:rPr>
        <w:t>of Aspergillaceae sections</w:t>
      </w:r>
    </w:p>
    <w:p w14:paraId="4D6F9D68" w14:textId="5D72E691" w:rsidR="00B22F77" w:rsidRPr="00865053" w:rsidRDefault="00D505AA" w:rsidP="00865053">
      <w:pPr>
        <w:spacing w:line="360" w:lineRule="auto"/>
        <w:rPr>
          <w:rFonts w:ascii="Times New Roman" w:hAnsi="Times New Roman" w:cs="Times New Roman"/>
        </w:rPr>
      </w:pPr>
      <w:r w:rsidRPr="00865053">
        <w:rPr>
          <w:rFonts w:ascii="Times New Roman" w:hAnsi="Times New Roman" w:cs="Times New Roman"/>
        </w:rPr>
        <w:t>(top)</w:t>
      </w:r>
      <w:r w:rsidR="005C5CDA" w:rsidRPr="00865053">
        <w:rPr>
          <w:rFonts w:ascii="Times New Roman" w:hAnsi="Times New Roman" w:cs="Times New Roman"/>
        </w:rPr>
        <w:t xml:space="preserve"> The four previously reported phylogenies of Aspergillaceae sections based on genome-scale amounts of data. Note that the inferred relationships among sections differ between the four phylogenies and that the sampling of the sections is relatively sparse in all the phylogenies</w:t>
      </w:r>
      <w:r w:rsidR="00B22F77" w:rsidRPr="00865053">
        <w:rPr>
          <w:rFonts w:ascii="Times New Roman" w:hAnsi="Times New Roman" w:cs="Times New Roman"/>
        </w:rPr>
        <w:t>.</w:t>
      </w:r>
      <w:r w:rsidR="0008517A" w:rsidRPr="00865053">
        <w:rPr>
          <w:rFonts w:ascii="Times New Roman" w:hAnsi="Times New Roman" w:cs="Times New Roman"/>
        </w:rPr>
        <w:t xml:space="preserve"> </w:t>
      </w:r>
      <w:r w:rsidRPr="00865053">
        <w:rPr>
          <w:rFonts w:ascii="Times New Roman" w:hAnsi="Times New Roman" w:cs="Times New Roman"/>
        </w:rPr>
        <w:t>(middle)</w:t>
      </w:r>
      <w:r w:rsidR="005C5CDA" w:rsidRPr="00865053">
        <w:rPr>
          <w:rFonts w:ascii="Times New Roman" w:hAnsi="Times New Roman" w:cs="Times New Roman"/>
        </w:rPr>
        <w:t xml:space="preserve"> The three previously reported phylogenies of Aspergillaceae sections based on m</w:t>
      </w:r>
      <w:r w:rsidR="0008517A" w:rsidRPr="00865053">
        <w:rPr>
          <w:rFonts w:ascii="Times New Roman" w:hAnsi="Times New Roman" w:cs="Times New Roman"/>
        </w:rPr>
        <w:t xml:space="preserve">ulti-gene </w:t>
      </w:r>
      <w:r w:rsidR="005C5CDA" w:rsidRPr="00865053">
        <w:rPr>
          <w:rFonts w:ascii="Times New Roman" w:hAnsi="Times New Roman" w:cs="Times New Roman"/>
        </w:rPr>
        <w:t>analyses. Note that here too the inferred relationships among sections differ among the phylogenies but that the sampling of sections in some of the studies is denser</w:t>
      </w:r>
      <w:r w:rsidR="0008517A" w:rsidRPr="00865053">
        <w:rPr>
          <w:rFonts w:ascii="Times New Roman" w:hAnsi="Times New Roman" w:cs="Times New Roman"/>
        </w:rPr>
        <w:t>.</w:t>
      </w:r>
      <w:r w:rsidR="00B22F77" w:rsidRPr="00865053">
        <w:rPr>
          <w:rFonts w:ascii="Times New Roman" w:hAnsi="Times New Roman" w:cs="Times New Roman"/>
        </w:rPr>
        <w:t xml:space="preserve"> </w:t>
      </w:r>
      <w:r w:rsidR="0019314C" w:rsidRPr="00865053">
        <w:rPr>
          <w:rFonts w:ascii="Times New Roman" w:hAnsi="Times New Roman" w:cs="Times New Roman"/>
        </w:rPr>
        <w:t>(bottom)</w:t>
      </w:r>
      <w:r w:rsidRPr="00865053">
        <w:rPr>
          <w:rFonts w:ascii="Times New Roman" w:hAnsi="Times New Roman" w:cs="Times New Roman"/>
        </w:rPr>
        <w:t xml:space="preserve"> Comparisons between</w:t>
      </w:r>
      <w:r w:rsidR="005C5CDA" w:rsidRPr="00865053">
        <w:rPr>
          <w:rFonts w:ascii="Times New Roman" w:hAnsi="Times New Roman" w:cs="Times New Roman"/>
        </w:rPr>
        <w:t xml:space="preserve"> the phylogenies inferred from</w:t>
      </w:r>
      <w:r w:rsidRPr="00865053">
        <w:rPr>
          <w:rFonts w:ascii="Times New Roman" w:hAnsi="Times New Roman" w:cs="Times New Roman"/>
        </w:rPr>
        <w:t xml:space="preserve"> </w:t>
      </w:r>
      <w:r w:rsidR="005C5CDA" w:rsidRPr="00865053">
        <w:rPr>
          <w:rFonts w:ascii="Times New Roman" w:hAnsi="Times New Roman" w:cs="Times New Roman"/>
        </w:rPr>
        <w:t>three representative previous studies. Lines denote sections that are shared between the pairs of phylogenies compared. Note the widespread</w:t>
      </w:r>
      <w:r w:rsidRPr="00865053">
        <w:rPr>
          <w:rFonts w:ascii="Times New Roman" w:hAnsi="Times New Roman" w:cs="Times New Roman"/>
        </w:rPr>
        <w:t xml:space="preserve"> lack of consensus </w:t>
      </w:r>
      <w:r w:rsidR="005C5CDA" w:rsidRPr="00865053">
        <w:rPr>
          <w:rFonts w:ascii="Times New Roman" w:hAnsi="Times New Roman" w:cs="Times New Roman"/>
        </w:rPr>
        <w:t>in the inferred relationships among sections and the differences in sections sampled</w:t>
      </w:r>
      <w:r w:rsidRPr="00865053">
        <w:rPr>
          <w:rFonts w:ascii="Times New Roman" w:hAnsi="Times New Roman" w:cs="Times New Roman"/>
        </w:rPr>
        <w:t>.</w:t>
      </w:r>
    </w:p>
    <w:p w14:paraId="4DF684FC" w14:textId="77777777" w:rsidR="00B22F77" w:rsidRPr="00865053" w:rsidRDefault="00B22F77" w:rsidP="00865053">
      <w:pPr>
        <w:spacing w:line="360" w:lineRule="auto"/>
        <w:rPr>
          <w:rFonts w:ascii="Times New Roman" w:hAnsi="Times New Roman" w:cs="Times New Roman"/>
        </w:rPr>
      </w:pPr>
    </w:p>
    <w:p w14:paraId="54CDC24F" w14:textId="21409017" w:rsidR="00ED77F2" w:rsidRPr="00865053" w:rsidRDefault="00ED77F2" w:rsidP="00865053">
      <w:pPr>
        <w:pStyle w:val="Heading2"/>
        <w:spacing w:line="360" w:lineRule="auto"/>
        <w:rPr>
          <w:rFonts w:ascii="Times New Roman" w:hAnsi="Times New Roman" w:cs="Times New Roman"/>
          <w:b/>
          <w:color w:val="000000" w:themeColor="text1"/>
          <w:sz w:val="24"/>
          <w:szCs w:val="24"/>
        </w:rPr>
      </w:pPr>
      <w:r w:rsidRPr="00865053">
        <w:rPr>
          <w:rFonts w:ascii="Times New Roman" w:hAnsi="Times New Roman" w:cs="Times New Roman"/>
          <w:b/>
          <w:color w:val="000000" w:themeColor="text1"/>
          <w:sz w:val="24"/>
          <w:szCs w:val="24"/>
        </w:rPr>
        <w:t xml:space="preserve">Supplementary figure </w:t>
      </w:r>
      <w:r w:rsidR="00470988" w:rsidRPr="00865053">
        <w:rPr>
          <w:rFonts w:ascii="Times New Roman" w:hAnsi="Times New Roman" w:cs="Times New Roman"/>
          <w:b/>
          <w:color w:val="000000" w:themeColor="text1"/>
          <w:sz w:val="24"/>
          <w:szCs w:val="24"/>
        </w:rPr>
        <w:t>2</w:t>
      </w:r>
      <w:r w:rsidRPr="00865053">
        <w:rPr>
          <w:rFonts w:ascii="Times New Roman" w:hAnsi="Times New Roman" w:cs="Times New Roman"/>
          <w:b/>
          <w:color w:val="000000" w:themeColor="text1"/>
          <w:sz w:val="24"/>
          <w:szCs w:val="24"/>
        </w:rPr>
        <w:t xml:space="preserve">. </w:t>
      </w:r>
      <w:r w:rsidR="00EC22D9" w:rsidRPr="00865053">
        <w:rPr>
          <w:rFonts w:ascii="Times New Roman" w:hAnsi="Times New Roman" w:cs="Times New Roman"/>
          <w:b/>
          <w:color w:val="000000" w:themeColor="text1"/>
          <w:sz w:val="24"/>
          <w:szCs w:val="24"/>
        </w:rPr>
        <w:t xml:space="preserve">The </w:t>
      </w:r>
      <w:r w:rsidR="00687655" w:rsidRPr="00865053">
        <w:rPr>
          <w:rFonts w:ascii="Times New Roman" w:hAnsi="Times New Roman" w:cs="Times New Roman"/>
          <w:b/>
          <w:color w:val="000000" w:themeColor="text1"/>
          <w:sz w:val="24"/>
          <w:szCs w:val="24"/>
        </w:rPr>
        <w:t xml:space="preserve">93 selected genomes exhibit high levels of </w:t>
      </w:r>
      <w:r w:rsidRPr="00865053">
        <w:rPr>
          <w:rFonts w:ascii="Times New Roman" w:hAnsi="Times New Roman" w:cs="Times New Roman"/>
          <w:b/>
          <w:color w:val="000000" w:themeColor="text1"/>
          <w:sz w:val="24"/>
          <w:szCs w:val="24"/>
        </w:rPr>
        <w:t>genome completeness</w:t>
      </w:r>
      <w:r w:rsidR="00687655" w:rsidRPr="00865053">
        <w:rPr>
          <w:rFonts w:ascii="Times New Roman" w:hAnsi="Times New Roman" w:cs="Times New Roman"/>
          <w:b/>
          <w:color w:val="000000" w:themeColor="text1"/>
          <w:sz w:val="24"/>
          <w:szCs w:val="24"/>
        </w:rPr>
        <w:t xml:space="preserve"> and are of high quality for phylogenomic studies</w:t>
      </w:r>
    </w:p>
    <w:p w14:paraId="5BB2A2C4" w14:textId="1955907A" w:rsidR="00ED77F2" w:rsidRPr="00865053" w:rsidRDefault="00687655" w:rsidP="00865053">
      <w:pPr>
        <w:spacing w:line="360" w:lineRule="auto"/>
        <w:rPr>
          <w:rFonts w:ascii="Times New Roman" w:hAnsi="Times New Roman" w:cs="Times New Roman"/>
        </w:rPr>
      </w:pPr>
      <w:r w:rsidRPr="00865053">
        <w:rPr>
          <w:rFonts w:ascii="Times New Roman" w:hAnsi="Times New Roman" w:cs="Times New Roman"/>
        </w:rPr>
        <w:t xml:space="preserve">81 </w:t>
      </w:r>
      <w:r w:rsidR="00DD5162" w:rsidRPr="00865053">
        <w:rPr>
          <w:rFonts w:ascii="Times New Roman" w:hAnsi="Times New Roman" w:cs="Times New Roman"/>
        </w:rPr>
        <w:t>fungal genomes belonging to the family Aspergillaceae</w:t>
      </w:r>
      <w:r w:rsidRPr="00865053">
        <w:rPr>
          <w:rFonts w:ascii="Times New Roman" w:hAnsi="Times New Roman" w:cs="Times New Roman"/>
        </w:rPr>
        <w:t xml:space="preserve"> and 12 outgroups</w:t>
      </w:r>
      <w:r w:rsidR="00DD5162" w:rsidRPr="00865053">
        <w:rPr>
          <w:rFonts w:ascii="Times New Roman" w:hAnsi="Times New Roman" w:cs="Times New Roman"/>
        </w:rPr>
        <w:t xml:space="preserve"> were downloaded from NCBI</w:t>
      </w:r>
      <w:r w:rsidR="006C17EA" w:rsidRPr="00865053">
        <w:rPr>
          <w:rFonts w:ascii="Times New Roman" w:hAnsi="Times New Roman" w:cs="Times New Roman"/>
        </w:rPr>
        <w:t xml:space="preserve"> and assessed for </w:t>
      </w:r>
      <w:r w:rsidRPr="00865053">
        <w:rPr>
          <w:rFonts w:ascii="Times New Roman" w:hAnsi="Times New Roman" w:cs="Times New Roman"/>
        </w:rPr>
        <w:t xml:space="preserve">genome </w:t>
      </w:r>
      <w:r w:rsidR="006C17EA" w:rsidRPr="00865053">
        <w:rPr>
          <w:rFonts w:ascii="Times New Roman" w:hAnsi="Times New Roman" w:cs="Times New Roman"/>
        </w:rPr>
        <w:t>completeness</w:t>
      </w:r>
      <w:r w:rsidRPr="00865053">
        <w:rPr>
          <w:rFonts w:ascii="Times New Roman" w:hAnsi="Times New Roman" w:cs="Times New Roman"/>
        </w:rPr>
        <w:t xml:space="preserve"> based on their percentages of </w:t>
      </w:r>
      <w:r w:rsidR="006D382B" w:rsidRPr="00865053">
        <w:rPr>
          <w:rFonts w:ascii="Times New Roman" w:hAnsi="Times New Roman" w:cs="Times New Roman"/>
        </w:rPr>
        <w:t>single-copy, duplicated, fragmented, and missing BUSCO genes</w:t>
      </w:r>
      <w:r w:rsidR="006C17EA" w:rsidRPr="00865053">
        <w:rPr>
          <w:rFonts w:ascii="Times New Roman" w:hAnsi="Times New Roman" w:cs="Times New Roman"/>
        </w:rPr>
        <w:t xml:space="preserve">. </w:t>
      </w:r>
      <w:r w:rsidR="00875984" w:rsidRPr="00865053">
        <w:rPr>
          <w:rFonts w:ascii="Times New Roman" w:hAnsi="Times New Roman" w:cs="Times New Roman"/>
        </w:rPr>
        <w:t xml:space="preserve">In the figure, the genomes </w:t>
      </w:r>
      <w:r w:rsidR="006C17EA" w:rsidRPr="00865053">
        <w:rPr>
          <w:rFonts w:ascii="Times New Roman" w:hAnsi="Times New Roman" w:cs="Times New Roman"/>
        </w:rPr>
        <w:t xml:space="preserve">are ordered </w:t>
      </w:r>
      <w:r w:rsidR="00875984" w:rsidRPr="00865053">
        <w:rPr>
          <w:rFonts w:ascii="Times New Roman" w:hAnsi="Times New Roman" w:cs="Times New Roman"/>
        </w:rPr>
        <w:t xml:space="preserve">from the genome showing </w:t>
      </w:r>
      <w:r w:rsidR="006C17EA" w:rsidRPr="00865053">
        <w:rPr>
          <w:rFonts w:ascii="Times New Roman" w:hAnsi="Times New Roman" w:cs="Times New Roman"/>
        </w:rPr>
        <w:t xml:space="preserve">the greatest percentage of single copy BUSCO genes (top) to </w:t>
      </w:r>
      <w:r w:rsidR="00875984" w:rsidRPr="00865053">
        <w:rPr>
          <w:rFonts w:ascii="Times New Roman" w:hAnsi="Times New Roman" w:cs="Times New Roman"/>
        </w:rPr>
        <w:t xml:space="preserve">that showing the </w:t>
      </w:r>
      <w:r w:rsidR="006C17EA" w:rsidRPr="00865053">
        <w:rPr>
          <w:rFonts w:ascii="Times New Roman" w:hAnsi="Times New Roman" w:cs="Times New Roman"/>
        </w:rPr>
        <w:t xml:space="preserve">lowest percentage of single copy BUSCO genes (bottom). </w:t>
      </w:r>
    </w:p>
    <w:p w14:paraId="74A43C85" w14:textId="77777777" w:rsidR="00ED77F2" w:rsidRPr="00865053" w:rsidRDefault="00ED77F2" w:rsidP="00865053">
      <w:pPr>
        <w:spacing w:line="360" w:lineRule="auto"/>
        <w:rPr>
          <w:rFonts w:ascii="Times New Roman" w:hAnsi="Times New Roman" w:cs="Times New Roman"/>
          <w:b/>
        </w:rPr>
      </w:pPr>
    </w:p>
    <w:p w14:paraId="6EDCAB91" w14:textId="71C91102" w:rsidR="002D0121" w:rsidRPr="00865053" w:rsidRDefault="00307097" w:rsidP="00865053">
      <w:pPr>
        <w:pStyle w:val="Heading2"/>
        <w:spacing w:line="360" w:lineRule="auto"/>
        <w:rPr>
          <w:rFonts w:ascii="Times New Roman" w:hAnsi="Times New Roman" w:cs="Times New Roman"/>
          <w:b/>
          <w:color w:val="000000" w:themeColor="text1"/>
          <w:sz w:val="24"/>
          <w:szCs w:val="24"/>
        </w:rPr>
      </w:pPr>
      <w:r w:rsidRPr="00865053">
        <w:rPr>
          <w:rFonts w:ascii="Times New Roman" w:hAnsi="Times New Roman" w:cs="Times New Roman"/>
          <w:b/>
          <w:color w:val="000000" w:themeColor="text1"/>
          <w:sz w:val="24"/>
          <w:szCs w:val="24"/>
        </w:rPr>
        <w:t>Suppleme</w:t>
      </w:r>
      <w:r w:rsidR="003555FC" w:rsidRPr="00865053">
        <w:rPr>
          <w:rFonts w:ascii="Times New Roman" w:hAnsi="Times New Roman" w:cs="Times New Roman"/>
          <w:b/>
          <w:color w:val="000000" w:themeColor="text1"/>
          <w:sz w:val="24"/>
          <w:szCs w:val="24"/>
        </w:rPr>
        <w:t xml:space="preserve">ntary figure </w:t>
      </w:r>
      <w:r w:rsidR="006D752B" w:rsidRPr="00865053">
        <w:rPr>
          <w:rFonts w:ascii="Times New Roman" w:hAnsi="Times New Roman" w:cs="Times New Roman"/>
          <w:b/>
          <w:color w:val="000000" w:themeColor="text1"/>
          <w:sz w:val="24"/>
          <w:szCs w:val="24"/>
        </w:rPr>
        <w:t>3</w:t>
      </w:r>
      <w:r w:rsidRPr="00865053">
        <w:rPr>
          <w:rFonts w:ascii="Times New Roman" w:hAnsi="Times New Roman" w:cs="Times New Roman"/>
          <w:b/>
          <w:color w:val="000000" w:themeColor="text1"/>
          <w:sz w:val="24"/>
          <w:szCs w:val="24"/>
        </w:rPr>
        <w:t xml:space="preserve">. </w:t>
      </w:r>
      <w:r w:rsidR="00875984" w:rsidRPr="00865053">
        <w:rPr>
          <w:rFonts w:ascii="Times New Roman" w:hAnsi="Times New Roman" w:cs="Times New Roman"/>
          <w:b/>
          <w:color w:val="000000" w:themeColor="text1"/>
          <w:sz w:val="24"/>
          <w:szCs w:val="24"/>
        </w:rPr>
        <w:t>The p</w:t>
      </w:r>
      <w:r w:rsidR="007736AA" w:rsidRPr="00865053">
        <w:rPr>
          <w:rFonts w:ascii="Times New Roman" w:hAnsi="Times New Roman" w:cs="Times New Roman"/>
          <w:b/>
          <w:color w:val="000000" w:themeColor="text1"/>
          <w:sz w:val="24"/>
          <w:szCs w:val="24"/>
        </w:rPr>
        <w:t>hylogenomics pipeline</w:t>
      </w:r>
      <w:r w:rsidR="00875984" w:rsidRPr="00865053">
        <w:rPr>
          <w:rFonts w:ascii="Times New Roman" w:hAnsi="Times New Roman" w:cs="Times New Roman"/>
          <w:b/>
          <w:color w:val="000000" w:themeColor="text1"/>
          <w:sz w:val="24"/>
          <w:szCs w:val="24"/>
        </w:rPr>
        <w:t xml:space="preserve"> used in this study</w:t>
      </w:r>
    </w:p>
    <w:p w14:paraId="1A867531" w14:textId="178C1F2C" w:rsidR="00307097" w:rsidRPr="00865053" w:rsidRDefault="007736AA" w:rsidP="00865053">
      <w:pPr>
        <w:spacing w:line="360" w:lineRule="auto"/>
        <w:rPr>
          <w:rFonts w:ascii="Times New Roman" w:hAnsi="Times New Roman" w:cs="Times New Roman"/>
        </w:rPr>
      </w:pPr>
      <w:r w:rsidRPr="00865053">
        <w:rPr>
          <w:rFonts w:ascii="Times New Roman" w:hAnsi="Times New Roman" w:cs="Times New Roman"/>
        </w:rPr>
        <w:t xml:space="preserve">For each genome assembly, </w:t>
      </w:r>
      <w:r w:rsidR="00F94BA2" w:rsidRPr="00865053">
        <w:rPr>
          <w:rFonts w:ascii="Times New Roman" w:hAnsi="Times New Roman" w:cs="Times New Roman"/>
        </w:rPr>
        <w:t>BUSCO genes were identified</w:t>
      </w:r>
      <w:r w:rsidRPr="00865053">
        <w:rPr>
          <w:rFonts w:ascii="Times New Roman" w:hAnsi="Times New Roman" w:cs="Times New Roman"/>
        </w:rPr>
        <w:t xml:space="preserve"> resulting in</w:t>
      </w:r>
      <w:r w:rsidR="00F94BA2" w:rsidRPr="00865053">
        <w:rPr>
          <w:rFonts w:ascii="Times New Roman" w:hAnsi="Times New Roman" w:cs="Times New Roman"/>
        </w:rPr>
        <w:t xml:space="preserve"> </w:t>
      </w:r>
      <w:r w:rsidRPr="00865053">
        <w:rPr>
          <w:rFonts w:ascii="Times New Roman" w:hAnsi="Times New Roman" w:cs="Times New Roman"/>
        </w:rPr>
        <w:t>a</w:t>
      </w:r>
      <w:r w:rsidR="00F94BA2" w:rsidRPr="00865053">
        <w:rPr>
          <w:rFonts w:ascii="Times New Roman" w:hAnsi="Times New Roman" w:cs="Times New Roman"/>
        </w:rPr>
        <w:t xml:space="preserve"> set</w:t>
      </w:r>
      <w:r w:rsidR="00125CDA" w:rsidRPr="00865053">
        <w:rPr>
          <w:rFonts w:ascii="Times New Roman" w:hAnsi="Times New Roman" w:cs="Times New Roman"/>
        </w:rPr>
        <w:t xml:space="preserve"> </w:t>
      </w:r>
      <w:r w:rsidR="00F94BA2" w:rsidRPr="00865053">
        <w:rPr>
          <w:rFonts w:ascii="Times New Roman" w:hAnsi="Times New Roman" w:cs="Times New Roman"/>
        </w:rPr>
        <w:t>of BUSCO genes</w:t>
      </w:r>
      <w:r w:rsidRPr="00865053">
        <w:rPr>
          <w:rFonts w:ascii="Times New Roman" w:hAnsi="Times New Roman" w:cs="Times New Roman"/>
        </w:rPr>
        <w:t xml:space="preserve"> per genome (93 </w:t>
      </w:r>
      <w:r w:rsidR="009539AD" w:rsidRPr="00865053">
        <w:rPr>
          <w:rFonts w:ascii="Times New Roman" w:hAnsi="Times New Roman" w:cs="Times New Roman"/>
        </w:rPr>
        <w:t xml:space="preserve">total </w:t>
      </w:r>
      <w:r w:rsidRPr="00865053">
        <w:rPr>
          <w:rFonts w:ascii="Times New Roman" w:hAnsi="Times New Roman" w:cs="Times New Roman"/>
        </w:rPr>
        <w:t>sets of BUSCO genes).</w:t>
      </w:r>
      <w:r w:rsidR="00BD3D4B" w:rsidRPr="00865053">
        <w:rPr>
          <w:rFonts w:ascii="Times New Roman" w:hAnsi="Times New Roman" w:cs="Times New Roman"/>
        </w:rPr>
        <w:t xml:space="preserve"> Amino acid multi-fasta files (mfasta) were created for each BUSCO gene where at least 50% of each </w:t>
      </w:r>
      <w:r w:rsidR="00875984" w:rsidRPr="00865053">
        <w:rPr>
          <w:rFonts w:ascii="Times New Roman" w:hAnsi="Times New Roman" w:cs="Times New Roman"/>
        </w:rPr>
        <w:t>taxon</w:t>
      </w:r>
      <w:r w:rsidR="00BD3D4B" w:rsidRPr="00865053">
        <w:rPr>
          <w:rFonts w:ascii="Times New Roman" w:hAnsi="Times New Roman" w:cs="Times New Roman"/>
        </w:rPr>
        <w:t xml:space="preserve"> was represented resulting in 3</w:t>
      </w:r>
      <w:r w:rsidR="00875984" w:rsidRPr="00865053">
        <w:rPr>
          <w:rFonts w:ascii="Times New Roman" w:hAnsi="Times New Roman" w:cs="Times New Roman"/>
        </w:rPr>
        <w:t>,</w:t>
      </w:r>
      <w:r w:rsidR="00BD3D4B" w:rsidRPr="00865053">
        <w:rPr>
          <w:rFonts w:ascii="Times New Roman" w:hAnsi="Times New Roman" w:cs="Times New Roman"/>
        </w:rPr>
        <w:t>138 BUSCO</w:t>
      </w:r>
      <w:r w:rsidR="00875984" w:rsidRPr="00865053">
        <w:rPr>
          <w:rFonts w:ascii="Times New Roman" w:hAnsi="Times New Roman" w:cs="Times New Roman"/>
        </w:rPr>
        <w:t xml:space="preserve"> genes</w:t>
      </w:r>
      <w:r w:rsidR="00BD3D4B" w:rsidRPr="00865053">
        <w:rPr>
          <w:rFonts w:ascii="Times New Roman" w:hAnsi="Times New Roman" w:cs="Times New Roman"/>
        </w:rPr>
        <w:t>. Mfasta</w:t>
      </w:r>
      <w:r w:rsidR="00875984" w:rsidRPr="00865053">
        <w:rPr>
          <w:rFonts w:ascii="Times New Roman" w:hAnsi="Times New Roman" w:cs="Times New Roman"/>
        </w:rPr>
        <w:t xml:space="preserve"> file</w:t>
      </w:r>
      <w:r w:rsidR="00BD3D4B" w:rsidRPr="00865053">
        <w:rPr>
          <w:rFonts w:ascii="Times New Roman" w:hAnsi="Times New Roman" w:cs="Times New Roman"/>
        </w:rPr>
        <w:t>s were then aligned</w:t>
      </w:r>
      <w:r w:rsidR="00BD3D4B" w:rsidRPr="00865053">
        <w:rPr>
          <w:rFonts w:ascii="Times New Roman" w:hAnsi="Times New Roman" w:cs="Times New Roman"/>
          <w:smallCaps/>
        </w:rPr>
        <w:t>.</w:t>
      </w:r>
      <w:r w:rsidR="00BD3D4B" w:rsidRPr="00865053">
        <w:rPr>
          <w:rFonts w:ascii="Times New Roman" w:hAnsi="Times New Roman" w:cs="Times New Roman"/>
        </w:rPr>
        <w:t xml:space="preserve"> To obtain nucleotide mfasta files, DNA sequences were threaded onto the protein alignment resulting in an additional set of </w:t>
      </w:r>
      <w:r w:rsidR="00875984" w:rsidRPr="00865053">
        <w:rPr>
          <w:rFonts w:ascii="Times New Roman" w:hAnsi="Times New Roman" w:cs="Times New Roman"/>
        </w:rPr>
        <w:t>3,138</w:t>
      </w:r>
      <w:r w:rsidR="00BD3D4B" w:rsidRPr="00865053">
        <w:rPr>
          <w:rFonts w:ascii="Times New Roman" w:hAnsi="Times New Roman" w:cs="Times New Roman"/>
        </w:rPr>
        <w:t xml:space="preserve"> BUSCO mfasta</w:t>
      </w:r>
      <w:r w:rsidR="00875984" w:rsidRPr="00865053">
        <w:rPr>
          <w:rFonts w:ascii="Times New Roman" w:hAnsi="Times New Roman" w:cs="Times New Roman"/>
        </w:rPr>
        <w:t xml:space="preserve"> file</w:t>
      </w:r>
      <w:r w:rsidR="00BD3D4B" w:rsidRPr="00865053">
        <w:rPr>
          <w:rFonts w:ascii="Times New Roman" w:hAnsi="Times New Roman" w:cs="Times New Roman"/>
        </w:rPr>
        <w:t xml:space="preserve">s. Amino acid and nucleotide mfasta files were trimmed </w:t>
      </w:r>
      <w:r w:rsidR="00B52691" w:rsidRPr="00865053">
        <w:rPr>
          <w:rFonts w:ascii="Times New Roman" w:hAnsi="Times New Roman" w:cs="Times New Roman"/>
        </w:rPr>
        <w:t>and BUSCOs were removed from subsequent analyses if the trimmed alignment was less than 50% the length of the original alignment for either amino acids or nucleotides resulting in 1</w:t>
      </w:r>
      <w:r w:rsidR="00875984" w:rsidRPr="00865053">
        <w:rPr>
          <w:rFonts w:ascii="Times New Roman" w:hAnsi="Times New Roman" w:cs="Times New Roman"/>
        </w:rPr>
        <w:t>,</w:t>
      </w:r>
      <w:r w:rsidR="00B52691" w:rsidRPr="00865053">
        <w:rPr>
          <w:rFonts w:ascii="Times New Roman" w:hAnsi="Times New Roman" w:cs="Times New Roman"/>
        </w:rPr>
        <w:t xml:space="preserve">773 BUSCOs. Short </w:t>
      </w:r>
      <w:r w:rsidR="00B52691" w:rsidRPr="00865053">
        <w:rPr>
          <w:rFonts w:ascii="Times New Roman" w:hAnsi="Times New Roman" w:cs="Times New Roman"/>
        </w:rPr>
        <w:lastRenderedPageBreak/>
        <w:t>BUSCO</w:t>
      </w:r>
      <w:r w:rsidR="00875984" w:rsidRPr="00865053">
        <w:rPr>
          <w:rFonts w:ascii="Times New Roman" w:hAnsi="Times New Roman" w:cs="Times New Roman"/>
        </w:rPr>
        <w:t xml:space="preserve"> gene alignment</w:t>
      </w:r>
      <w:r w:rsidR="00B52691" w:rsidRPr="00865053">
        <w:rPr>
          <w:rFonts w:ascii="Times New Roman" w:hAnsi="Times New Roman" w:cs="Times New Roman"/>
        </w:rPr>
        <w:t xml:space="preserve">s defined as ≤ 167 </w:t>
      </w:r>
      <w:r w:rsidR="00875984" w:rsidRPr="00865053">
        <w:rPr>
          <w:rFonts w:ascii="Times New Roman" w:hAnsi="Times New Roman" w:cs="Times New Roman"/>
        </w:rPr>
        <w:t xml:space="preserve">amino acids </w:t>
      </w:r>
      <w:r w:rsidR="00B52691" w:rsidRPr="00865053">
        <w:rPr>
          <w:rFonts w:ascii="Times New Roman" w:hAnsi="Times New Roman" w:cs="Times New Roman"/>
        </w:rPr>
        <w:t>or ≤ 501 nucleotides, respectively, were removed</w:t>
      </w:r>
      <w:r w:rsidR="00875984" w:rsidRPr="00865053">
        <w:rPr>
          <w:rFonts w:ascii="Times New Roman" w:hAnsi="Times New Roman" w:cs="Times New Roman"/>
        </w:rPr>
        <w:t>,</w:t>
      </w:r>
      <w:r w:rsidR="00B52691" w:rsidRPr="00865053">
        <w:rPr>
          <w:rFonts w:ascii="Times New Roman" w:hAnsi="Times New Roman" w:cs="Times New Roman"/>
        </w:rPr>
        <w:t xml:space="preserve"> resulting in a final set of 1</w:t>
      </w:r>
      <w:r w:rsidR="00875984" w:rsidRPr="00865053">
        <w:rPr>
          <w:rFonts w:ascii="Times New Roman" w:hAnsi="Times New Roman" w:cs="Times New Roman"/>
        </w:rPr>
        <w:t>,</w:t>
      </w:r>
      <w:r w:rsidR="00B52691" w:rsidRPr="00865053">
        <w:rPr>
          <w:rFonts w:ascii="Times New Roman" w:hAnsi="Times New Roman" w:cs="Times New Roman"/>
        </w:rPr>
        <w:t>668 BUSCO</w:t>
      </w:r>
      <w:r w:rsidR="00875984" w:rsidRPr="00865053">
        <w:rPr>
          <w:rFonts w:ascii="Times New Roman" w:hAnsi="Times New Roman" w:cs="Times New Roman"/>
        </w:rPr>
        <w:t xml:space="preserve"> gene alignment</w:t>
      </w:r>
      <w:r w:rsidR="00B52691" w:rsidRPr="00865053">
        <w:rPr>
          <w:rFonts w:ascii="Times New Roman" w:hAnsi="Times New Roman" w:cs="Times New Roman"/>
        </w:rPr>
        <w:t>s</w:t>
      </w:r>
      <w:r w:rsidR="006D11DF" w:rsidRPr="00865053">
        <w:rPr>
          <w:rFonts w:ascii="Times New Roman" w:hAnsi="Times New Roman" w:cs="Times New Roman"/>
        </w:rPr>
        <w:t xml:space="preserve"> (BUSCO1668)</w:t>
      </w:r>
      <w:r w:rsidR="00B52691" w:rsidRPr="00865053">
        <w:rPr>
          <w:rFonts w:ascii="Times New Roman" w:hAnsi="Times New Roman" w:cs="Times New Roman"/>
        </w:rPr>
        <w:t>. These 1668 BUSCO</w:t>
      </w:r>
      <w:r w:rsidR="00875984" w:rsidRPr="00865053">
        <w:rPr>
          <w:rFonts w:ascii="Times New Roman" w:hAnsi="Times New Roman" w:cs="Times New Roman"/>
        </w:rPr>
        <w:t xml:space="preserve"> gene alignment</w:t>
      </w:r>
      <w:r w:rsidR="00B52691" w:rsidRPr="00865053">
        <w:rPr>
          <w:rFonts w:ascii="Times New Roman" w:hAnsi="Times New Roman" w:cs="Times New Roman"/>
        </w:rPr>
        <w:t xml:space="preserve">s were used to reconstruct evolutionary relationships using maximum likelihood methods with </w:t>
      </w:r>
      <w:r w:rsidR="00875984" w:rsidRPr="00865053">
        <w:rPr>
          <w:rFonts w:ascii="Times New Roman" w:hAnsi="Times New Roman" w:cs="Times New Roman"/>
        </w:rPr>
        <w:t>gene-</w:t>
      </w:r>
      <w:r w:rsidR="00B52691" w:rsidRPr="00865053">
        <w:rPr>
          <w:rFonts w:ascii="Times New Roman" w:hAnsi="Times New Roman" w:cs="Times New Roman"/>
        </w:rPr>
        <w:t>partitioned model</w:t>
      </w:r>
      <w:r w:rsidR="00875984" w:rsidRPr="00865053">
        <w:rPr>
          <w:rFonts w:ascii="Times New Roman" w:hAnsi="Times New Roman" w:cs="Times New Roman"/>
        </w:rPr>
        <w:t>s using concatenation</w:t>
      </w:r>
      <w:r w:rsidR="00B52691" w:rsidRPr="00865053">
        <w:rPr>
          <w:rFonts w:ascii="Times New Roman" w:hAnsi="Times New Roman" w:cs="Times New Roman"/>
        </w:rPr>
        <w:t xml:space="preserve">, </w:t>
      </w:r>
      <w:r w:rsidR="00875984" w:rsidRPr="00865053">
        <w:rPr>
          <w:rFonts w:ascii="Times New Roman" w:hAnsi="Times New Roman" w:cs="Times New Roman"/>
        </w:rPr>
        <w:t>without partitioning using concatenation</w:t>
      </w:r>
      <w:r w:rsidR="00B52691" w:rsidRPr="00865053">
        <w:rPr>
          <w:rFonts w:ascii="Times New Roman" w:hAnsi="Times New Roman" w:cs="Times New Roman"/>
        </w:rPr>
        <w:t xml:space="preserve">, or </w:t>
      </w:r>
      <w:r w:rsidR="00875984" w:rsidRPr="00865053">
        <w:rPr>
          <w:rFonts w:ascii="Times New Roman" w:hAnsi="Times New Roman" w:cs="Times New Roman"/>
        </w:rPr>
        <w:t xml:space="preserve">with </w:t>
      </w:r>
      <w:r w:rsidR="00B52691" w:rsidRPr="00865053">
        <w:rPr>
          <w:rFonts w:ascii="Times New Roman" w:hAnsi="Times New Roman" w:cs="Times New Roman"/>
        </w:rPr>
        <w:t xml:space="preserve">coalescence. </w:t>
      </w:r>
    </w:p>
    <w:p w14:paraId="7DAE2580" w14:textId="77777777" w:rsidR="00AE44FC" w:rsidRPr="00865053" w:rsidRDefault="00AE44FC" w:rsidP="00865053">
      <w:pPr>
        <w:spacing w:line="360" w:lineRule="auto"/>
        <w:rPr>
          <w:rFonts w:ascii="Times New Roman" w:hAnsi="Times New Roman" w:cs="Times New Roman"/>
        </w:rPr>
      </w:pPr>
    </w:p>
    <w:p w14:paraId="10AA9BF0" w14:textId="06CEB803" w:rsidR="006D11DF" w:rsidRPr="00865053" w:rsidRDefault="00AE44FC" w:rsidP="00865053">
      <w:pPr>
        <w:pStyle w:val="Heading2"/>
        <w:spacing w:line="360" w:lineRule="auto"/>
        <w:rPr>
          <w:rFonts w:ascii="Times New Roman" w:hAnsi="Times New Roman" w:cs="Times New Roman"/>
          <w:b/>
          <w:color w:val="000000" w:themeColor="text1"/>
          <w:sz w:val="24"/>
          <w:szCs w:val="24"/>
        </w:rPr>
      </w:pPr>
      <w:r w:rsidRPr="00865053">
        <w:rPr>
          <w:rFonts w:ascii="Times New Roman" w:hAnsi="Times New Roman" w:cs="Times New Roman"/>
          <w:b/>
          <w:color w:val="000000" w:themeColor="text1"/>
          <w:sz w:val="24"/>
          <w:szCs w:val="24"/>
        </w:rPr>
        <w:t xml:space="preserve">Supplementary figure </w:t>
      </w:r>
      <w:r w:rsidR="00F46801" w:rsidRPr="00865053">
        <w:rPr>
          <w:rFonts w:ascii="Times New Roman" w:hAnsi="Times New Roman" w:cs="Times New Roman"/>
          <w:b/>
          <w:color w:val="000000" w:themeColor="text1"/>
          <w:sz w:val="24"/>
          <w:szCs w:val="24"/>
        </w:rPr>
        <w:t>4</w:t>
      </w:r>
      <w:r w:rsidRPr="00865053">
        <w:rPr>
          <w:rFonts w:ascii="Times New Roman" w:hAnsi="Times New Roman" w:cs="Times New Roman"/>
          <w:b/>
          <w:color w:val="000000" w:themeColor="text1"/>
          <w:sz w:val="24"/>
          <w:szCs w:val="24"/>
        </w:rPr>
        <w:t xml:space="preserve">. </w:t>
      </w:r>
      <w:r w:rsidR="00F409DB" w:rsidRPr="00865053">
        <w:rPr>
          <w:rFonts w:ascii="Times New Roman" w:hAnsi="Times New Roman" w:cs="Times New Roman"/>
          <w:b/>
          <w:color w:val="000000" w:themeColor="text1"/>
          <w:sz w:val="24"/>
          <w:szCs w:val="24"/>
        </w:rPr>
        <w:t>Construction of five d</w:t>
      </w:r>
      <w:r w:rsidR="006D11DF" w:rsidRPr="00865053">
        <w:rPr>
          <w:rFonts w:ascii="Times New Roman" w:hAnsi="Times New Roman" w:cs="Times New Roman"/>
          <w:b/>
          <w:color w:val="000000" w:themeColor="text1"/>
          <w:sz w:val="24"/>
          <w:szCs w:val="24"/>
        </w:rPr>
        <w:t>ifferent subsets of the BUSCO1668 phylogenomic matrix</w:t>
      </w:r>
    </w:p>
    <w:p w14:paraId="153D1F36" w14:textId="32586850" w:rsidR="00AE44FC" w:rsidRPr="00865053" w:rsidRDefault="006D11DF" w:rsidP="00865053">
      <w:pPr>
        <w:spacing w:line="360" w:lineRule="auto"/>
        <w:rPr>
          <w:rFonts w:ascii="Times New Roman" w:hAnsi="Times New Roman" w:cs="Times New Roman"/>
        </w:rPr>
      </w:pPr>
      <w:r w:rsidRPr="00865053">
        <w:rPr>
          <w:rFonts w:ascii="Times New Roman" w:hAnsi="Times New Roman" w:cs="Times New Roman"/>
        </w:rPr>
        <w:t xml:space="preserve">To explore the stability of </w:t>
      </w:r>
      <w:r w:rsidR="00CE2481" w:rsidRPr="00865053">
        <w:rPr>
          <w:rFonts w:ascii="Times New Roman" w:hAnsi="Times New Roman" w:cs="Times New Roman"/>
        </w:rPr>
        <w:t>the Aspergillaceae phylogeny inferred from analyses of the full BUSCO1668 data matrix</w:t>
      </w:r>
      <w:r w:rsidRPr="00865053">
        <w:rPr>
          <w:rFonts w:ascii="Times New Roman" w:hAnsi="Times New Roman" w:cs="Times New Roman"/>
        </w:rPr>
        <w:t xml:space="preserve">, </w:t>
      </w:r>
      <w:r w:rsidR="00CE2481" w:rsidRPr="00865053">
        <w:rPr>
          <w:rFonts w:ascii="Times New Roman" w:hAnsi="Times New Roman" w:cs="Times New Roman"/>
        </w:rPr>
        <w:t xml:space="preserve">we constructed </w:t>
      </w:r>
      <w:r w:rsidRPr="00865053">
        <w:rPr>
          <w:rFonts w:ascii="Times New Roman" w:hAnsi="Times New Roman" w:cs="Times New Roman"/>
        </w:rPr>
        <w:t xml:space="preserve">5 different subsets of the BUSCO1668 matrix </w:t>
      </w:r>
      <w:r w:rsidR="00CE2481" w:rsidRPr="00865053">
        <w:rPr>
          <w:rFonts w:ascii="Times New Roman" w:hAnsi="Times New Roman" w:cs="Times New Roman"/>
        </w:rPr>
        <w:t xml:space="preserve">separately </w:t>
      </w:r>
      <w:r w:rsidRPr="00865053">
        <w:rPr>
          <w:rFonts w:ascii="Times New Roman" w:hAnsi="Times New Roman" w:cs="Times New Roman"/>
        </w:rPr>
        <w:t xml:space="preserve">for </w:t>
      </w:r>
      <w:r w:rsidR="00C92422" w:rsidRPr="00865053">
        <w:rPr>
          <w:rFonts w:ascii="Times New Roman" w:hAnsi="Times New Roman" w:cs="Times New Roman"/>
        </w:rPr>
        <w:t>nucleotides</w:t>
      </w:r>
      <w:r w:rsidRPr="00865053">
        <w:rPr>
          <w:rFonts w:ascii="Times New Roman" w:hAnsi="Times New Roman" w:cs="Times New Roman"/>
        </w:rPr>
        <w:t xml:space="preserve"> </w:t>
      </w:r>
      <w:r w:rsidR="00C92422" w:rsidRPr="00865053">
        <w:rPr>
          <w:rFonts w:ascii="Times New Roman" w:hAnsi="Times New Roman" w:cs="Times New Roman"/>
        </w:rPr>
        <w:t xml:space="preserve">(a) </w:t>
      </w:r>
      <w:r w:rsidRPr="00865053">
        <w:rPr>
          <w:rFonts w:ascii="Times New Roman" w:hAnsi="Times New Roman" w:cs="Times New Roman"/>
        </w:rPr>
        <w:t xml:space="preserve">and </w:t>
      </w:r>
      <w:r w:rsidR="00C92422" w:rsidRPr="00865053">
        <w:rPr>
          <w:rFonts w:ascii="Times New Roman" w:hAnsi="Times New Roman" w:cs="Times New Roman"/>
        </w:rPr>
        <w:t>amino acids</w:t>
      </w:r>
      <w:r w:rsidRPr="00865053">
        <w:rPr>
          <w:rFonts w:ascii="Times New Roman" w:hAnsi="Times New Roman" w:cs="Times New Roman"/>
        </w:rPr>
        <w:t xml:space="preserve"> </w:t>
      </w:r>
      <w:r w:rsidR="00C92422" w:rsidRPr="00865053">
        <w:rPr>
          <w:rFonts w:ascii="Times New Roman" w:hAnsi="Times New Roman" w:cs="Times New Roman"/>
        </w:rPr>
        <w:t xml:space="preserve">(b) </w:t>
      </w:r>
      <w:r w:rsidRPr="00865053">
        <w:rPr>
          <w:rFonts w:ascii="Times New Roman" w:hAnsi="Times New Roman" w:cs="Times New Roman"/>
        </w:rPr>
        <w:t>where each subset contained 50% of the genes found in the BUSCO1668 matrix (834 genes). Each subset was created from genes scoring highest for various metrics of phylogenetic signal including</w:t>
      </w:r>
      <w:r w:rsidR="00E65077" w:rsidRPr="00865053">
        <w:rPr>
          <w:rFonts w:ascii="Times New Roman" w:hAnsi="Times New Roman" w:cs="Times New Roman"/>
        </w:rPr>
        <w:t xml:space="preserve"> alignment length, average bootstrap support, </w:t>
      </w:r>
      <w:r w:rsidRPr="00865053">
        <w:rPr>
          <w:rFonts w:ascii="Times New Roman" w:hAnsi="Times New Roman" w:cs="Times New Roman"/>
        </w:rPr>
        <w:t>completeness, treeness / re</w:t>
      </w:r>
      <w:r w:rsidR="005B7DAA" w:rsidRPr="00865053">
        <w:rPr>
          <w:rFonts w:ascii="Times New Roman" w:hAnsi="Times New Roman" w:cs="Times New Roman"/>
        </w:rPr>
        <w:t xml:space="preserve">lative composition variability, </w:t>
      </w:r>
      <w:r w:rsidRPr="00865053">
        <w:rPr>
          <w:rFonts w:ascii="Times New Roman" w:hAnsi="Times New Roman" w:cs="Times New Roman"/>
        </w:rPr>
        <w:t>and the number of variable sites.</w:t>
      </w:r>
    </w:p>
    <w:p w14:paraId="0BD861D3" w14:textId="77777777" w:rsidR="0094699A" w:rsidRPr="00865053" w:rsidRDefault="0094699A" w:rsidP="00865053">
      <w:pPr>
        <w:spacing w:line="360" w:lineRule="auto"/>
        <w:rPr>
          <w:rFonts w:ascii="Times New Roman" w:hAnsi="Times New Roman" w:cs="Times New Roman"/>
        </w:rPr>
      </w:pPr>
    </w:p>
    <w:p w14:paraId="4DAF0820" w14:textId="317092BF" w:rsidR="00BB4697" w:rsidRPr="00865053" w:rsidRDefault="0094699A" w:rsidP="00865053">
      <w:pPr>
        <w:pStyle w:val="Heading2"/>
        <w:spacing w:line="360" w:lineRule="auto"/>
        <w:rPr>
          <w:rFonts w:ascii="Times New Roman" w:hAnsi="Times New Roman" w:cs="Times New Roman"/>
          <w:b/>
          <w:color w:val="000000" w:themeColor="text1"/>
          <w:sz w:val="24"/>
          <w:szCs w:val="24"/>
        </w:rPr>
      </w:pPr>
      <w:r w:rsidRPr="00865053">
        <w:rPr>
          <w:rFonts w:ascii="Times New Roman" w:hAnsi="Times New Roman" w:cs="Times New Roman"/>
          <w:b/>
          <w:color w:val="000000" w:themeColor="text1"/>
          <w:sz w:val="24"/>
          <w:szCs w:val="24"/>
        </w:rPr>
        <w:t xml:space="preserve">Supplementary figure </w:t>
      </w:r>
      <w:r w:rsidR="00F46801" w:rsidRPr="00865053">
        <w:rPr>
          <w:rFonts w:ascii="Times New Roman" w:hAnsi="Times New Roman" w:cs="Times New Roman"/>
          <w:b/>
          <w:color w:val="000000" w:themeColor="text1"/>
          <w:sz w:val="24"/>
          <w:szCs w:val="24"/>
        </w:rPr>
        <w:t>5</w:t>
      </w:r>
      <w:r w:rsidRPr="00865053">
        <w:rPr>
          <w:rFonts w:ascii="Times New Roman" w:hAnsi="Times New Roman" w:cs="Times New Roman"/>
          <w:b/>
          <w:color w:val="000000" w:themeColor="text1"/>
          <w:sz w:val="24"/>
          <w:szCs w:val="24"/>
        </w:rPr>
        <w:t xml:space="preserve">. </w:t>
      </w:r>
      <w:r w:rsidR="00623F78" w:rsidRPr="00865053">
        <w:rPr>
          <w:rFonts w:ascii="Times New Roman" w:hAnsi="Times New Roman" w:cs="Times New Roman"/>
          <w:b/>
          <w:color w:val="000000" w:themeColor="text1"/>
          <w:sz w:val="24"/>
          <w:szCs w:val="24"/>
        </w:rPr>
        <w:t xml:space="preserve">Distribution of best-fitting substitution models for </w:t>
      </w:r>
      <w:r w:rsidR="00CE2481" w:rsidRPr="00865053">
        <w:rPr>
          <w:rFonts w:ascii="Times New Roman" w:hAnsi="Times New Roman" w:cs="Times New Roman"/>
          <w:b/>
          <w:color w:val="000000" w:themeColor="text1"/>
          <w:sz w:val="24"/>
          <w:szCs w:val="24"/>
        </w:rPr>
        <w:t xml:space="preserve">nucleotide and </w:t>
      </w:r>
      <w:r w:rsidR="00623F78" w:rsidRPr="00865053">
        <w:rPr>
          <w:rFonts w:ascii="Times New Roman" w:hAnsi="Times New Roman" w:cs="Times New Roman"/>
          <w:b/>
          <w:color w:val="000000" w:themeColor="text1"/>
          <w:sz w:val="24"/>
          <w:szCs w:val="24"/>
        </w:rPr>
        <w:t xml:space="preserve">amino acid </w:t>
      </w:r>
      <w:r w:rsidR="00CE2481" w:rsidRPr="00865053">
        <w:rPr>
          <w:rFonts w:ascii="Times New Roman" w:hAnsi="Times New Roman" w:cs="Times New Roman"/>
          <w:b/>
          <w:color w:val="000000" w:themeColor="text1"/>
          <w:sz w:val="24"/>
          <w:szCs w:val="24"/>
        </w:rPr>
        <w:t>versions of gene sequence alignments of the BUSCO1668 data matrix</w:t>
      </w:r>
    </w:p>
    <w:p w14:paraId="072DA5FC" w14:textId="5DAA6BE6" w:rsidR="0094699A" w:rsidRPr="00865053" w:rsidRDefault="00F46801" w:rsidP="00865053">
      <w:pPr>
        <w:spacing w:line="360" w:lineRule="auto"/>
        <w:rPr>
          <w:rFonts w:ascii="Times New Roman" w:hAnsi="Times New Roman" w:cs="Times New Roman"/>
        </w:rPr>
      </w:pPr>
      <w:r w:rsidRPr="00865053">
        <w:rPr>
          <w:rFonts w:ascii="Times New Roman" w:hAnsi="Times New Roman" w:cs="Times New Roman"/>
        </w:rPr>
        <w:t>(a) The overwhelming majority of</w:t>
      </w:r>
      <w:r w:rsidR="00CE2481" w:rsidRPr="00865053">
        <w:rPr>
          <w:rFonts w:ascii="Times New Roman" w:hAnsi="Times New Roman" w:cs="Times New Roman"/>
        </w:rPr>
        <w:t xml:space="preserve"> nucleotide gene alignments showed the </w:t>
      </w:r>
      <w:r w:rsidRPr="00865053">
        <w:rPr>
          <w:rFonts w:ascii="Times New Roman" w:hAnsi="Times New Roman" w:cs="Times New Roman"/>
        </w:rPr>
        <w:t>best</w:t>
      </w:r>
      <w:r w:rsidR="00CE2481" w:rsidRPr="00865053">
        <w:rPr>
          <w:rFonts w:ascii="Times New Roman" w:hAnsi="Times New Roman" w:cs="Times New Roman"/>
        </w:rPr>
        <w:t xml:space="preserve"> </w:t>
      </w:r>
      <w:r w:rsidRPr="00865053">
        <w:rPr>
          <w:rFonts w:ascii="Times New Roman" w:hAnsi="Times New Roman" w:cs="Times New Roman"/>
        </w:rPr>
        <w:t>fit</w:t>
      </w:r>
      <w:r w:rsidR="00CE2481" w:rsidRPr="00865053">
        <w:rPr>
          <w:rFonts w:ascii="Times New Roman" w:hAnsi="Times New Roman" w:cs="Times New Roman"/>
        </w:rPr>
        <w:t xml:space="preserve"> for a</w:t>
      </w:r>
      <w:r w:rsidRPr="00865053">
        <w:rPr>
          <w:rFonts w:ascii="Times New Roman" w:hAnsi="Times New Roman" w:cs="Times New Roman"/>
        </w:rPr>
        <w:t xml:space="preserve"> general time reversible model with unequal rates and unequal base frequencies (GTR), empirical base frequencies (F), invariable site proportions (I), and gamma rate heterogeneity across sites with 4 rate categories (G4). </w:t>
      </w:r>
      <w:r w:rsidR="00623F78" w:rsidRPr="00865053">
        <w:rPr>
          <w:rFonts w:ascii="Times New Roman" w:hAnsi="Times New Roman" w:cs="Times New Roman"/>
        </w:rPr>
        <w:t>(</w:t>
      </w:r>
      <w:r w:rsidRPr="00865053">
        <w:rPr>
          <w:rFonts w:ascii="Times New Roman" w:hAnsi="Times New Roman" w:cs="Times New Roman"/>
        </w:rPr>
        <w:t>b</w:t>
      </w:r>
      <w:r w:rsidR="00623F78" w:rsidRPr="00865053">
        <w:rPr>
          <w:rFonts w:ascii="Times New Roman" w:hAnsi="Times New Roman" w:cs="Times New Roman"/>
        </w:rPr>
        <w:t xml:space="preserve">) </w:t>
      </w:r>
      <w:r w:rsidR="00CE2481" w:rsidRPr="00865053">
        <w:rPr>
          <w:rFonts w:ascii="Times New Roman" w:hAnsi="Times New Roman" w:cs="Times New Roman"/>
        </w:rPr>
        <w:t xml:space="preserve">The </w:t>
      </w:r>
      <w:r w:rsidR="00FC4ECD" w:rsidRPr="00865053">
        <w:rPr>
          <w:rFonts w:ascii="Times New Roman" w:hAnsi="Times New Roman" w:cs="Times New Roman"/>
        </w:rPr>
        <w:t>JTT</w:t>
      </w:r>
      <w:r w:rsidR="00CE2481" w:rsidRPr="00865053">
        <w:rPr>
          <w:rFonts w:ascii="Times New Roman" w:hAnsi="Times New Roman" w:cs="Times New Roman"/>
        </w:rPr>
        <w:t xml:space="preserve"> empirical substitution matrix</w:t>
      </w:r>
      <w:r w:rsidR="00FC4ECD" w:rsidRPr="00865053">
        <w:rPr>
          <w:rFonts w:ascii="Times New Roman" w:hAnsi="Times New Roman" w:cs="Times New Roman"/>
        </w:rPr>
        <w:t xml:space="preserve"> with invariable</w:t>
      </w:r>
      <w:r w:rsidR="007613EF" w:rsidRPr="00865053">
        <w:rPr>
          <w:rFonts w:ascii="Times New Roman" w:hAnsi="Times New Roman" w:cs="Times New Roman"/>
        </w:rPr>
        <w:t xml:space="preserve"> site proportions</w:t>
      </w:r>
      <w:r w:rsidR="00FC4ECD" w:rsidRPr="00865053">
        <w:rPr>
          <w:rFonts w:ascii="Times New Roman" w:hAnsi="Times New Roman" w:cs="Times New Roman"/>
        </w:rPr>
        <w:t xml:space="preserve"> </w:t>
      </w:r>
      <w:r w:rsidR="00D4795F" w:rsidRPr="00865053">
        <w:rPr>
          <w:rFonts w:ascii="Times New Roman" w:hAnsi="Times New Roman" w:cs="Times New Roman"/>
        </w:rPr>
        <w:t xml:space="preserve">(I) </w:t>
      </w:r>
      <w:r w:rsidR="00FC4ECD" w:rsidRPr="00865053">
        <w:rPr>
          <w:rFonts w:ascii="Times New Roman" w:hAnsi="Times New Roman" w:cs="Times New Roman"/>
        </w:rPr>
        <w:t>and gamma rate heterogeneity across sites</w:t>
      </w:r>
      <w:r w:rsidR="00D4795F" w:rsidRPr="00865053">
        <w:rPr>
          <w:rFonts w:ascii="Times New Roman" w:hAnsi="Times New Roman" w:cs="Times New Roman"/>
        </w:rPr>
        <w:t xml:space="preserve"> with 4 rate categories</w:t>
      </w:r>
      <w:r w:rsidR="00FC4ECD" w:rsidRPr="00865053">
        <w:rPr>
          <w:rFonts w:ascii="Times New Roman" w:hAnsi="Times New Roman" w:cs="Times New Roman"/>
        </w:rPr>
        <w:t xml:space="preserve"> (</w:t>
      </w:r>
      <w:r w:rsidR="00623F78" w:rsidRPr="00865053">
        <w:rPr>
          <w:rFonts w:ascii="Times New Roman" w:hAnsi="Times New Roman" w:cs="Times New Roman"/>
        </w:rPr>
        <w:t>G4</w:t>
      </w:r>
      <w:r w:rsidR="00FC4ECD" w:rsidRPr="00865053">
        <w:rPr>
          <w:rFonts w:ascii="Times New Roman" w:hAnsi="Times New Roman" w:cs="Times New Roman"/>
        </w:rPr>
        <w:t>)</w:t>
      </w:r>
      <w:r w:rsidR="00623F78" w:rsidRPr="00865053">
        <w:rPr>
          <w:rFonts w:ascii="Times New Roman" w:hAnsi="Times New Roman" w:cs="Times New Roman"/>
        </w:rPr>
        <w:t xml:space="preserve"> </w:t>
      </w:r>
      <w:r w:rsidR="00CE2481" w:rsidRPr="00865053">
        <w:rPr>
          <w:rFonts w:ascii="Times New Roman" w:hAnsi="Times New Roman" w:cs="Times New Roman"/>
        </w:rPr>
        <w:t>was</w:t>
      </w:r>
      <w:r w:rsidR="00FC4ECD" w:rsidRPr="00865053">
        <w:rPr>
          <w:rFonts w:ascii="Times New Roman" w:hAnsi="Times New Roman" w:cs="Times New Roman"/>
        </w:rPr>
        <w:t xml:space="preserve"> the most common best-fitting model</w:t>
      </w:r>
      <w:r w:rsidR="00CE2481" w:rsidRPr="00865053">
        <w:rPr>
          <w:rFonts w:ascii="Times New Roman" w:hAnsi="Times New Roman" w:cs="Times New Roman"/>
        </w:rPr>
        <w:t xml:space="preserve"> (</w:t>
      </w:r>
      <w:r w:rsidR="001311E2" w:rsidRPr="00865053">
        <w:rPr>
          <w:rFonts w:ascii="Times New Roman" w:hAnsi="Times New Roman" w:cs="Times New Roman"/>
        </w:rPr>
        <w:t xml:space="preserve">643 </w:t>
      </w:r>
      <w:r w:rsidR="00CE2481" w:rsidRPr="00865053">
        <w:rPr>
          <w:rFonts w:ascii="Times New Roman" w:hAnsi="Times New Roman" w:cs="Times New Roman"/>
        </w:rPr>
        <w:t>amino acid gene alignments),</w:t>
      </w:r>
      <w:r w:rsidR="00FC4ECD" w:rsidRPr="00865053">
        <w:rPr>
          <w:rFonts w:ascii="Times New Roman" w:hAnsi="Times New Roman" w:cs="Times New Roman"/>
        </w:rPr>
        <w:t xml:space="preserve"> followed by </w:t>
      </w:r>
      <w:r w:rsidR="00CE2481" w:rsidRPr="00865053">
        <w:rPr>
          <w:rFonts w:ascii="Times New Roman" w:hAnsi="Times New Roman" w:cs="Times New Roman"/>
        </w:rPr>
        <w:t>the LG</w:t>
      </w:r>
      <w:r w:rsidR="00645780" w:rsidRPr="00865053">
        <w:rPr>
          <w:rFonts w:ascii="Times New Roman" w:hAnsi="Times New Roman" w:cs="Times New Roman"/>
        </w:rPr>
        <w:t xml:space="preserve"> matrix </w:t>
      </w:r>
      <w:r w:rsidR="00FC4ECD" w:rsidRPr="00865053">
        <w:rPr>
          <w:rFonts w:ascii="Times New Roman" w:hAnsi="Times New Roman" w:cs="Times New Roman"/>
        </w:rPr>
        <w:t>with invariable</w:t>
      </w:r>
      <w:r w:rsidR="00645780" w:rsidRPr="00865053">
        <w:rPr>
          <w:rFonts w:ascii="Times New Roman" w:hAnsi="Times New Roman" w:cs="Times New Roman"/>
        </w:rPr>
        <w:t xml:space="preserve"> (I)</w:t>
      </w:r>
      <w:r w:rsidR="00FC4ECD" w:rsidRPr="00865053">
        <w:rPr>
          <w:rFonts w:ascii="Times New Roman" w:hAnsi="Times New Roman" w:cs="Times New Roman"/>
        </w:rPr>
        <w:t xml:space="preserve"> and gamma rate heterogeneity across sites</w:t>
      </w:r>
      <w:r w:rsidR="00D4795F" w:rsidRPr="00865053">
        <w:rPr>
          <w:rFonts w:ascii="Times New Roman" w:hAnsi="Times New Roman" w:cs="Times New Roman"/>
        </w:rPr>
        <w:t xml:space="preserve"> with 4 rate categories</w:t>
      </w:r>
      <w:r w:rsidR="00FC4ECD" w:rsidRPr="00865053">
        <w:rPr>
          <w:rFonts w:ascii="Times New Roman" w:hAnsi="Times New Roman" w:cs="Times New Roman"/>
        </w:rPr>
        <w:t xml:space="preserve"> (G4)</w:t>
      </w:r>
      <w:r w:rsidR="00CE2481" w:rsidRPr="00865053">
        <w:rPr>
          <w:rFonts w:ascii="Times New Roman" w:hAnsi="Times New Roman" w:cs="Times New Roman"/>
        </w:rPr>
        <w:t xml:space="preserve"> (</w:t>
      </w:r>
      <w:r w:rsidR="001311E2" w:rsidRPr="00865053">
        <w:rPr>
          <w:rFonts w:ascii="Times New Roman" w:hAnsi="Times New Roman" w:cs="Times New Roman"/>
        </w:rPr>
        <w:t>362</w:t>
      </w:r>
      <w:r w:rsidR="00CE2481" w:rsidRPr="00865053">
        <w:rPr>
          <w:rFonts w:ascii="Times New Roman" w:hAnsi="Times New Roman" w:cs="Times New Roman"/>
        </w:rPr>
        <w:t xml:space="preserve"> genes)</w:t>
      </w:r>
      <w:r w:rsidR="00D4795F" w:rsidRPr="00865053">
        <w:rPr>
          <w:rFonts w:ascii="Times New Roman" w:hAnsi="Times New Roman" w:cs="Times New Roman"/>
        </w:rPr>
        <w:t xml:space="preserve">. </w:t>
      </w:r>
    </w:p>
    <w:p w14:paraId="2F330690" w14:textId="17941D7F" w:rsidR="00271A72" w:rsidRPr="00865053" w:rsidRDefault="00271A72" w:rsidP="00865053">
      <w:pPr>
        <w:spacing w:line="360" w:lineRule="auto"/>
        <w:rPr>
          <w:rFonts w:ascii="Times New Roman" w:hAnsi="Times New Roman" w:cs="Times New Roman"/>
        </w:rPr>
      </w:pPr>
    </w:p>
    <w:p w14:paraId="11E6A4CC" w14:textId="392C91FE" w:rsidR="00EB0BE9" w:rsidRPr="00865053" w:rsidRDefault="00EB0BE9" w:rsidP="00865053">
      <w:pPr>
        <w:pStyle w:val="Heading2"/>
        <w:spacing w:line="360" w:lineRule="auto"/>
        <w:rPr>
          <w:rFonts w:ascii="Times New Roman" w:hAnsi="Times New Roman" w:cs="Times New Roman"/>
          <w:b/>
          <w:color w:val="000000" w:themeColor="text1"/>
          <w:sz w:val="24"/>
          <w:szCs w:val="24"/>
        </w:rPr>
      </w:pPr>
      <w:r w:rsidRPr="00865053">
        <w:rPr>
          <w:rFonts w:ascii="Times New Roman" w:hAnsi="Times New Roman" w:cs="Times New Roman"/>
          <w:b/>
          <w:color w:val="000000" w:themeColor="text1"/>
          <w:sz w:val="24"/>
          <w:szCs w:val="24"/>
        </w:rPr>
        <w:t>Supplementary figure 6. Distribution of internode certainty values among the 36 phylogenies</w:t>
      </w:r>
    </w:p>
    <w:p w14:paraId="283C5433" w14:textId="23175C0B" w:rsidR="00EB0BE9" w:rsidRPr="00865053" w:rsidRDefault="00EB0BE9" w:rsidP="00865053">
      <w:pPr>
        <w:spacing w:line="360" w:lineRule="auto"/>
        <w:rPr>
          <w:rFonts w:ascii="Times New Roman" w:hAnsi="Times New Roman" w:cs="Times New Roman"/>
        </w:rPr>
      </w:pPr>
      <w:r w:rsidRPr="00865053">
        <w:rPr>
          <w:rFonts w:ascii="Times New Roman" w:hAnsi="Times New Roman" w:cs="Times New Roman"/>
        </w:rPr>
        <w:t xml:space="preserve">Boxplots show the distribution of internode certainty (IC) values for each of the 36 phylogenies. Note that nucleotide-based data matrices show generally higher distributions of IC values than amino acid-based data matrices. Similarly, the distributions of IC values of phylogenies inferred </w:t>
      </w:r>
      <w:r w:rsidRPr="00865053">
        <w:rPr>
          <w:rFonts w:ascii="Times New Roman" w:hAnsi="Times New Roman" w:cs="Times New Roman"/>
        </w:rPr>
        <w:lastRenderedPageBreak/>
        <w:t>from analyses of subset data matrices are generally higher than those from analyses based on the full data matrices. In contrast, there is little difference in the distributions of IC values by analytical scheme.</w:t>
      </w:r>
    </w:p>
    <w:p w14:paraId="33D24AF1" w14:textId="77777777" w:rsidR="00EB0BE9" w:rsidRPr="00865053" w:rsidRDefault="00EB0BE9" w:rsidP="00865053">
      <w:pPr>
        <w:spacing w:line="360" w:lineRule="auto"/>
        <w:rPr>
          <w:rFonts w:ascii="Times New Roman" w:hAnsi="Times New Roman" w:cs="Times New Roman"/>
        </w:rPr>
      </w:pPr>
    </w:p>
    <w:p w14:paraId="18886A67" w14:textId="151ED61D" w:rsidR="00BB4697" w:rsidRPr="00865053" w:rsidRDefault="008264DD" w:rsidP="00865053">
      <w:pPr>
        <w:pStyle w:val="Heading2"/>
        <w:spacing w:line="360" w:lineRule="auto"/>
        <w:rPr>
          <w:rFonts w:ascii="Times New Roman" w:hAnsi="Times New Roman" w:cs="Times New Roman"/>
          <w:b/>
          <w:color w:val="000000" w:themeColor="text1"/>
          <w:sz w:val="24"/>
          <w:szCs w:val="24"/>
        </w:rPr>
      </w:pPr>
      <w:r w:rsidRPr="00865053">
        <w:rPr>
          <w:rFonts w:ascii="Times New Roman" w:hAnsi="Times New Roman" w:cs="Times New Roman"/>
          <w:b/>
          <w:color w:val="000000" w:themeColor="text1"/>
          <w:sz w:val="24"/>
          <w:szCs w:val="24"/>
        </w:rPr>
        <w:t xml:space="preserve">Supplementary figure </w:t>
      </w:r>
      <w:r w:rsidR="00BD500C" w:rsidRPr="00865053">
        <w:rPr>
          <w:rFonts w:ascii="Times New Roman" w:hAnsi="Times New Roman" w:cs="Times New Roman"/>
          <w:b/>
          <w:color w:val="000000" w:themeColor="text1"/>
          <w:sz w:val="24"/>
          <w:szCs w:val="24"/>
        </w:rPr>
        <w:t>7</w:t>
      </w:r>
      <w:r w:rsidRPr="00865053">
        <w:rPr>
          <w:rFonts w:ascii="Times New Roman" w:hAnsi="Times New Roman" w:cs="Times New Roman"/>
          <w:b/>
          <w:color w:val="000000" w:themeColor="text1"/>
          <w:sz w:val="24"/>
          <w:szCs w:val="24"/>
        </w:rPr>
        <w:t xml:space="preserve">. Distributions of metrics used </w:t>
      </w:r>
      <w:r w:rsidR="00BD500C" w:rsidRPr="00865053">
        <w:rPr>
          <w:rFonts w:ascii="Times New Roman" w:hAnsi="Times New Roman" w:cs="Times New Roman"/>
          <w:b/>
          <w:color w:val="000000" w:themeColor="text1"/>
          <w:sz w:val="24"/>
          <w:szCs w:val="24"/>
        </w:rPr>
        <w:t>in the creation of subsets of</w:t>
      </w:r>
      <w:r w:rsidRPr="00865053">
        <w:rPr>
          <w:rFonts w:ascii="Times New Roman" w:hAnsi="Times New Roman" w:cs="Times New Roman"/>
          <w:b/>
          <w:color w:val="000000" w:themeColor="text1"/>
          <w:sz w:val="24"/>
          <w:szCs w:val="24"/>
        </w:rPr>
        <w:t xml:space="preserve"> the 1</w:t>
      </w:r>
      <w:r w:rsidR="00BD500C" w:rsidRPr="00865053">
        <w:rPr>
          <w:rFonts w:ascii="Times New Roman" w:hAnsi="Times New Roman" w:cs="Times New Roman"/>
          <w:b/>
          <w:color w:val="000000" w:themeColor="text1"/>
          <w:sz w:val="24"/>
          <w:szCs w:val="24"/>
        </w:rPr>
        <w:t>,</w:t>
      </w:r>
      <w:r w:rsidRPr="00865053">
        <w:rPr>
          <w:rFonts w:ascii="Times New Roman" w:hAnsi="Times New Roman" w:cs="Times New Roman"/>
          <w:b/>
          <w:color w:val="000000" w:themeColor="text1"/>
          <w:sz w:val="24"/>
          <w:szCs w:val="24"/>
        </w:rPr>
        <w:t>668</w:t>
      </w:r>
      <w:r w:rsidR="00BB4697" w:rsidRPr="00865053">
        <w:rPr>
          <w:rFonts w:ascii="Times New Roman" w:hAnsi="Times New Roman" w:cs="Times New Roman"/>
          <w:b/>
          <w:color w:val="000000" w:themeColor="text1"/>
          <w:sz w:val="24"/>
          <w:szCs w:val="24"/>
        </w:rPr>
        <w:t>-gene</w:t>
      </w:r>
      <w:r w:rsidRPr="00865053">
        <w:rPr>
          <w:rFonts w:ascii="Times New Roman" w:hAnsi="Times New Roman" w:cs="Times New Roman"/>
          <w:b/>
          <w:color w:val="000000" w:themeColor="text1"/>
          <w:sz w:val="24"/>
          <w:szCs w:val="24"/>
        </w:rPr>
        <w:t xml:space="preserve"> matrix and their correlations between amino acid and nucleotide</w:t>
      </w:r>
      <w:r w:rsidR="00BD500C" w:rsidRPr="00865053">
        <w:rPr>
          <w:rFonts w:ascii="Times New Roman" w:hAnsi="Times New Roman" w:cs="Times New Roman"/>
          <w:b/>
          <w:color w:val="000000" w:themeColor="text1"/>
          <w:sz w:val="24"/>
          <w:szCs w:val="24"/>
        </w:rPr>
        <w:t>-based data sets</w:t>
      </w:r>
    </w:p>
    <w:p w14:paraId="4B4F23B1" w14:textId="15E6D21D" w:rsidR="008264DD" w:rsidRPr="00865053" w:rsidRDefault="00F35C6C" w:rsidP="00865053">
      <w:pPr>
        <w:spacing w:line="360" w:lineRule="auto"/>
        <w:rPr>
          <w:rFonts w:ascii="Times New Roman" w:hAnsi="Times New Roman" w:cs="Times New Roman"/>
        </w:rPr>
      </w:pPr>
      <w:r w:rsidRPr="00865053">
        <w:rPr>
          <w:rFonts w:ascii="Times New Roman" w:hAnsi="Times New Roman" w:cs="Times New Roman"/>
        </w:rPr>
        <w:t>(a, b) For completeness, we observed an average NT and AA taxon occupancy of 97.2 ± 4.6% with a 50</w:t>
      </w:r>
      <w:r w:rsidRPr="00865053">
        <w:rPr>
          <w:rFonts w:ascii="Times New Roman" w:hAnsi="Times New Roman" w:cs="Times New Roman"/>
          <w:vertAlign w:val="superscript"/>
        </w:rPr>
        <w:t>th</w:t>
      </w:r>
      <w:r w:rsidRPr="00865053">
        <w:rPr>
          <w:rFonts w:ascii="Times New Roman" w:hAnsi="Times New Roman" w:cs="Times New Roman"/>
        </w:rPr>
        <w:t xml:space="preserve"> percentile cut-off of 99.0%. (d</w:t>
      </w:r>
      <w:r w:rsidR="00521A7D" w:rsidRPr="00865053">
        <w:rPr>
          <w:rFonts w:ascii="Times New Roman" w:hAnsi="Times New Roman" w:cs="Times New Roman"/>
        </w:rPr>
        <w:t xml:space="preserve">, </w:t>
      </w:r>
      <w:r w:rsidRPr="00865053">
        <w:rPr>
          <w:rFonts w:ascii="Times New Roman" w:hAnsi="Times New Roman" w:cs="Times New Roman"/>
        </w:rPr>
        <w:t>e</w:t>
      </w:r>
      <w:r w:rsidR="00521A7D" w:rsidRPr="00865053">
        <w:rPr>
          <w:rFonts w:ascii="Times New Roman" w:hAnsi="Times New Roman" w:cs="Times New Roman"/>
        </w:rPr>
        <w:t>) For gene alignment length among the genes in the set included in the 1,668-gene matrix, we observed an average NT and AA alignment length of 1</w:t>
      </w:r>
      <w:r w:rsidR="00BD500C" w:rsidRPr="00865053">
        <w:rPr>
          <w:rFonts w:ascii="Times New Roman" w:hAnsi="Times New Roman" w:cs="Times New Roman"/>
        </w:rPr>
        <w:t>,</w:t>
      </w:r>
      <w:r w:rsidR="00521A7D" w:rsidRPr="00865053">
        <w:rPr>
          <w:rFonts w:ascii="Times New Roman" w:hAnsi="Times New Roman" w:cs="Times New Roman"/>
        </w:rPr>
        <w:t>896.4 ± 1</w:t>
      </w:r>
      <w:r w:rsidR="00BD500C" w:rsidRPr="00865053">
        <w:rPr>
          <w:rFonts w:ascii="Times New Roman" w:hAnsi="Times New Roman" w:cs="Times New Roman"/>
        </w:rPr>
        <w:t>,</w:t>
      </w:r>
      <w:r w:rsidR="00521A7D" w:rsidRPr="00865053">
        <w:rPr>
          <w:rFonts w:ascii="Times New Roman" w:hAnsi="Times New Roman" w:cs="Times New Roman"/>
        </w:rPr>
        <w:t>370.5 and 631.9 ± 456.0 sites with a 50</w:t>
      </w:r>
      <w:r w:rsidR="00521A7D" w:rsidRPr="00865053">
        <w:rPr>
          <w:rFonts w:ascii="Times New Roman" w:hAnsi="Times New Roman" w:cs="Times New Roman"/>
          <w:vertAlign w:val="superscript"/>
        </w:rPr>
        <w:t>th</w:t>
      </w:r>
      <w:r w:rsidR="00521A7D" w:rsidRPr="00865053">
        <w:rPr>
          <w:rFonts w:ascii="Times New Roman" w:hAnsi="Times New Roman" w:cs="Times New Roman"/>
        </w:rPr>
        <w:t xml:space="preserve"> percentile cut-off of 1</w:t>
      </w:r>
      <w:r w:rsidR="00BD500C" w:rsidRPr="00865053">
        <w:rPr>
          <w:rFonts w:ascii="Times New Roman" w:hAnsi="Times New Roman" w:cs="Times New Roman"/>
        </w:rPr>
        <w:t>,</w:t>
      </w:r>
      <w:r w:rsidR="00521A7D" w:rsidRPr="00865053">
        <w:rPr>
          <w:rFonts w:ascii="Times New Roman" w:hAnsi="Times New Roman" w:cs="Times New Roman"/>
        </w:rPr>
        <w:t xml:space="preserve">489.5 and 497.5 sites, respectively. </w:t>
      </w:r>
      <w:r w:rsidRPr="00865053">
        <w:rPr>
          <w:rFonts w:ascii="Times New Roman" w:hAnsi="Times New Roman" w:cs="Times New Roman"/>
        </w:rPr>
        <w:t>(g, h) For the number of variable sites, we observed an average number of variables sites for NT and AA gene alignments to be 1</w:t>
      </w:r>
      <w:r w:rsidR="00BD500C" w:rsidRPr="00865053">
        <w:rPr>
          <w:rFonts w:ascii="Times New Roman" w:hAnsi="Times New Roman" w:cs="Times New Roman"/>
        </w:rPr>
        <w:t>,</w:t>
      </w:r>
      <w:r w:rsidRPr="00865053">
        <w:rPr>
          <w:rFonts w:ascii="Times New Roman" w:hAnsi="Times New Roman" w:cs="Times New Roman"/>
        </w:rPr>
        <w:t>446.5 ± 1</w:t>
      </w:r>
      <w:r w:rsidR="00BD500C" w:rsidRPr="00865053">
        <w:rPr>
          <w:rFonts w:ascii="Times New Roman" w:hAnsi="Times New Roman" w:cs="Times New Roman"/>
        </w:rPr>
        <w:t>,</w:t>
      </w:r>
      <w:r w:rsidRPr="00865053">
        <w:rPr>
          <w:rFonts w:ascii="Times New Roman" w:hAnsi="Times New Roman" w:cs="Times New Roman"/>
        </w:rPr>
        <w:t>103.2 and 450.9 ± 349.5 sites with a 50</w:t>
      </w:r>
      <w:r w:rsidRPr="00865053">
        <w:rPr>
          <w:rFonts w:ascii="Times New Roman" w:hAnsi="Times New Roman" w:cs="Times New Roman"/>
          <w:vertAlign w:val="superscript"/>
        </w:rPr>
        <w:t>th</w:t>
      </w:r>
      <w:r w:rsidRPr="00865053">
        <w:rPr>
          <w:rFonts w:ascii="Times New Roman" w:hAnsi="Times New Roman" w:cs="Times New Roman"/>
        </w:rPr>
        <w:t xml:space="preserve"> percentile cut-off of 1</w:t>
      </w:r>
      <w:r w:rsidR="00BD500C" w:rsidRPr="00865053">
        <w:rPr>
          <w:rFonts w:ascii="Times New Roman" w:hAnsi="Times New Roman" w:cs="Times New Roman"/>
        </w:rPr>
        <w:t>,</w:t>
      </w:r>
      <w:r w:rsidRPr="00865053">
        <w:rPr>
          <w:rFonts w:ascii="Times New Roman" w:hAnsi="Times New Roman" w:cs="Times New Roman"/>
        </w:rPr>
        <w:t>120</w:t>
      </w:r>
      <w:r w:rsidR="00BD500C" w:rsidRPr="00865053">
        <w:rPr>
          <w:rFonts w:ascii="Times New Roman" w:hAnsi="Times New Roman" w:cs="Times New Roman"/>
        </w:rPr>
        <w:t>.0</w:t>
      </w:r>
      <w:r w:rsidRPr="00865053">
        <w:rPr>
          <w:rFonts w:ascii="Times New Roman" w:hAnsi="Times New Roman" w:cs="Times New Roman"/>
        </w:rPr>
        <w:t xml:space="preserve"> and 349.5, respectively. </w:t>
      </w:r>
      <w:r w:rsidR="0028788D" w:rsidRPr="00865053">
        <w:rPr>
          <w:rFonts w:ascii="Times New Roman" w:hAnsi="Times New Roman" w:cs="Times New Roman"/>
        </w:rPr>
        <w:t>(</w:t>
      </w:r>
      <w:r w:rsidRPr="00865053">
        <w:rPr>
          <w:rFonts w:ascii="Times New Roman" w:hAnsi="Times New Roman" w:cs="Times New Roman"/>
        </w:rPr>
        <w:t>j, k</w:t>
      </w:r>
      <w:r w:rsidR="0028788D" w:rsidRPr="00865053">
        <w:rPr>
          <w:rFonts w:ascii="Times New Roman" w:hAnsi="Times New Roman" w:cs="Times New Roman"/>
        </w:rPr>
        <w:t xml:space="preserve">) </w:t>
      </w:r>
      <w:r w:rsidR="00521A7D" w:rsidRPr="00865053">
        <w:rPr>
          <w:rFonts w:ascii="Times New Roman" w:hAnsi="Times New Roman" w:cs="Times New Roman"/>
        </w:rPr>
        <w:t>For average bootstrap value, we observed an average NT and AA average bootstrap value of 92.4 ± 2.7 and 87.9 ± 5.75 with a 50</w:t>
      </w:r>
      <w:r w:rsidR="00521A7D" w:rsidRPr="00865053">
        <w:rPr>
          <w:rFonts w:ascii="Times New Roman" w:hAnsi="Times New Roman" w:cs="Times New Roman"/>
          <w:vertAlign w:val="superscript"/>
        </w:rPr>
        <w:t>th</w:t>
      </w:r>
      <w:r w:rsidR="00521A7D" w:rsidRPr="00865053">
        <w:rPr>
          <w:rFonts w:ascii="Times New Roman" w:hAnsi="Times New Roman" w:cs="Times New Roman"/>
        </w:rPr>
        <w:t xml:space="preserve"> percentile cut-off of 92.8 and 89.1, respectively. </w:t>
      </w:r>
      <w:r w:rsidRPr="00865053">
        <w:rPr>
          <w:rFonts w:ascii="Times New Roman" w:hAnsi="Times New Roman" w:cs="Times New Roman"/>
        </w:rPr>
        <w:t>(m, n)</w:t>
      </w:r>
      <w:r w:rsidR="0028788D" w:rsidRPr="00865053">
        <w:rPr>
          <w:rFonts w:ascii="Times New Roman" w:hAnsi="Times New Roman" w:cs="Times New Roman"/>
        </w:rPr>
        <w:t xml:space="preserve"> </w:t>
      </w:r>
      <w:r w:rsidR="00521A7D" w:rsidRPr="00865053">
        <w:rPr>
          <w:rFonts w:ascii="Times New Roman" w:hAnsi="Times New Roman" w:cs="Times New Roman"/>
        </w:rPr>
        <w:t>For treeness / RCV, we observed an average NT and AA value of 8.2 ± 2.6 and 6.5 ± 2.8 with a 50</w:t>
      </w:r>
      <w:r w:rsidR="00521A7D" w:rsidRPr="00865053">
        <w:rPr>
          <w:rFonts w:ascii="Times New Roman" w:hAnsi="Times New Roman" w:cs="Times New Roman"/>
          <w:vertAlign w:val="superscript"/>
        </w:rPr>
        <w:t>th</w:t>
      </w:r>
      <w:r w:rsidR="00521A7D" w:rsidRPr="00865053">
        <w:rPr>
          <w:rFonts w:ascii="Times New Roman" w:hAnsi="Times New Roman" w:cs="Times New Roman"/>
        </w:rPr>
        <w:t xml:space="preserve"> percentile cut-off of 8.2 and 6.0, respectively. </w:t>
      </w:r>
      <w:r w:rsidR="00645FB5" w:rsidRPr="00865053">
        <w:rPr>
          <w:rFonts w:ascii="Times New Roman" w:hAnsi="Times New Roman" w:cs="Times New Roman"/>
        </w:rPr>
        <w:t>Significant correlations were observed across NTs and AAs</w:t>
      </w:r>
      <w:r w:rsidR="00F55DB6" w:rsidRPr="00865053">
        <w:rPr>
          <w:rFonts w:ascii="Times New Roman" w:hAnsi="Times New Roman" w:cs="Times New Roman"/>
        </w:rPr>
        <w:t xml:space="preserve"> for each metric (</w:t>
      </w:r>
      <w:r w:rsidRPr="00865053">
        <w:rPr>
          <w:rFonts w:ascii="Times New Roman" w:hAnsi="Times New Roman" w:cs="Times New Roman"/>
        </w:rPr>
        <w:t>c</w:t>
      </w:r>
      <w:r w:rsidR="00F55DB6" w:rsidRPr="00865053">
        <w:rPr>
          <w:rFonts w:ascii="Times New Roman" w:hAnsi="Times New Roman" w:cs="Times New Roman"/>
        </w:rPr>
        <w:t xml:space="preserve">, f, </w:t>
      </w:r>
      <w:r w:rsidRPr="00865053">
        <w:rPr>
          <w:rFonts w:ascii="Times New Roman" w:hAnsi="Times New Roman" w:cs="Times New Roman"/>
        </w:rPr>
        <w:t>i</w:t>
      </w:r>
      <w:r w:rsidR="00F55DB6" w:rsidRPr="00865053">
        <w:rPr>
          <w:rFonts w:ascii="Times New Roman" w:hAnsi="Times New Roman" w:cs="Times New Roman"/>
        </w:rPr>
        <w:t>, l, and o).</w:t>
      </w:r>
      <w:r w:rsidRPr="00865053">
        <w:rPr>
          <w:rFonts w:ascii="Times New Roman" w:hAnsi="Times New Roman" w:cs="Times New Roman"/>
        </w:rPr>
        <w:t xml:space="preserve"> Each category is presented in order of the one with the strongest correlation between the </w:t>
      </w:r>
      <w:r w:rsidR="001C70CD" w:rsidRPr="00865053">
        <w:rPr>
          <w:rFonts w:ascii="Times New Roman" w:hAnsi="Times New Roman" w:cs="Times New Roman"/>
        </w:rPr>
        <w:t>NT and AA matrix to the weakest (i.e., completeness = alignment length = variable sites &gt; average bootstrap support &gt; treeness / RCV).</w:t>
      </w:r>
      <w:r w:rsidR="00CB169F" w:rsidRPr="00865053">
        <w:rPr>
          <w:rFonts w:ascii="Times New Roman" w:hAnsi="Times New Roman" w:cs="Times New Roman"/>
        </w:rPr>
        <w:t xml:space="preserve"> For each distribution orange indicates genes that scored in the top 50% for each metric while green indicate genes in the lower 50%. For each correlation, the blue line indicates the line of best fit.</w:t>
      </w:r>
    </w:p>
    <w:p w14:paraId="36190E39" w14:textId="77777777" w:rsidR="008264DD" w:rsidRPr="00865053" w:rsidRDefault="008264DD" w:rsidP="00865053">
      <w:pPr>
        <w:spacing w:line="360" w:lineRule="auto"/>
        <w:rPr>
          <w:rFonts w:ascii="Times New Roman" w:hAnsi="Times New Roman" w:cs="Times New Roman"/>
        </w:rPr>
      </w:pPr>
    </w:p>
    <w:p w14:paraId="77D68936" w14:textId="25E4254D" w:rsidR="00BB4697" w:rsidRPr="00865053" w:rsidRDefault="00271A72" w:rsidP="00865053">
      <w:pPr>
        <w:pStyle w:val="Heading2"/>
        <w:spacing w:line="360" w:lineRule="auto"/>
        <w:rPr>
          <w:rFonts w:ascii="Times New Roman" w:hAnsi="Times New Roman" w:cs="Times New Roman"/>
          <w:b/>
          <w:color w:val="000000" w:themeColor="text1"/>
          <w:sz w:val="24"/>
          <w:szCs w:val="24"/>
        </w:rPr>
      </w:pPr>
      <w:r w:rsidRPr="00865053">
        <w:rPr>
          <w:rFonts w:ascii="Times New Roman" w:hAnsi="Times New Roman" w:cs="Times New Roman"/>
          <w:b/>
          <w:color w:val="000000" w:themeColor="text1"/>
          <w:sz w:val="24"/>
          <w:szCs w:val="24"/>
        </w:rPr>
        <w:t xml:space="preserve">Supplementary figure </w:t>
      </w:r>
      <w:r w:rsidR="00BD500C" w:rsidRPr="00865053">
        <w:rPr>
          <w:rFonts w:ascii="Times New Roman" w:hAnsi="Times New Roman" w:cs="Times New Roman"/>
          <w:b/>
          <w:color w:val="000000" w:themeColor="text1"/>
          <w:sz w:val="24"/>
          <w:szCs w:val="24"/>
        </w:rPr>
        <w:t>8</w:t>
      </w:r>
      <w:r w:rsidRPr="00865053">
        <w:rPr>
          <w:rFonts w:ascii="Times New Roman" w:hAnsi="Times New Roman" w:cs="Times New Roman"/>
          <w:b/>
          <w:color w:val="000000" w:themeColor="text1"/>
          <w:sz w:val="24"/>
          <w:szCs w:val="24"/>
        </w:rPr>
        <w:t xml:space="preserve">. Intersections of </w:t>
      </w:r>
      <w:r w:rsidR="00DF5D42" w:rsidRPr="00865053">
        <w:rPr>
          <w:rFonts w:ascii="Times New Roman" w:hAnsi="Times New Roman" w:cs="Times New Roman"/>
          <w:b/>
          <w:color w:val="000000" w:themeColor="text1"/>
          <w:sz w:val="24"/>
          <w:szCs w:val="24"/>
        </w:rPr>
        <w:t xml:space="preserve">genes present in the </w:t>
      </w:r>
      <w:r w:rsidR="00540AE4" w:rsidRPr="00865053">
        <w:rPr>
          <w:rFonts w:ascii="Times New Roman" w:hAnsi="Times New Roman" w:cs="Times New Roman"/>
          <w:b/>
          <w:color w:val="000000" w:themeColor="text1"/>
          <w:sz w:val="24"/>
          <w:szCs w:val="24"/>
        </w:rPr>
        <w:t>ten</w:t>
      </w:r>
      <w:r w:rsidRPr="00865053">
        <w:rPr>
          <w:rFonts w:ascii="Times New Roman" w:hAnsi="Times New Roman" w:cs="Times New Roman"/>
          <w:b/>
          <w:color w:val="000000" w:themeColor="text1"/>
          <w:sz w:val="24"/>
          <w:szCs w:val="24"/>
        </w:rPr>
        <w:t xml:space="preserve"> different </w:t>
      </w:r>
      <w:r w:rsidR="00540AE4" w:rsidRPr="00865053">
        <w:rPr>
          <w:rFonts w:ascii="Times New Roman" w:hAnsi="Times New Roman" w:cs="Times New Roman"/>
          <w:b/>
          <w:color w:val="000000" w:themeColor="text1"/>
          <w:sz w:val="24"/>
          <w:szCs w:val="24"/>
        </w:rPr>
        <w:t xml:space="preserve">nucleotide and amino acid </w:t>
      </w:r>
      <w:r w:rsidRPr="00865053">
        <w:rPr>
          <w:rFonts w:ascii="Times New Roman" w:hAnsi="Times New Roman" w:cs="Times New Roman"/>
          <w:b/>
          <w:color w:val="000000" w:themeColor="text1"/>
          <w:sz w:val="24"/>
          <w:szCs w:val="24"/>
        </w:rPr>
        <w:t xml:space="preserve">subsets of the </w:t>
      </w:r>
      <w:r w:rsidR="00F42F72" w:rsidRPr="00865053">
        <w:rPr>
          <w:rFonts w:ascii="Times New Roman" w:hAnsi="Times New Roman" w:cs="Times New Roman"/>
          <w:b/>
          <w:color w:val="000000" w:themeColor="text1"/>
          <w:sz w:val="24"/>
          <w:szCs w:val="24"/>
        </w:rPr>
        <w:t xml:space="preserve">1,668-gene </w:t>
      </w:r>
      <w:r w:rsidRPr="00865053">
        <w:rPr>
          <w:rFonts w:ascii="Times New Roman" w:hAnsi="Times New Roman" w:cs="Times New Roman"/>
          <w:b/>
          <w:color w:val="000000" w:themeColor="text1"/>
          <w:sz w:val="24"/>
          <w:szCs w:val="24"/>
        </w:rPr>
        <w:t>matrix</w:t>
      </w:r>
    </w:p>
    <w:p w14:paraId="538F92EF" w14:textId="15D9D14E" w:rsidR="00271A72" w:rsidRPr="00865053" w:rsidRDefault="00271A72" w:rsidP="00865053">
      <w:pPr>
        <w:spacing w:line="360" w:lineRule="auto"/>
        <w:rPr>
          <w:rFonts w:ascii="Times New Roman" w:eastAsiaTheme="majorEastAsia" w:hAnsi="Times New Roman" w:cs="Times New Roman"/>
          <w:color w:val="2F5496" w:themeColor="accent1" w:themeShade="BF"/>
        </w:rPr>
      </w:pPr>
      <w:r w:rsidRPr="00865053">
        <w:rPr>
          <w:rFonts w:ascii="Times New Roman" w:hAnsi="Times New Roman" w:cs="Times New Roman"/>
        </w:rPr>
        <w:t xml:space="preserve">BUSCO </w:t>
      </w:r>
      <w:r w:rsidR="00540AE4" w:rsidRPr="00865053">
        <w:rPr>
          <w:rFonts w:ascii="Times New Roman" w:hAnsi="Times New Roman" w:cs="Times New Roman"/>
        </w:rPr>
        <w:t xml:space="preserve">gene </w:t>
      </w:r>
      <w:r w:rsidRPr="00865053">
        <w:rPr>
          <w:rFonts w:ascii="Times New Roman" w:hAnsi="Times New Roman" w:cs="Times New Roman"/>
        </w:rPr>
        <w:t>intersections were highest between alignment length, average bootstrap support, treeness / RCV, and the number of variable sites</w:t>
      </w:r>
      <w:r w:rsidR="0097047E" w:rsidRPr="00865053">
        <w:rPr>
          <w:rFonts w:ascii="Times New Roman" w:hAnsi="Times New Roman" w:cs="Times New Roman"/>
        </w:rPr>
        <w:t xml:space="preserve"> for both </w:t>
      </w:r>
      <w:r w:rsidR="00E96B7F" w:rsidRPr="00865053">
        <w:rPr>
          <w:rFonts w:ascii="Times New Roman" w:hAnsi="Times New Roman" w:cs="Times New Roman"/>
        </w:rPr>
        <w:t xml:space="preserve">(a) </w:t>
      </w:r>
      <w:r w:rsidR="0097047E" w:rsidRPr="00865053">
        <w:rPr>
          <w:rFonts w:ascii="Times New Roman" w:hAnsi="Times New Roman" w:cs="Times New Roman"/>
        </w:rPr>
        <w:t>amino acids (</w:t>
      </w:r>
      <w:r w:rsidR="00E96B7F" w:rsidRPr="00865053">
        <w:rPr>
          <w:rFonts w:ascii="Times New Roman" w:hAnsi="Times New Roman" w:cs="Times New Roman"/>
        </w:rPr>
        <w:t>b) and nucleotides</w:t>
      </w:r>
      <w:r w:rsidRPr="00865053">
        <w:rPr>
          <w:rFonts w:ascii="Times New Roman" w:hAnsi="Times New Roman" w:cs="Times New Roman"/>
        </w:rPr>
        <w:t>.</w:t>
      </w:r>
      <w:r w:rsidR="0097047E" w:rsidRPr="00865053">
        <w:rPr>
          <w:rFonts w:ascii="Times New Roman" w:hAnsi="Times New Roman" w:cs="Times New Roman"/>
        </w:rPr>
        <w:t xml:space="preserve"> The next largest intersection was a set of genes unique to the matrix based off of completeness followed by a set of genes shared by all </w:t>
      </w:r>
      <w:r w:rsidR="007A0038" w:rsidRPr="00865053">
        <w:rPr>
          <w:rFonts w:ascii="Times New Roman" w:hAnsi="Times New Roman" w:cs="Times New Roman"/>
        </w:rPr>
        <w:t>subsampled</w:t>
      </w:r>
      <w:r w:rsidR="0097047E" w:rsidRPr="00865053">
        <w:rPr>
          <w:rFonts w:ascii="Times New Roman" w:hAnsi="Times New Roman" w:cs="Times New Roman"/>
        </w:rPr>
        <w:t xml:space="preserve"> matrices for both </w:t>
      </w:r>
      <w:r w:rsidR="00E96B7F" w:rsidRPr="00865053">
        <w:rPr>
          <w:rFonts w:ascii="Times New Roman" w:hAnsi="Times New Roman" w:cs="Times New Roman"/>
        </w:rPr>
        <w:t xml:space="preserve">(a) </w:t>
      </w:r>
      <w:r w:rsidR="0097047E" w:rsidRPr="00865053">
        <w:rPr>
          <w:rFonts w:ascii="Times New Roman" w:hAnsi="Times New Roman" w:cs="Times New Roman"/>
        </w:rPr>
        <w:t>amino ac</w:t>
      </w:r>
      <w:r w:rsidR="00E96B7F" w:rsidRPr="00865053">
        <w:rPr>
          <w:rFonts w:ascii="Times New Roman" w:hAnsi="Times New Roman" w:cs="Times New Roman"/>
        </w:rPr>
        <w:t xml:space="preserve">ids </w:t>
      </w:r>
      <w:r w:rsidR="0097047E" w:rsidRPr="00865053">
        <w:rPr>
          <w:rFonts w:ascii="Times New Roman" w:hAnsi="Times New Roman" w:cs="Times New Roman"/>
        </w:rPr>
        <w:t xml:space="preserve">and </w:t>
      </w:r>
      <w:r w:rsidR="00E96B7F" w:rsidRPr="00865053">
        <w:rPr>
          <w:rFonts w:ascii="Times New Roman" w:hAnsi="Times New Roman" w:cs="Times New Roman"/>
        </w:rPr>
        <w:t>(b) nucleotides</w:t>
      </w:r>
      <w:r w:rsidR="0097047E" w:rsidRPr="00865053">
        <w:rPr>
          <w:rFonts w:ascii="Times New Roman" w:hAnsi="Times New Roman" w:cs="Times New Roman"/>
        </w:rPr>
        <w:t>.</w:t>
      </w:r>
      <w:r w:rsidR="00E96B7F" w:rsidRPr="00865053">
        <w:rPr>
          <w:rFonts w:ascii="Times New Roman" w:hAnsi="Times New Roman" w:cs="Times New Roman"/>
        </w:rPr>
        <w:t xml:space="preserve"> (c) The number of shared or unique BUSCO genes per subset between amino acid</w:t>
      </w:r>
      <w:r w:rsidR="00540AE4" w:rsidRPr="00865053">
        <w:rPr>
          <w:rFonts w:ascii="Times New Roman" w:hAnsi="Times New Roman" w:cs="Times New Roman"/>
        </w:rPr>
        <w:t>-</w:t>
      </w:r>
      <w:r w:rsidR="00540AE4" w:rsidRPr="00865053">
        <w:rPr>
          <w:rFonts w:ascii="Times New Roman" w:hAnsi="Times New Roman" w:cs="Times New Roman"/>
        </w:rPr>
        <w:lastRenderedPageBreak/>
        <w:t>based and nucleotide-based</w:t>
      </w:r>
      <w:r w:rsidR="00E96B7F" w:rsidRPr="00865053">
        <w:rPr>
          <w:rFonts w:ascii="Times New Roman" w:hAnsi="Times New Roman" w:cs="Times New Roman"/>
        </w:rPr>
        <w:t xml:space="preserve"> </w:t>
      </w:r>
      <w:r w:rsidR="00540AE4" w:rsidRPr="00865053">
        <w:rPr>
          <w:rFonts w:ascii="Times New Roman" w:hAnsi="Times New Roman" w:cs="Times New Roman"/>
        </w:rPr>
        <w:t>subsets shows that</w:t>
      </w:r>
      <w:r w:rsidR="00E96B7F" w:rsidRPr="00865053">
        <w:rPr>
          <w:rFonts w:ascii="Times New Roman" w:hAnsi="Times New Roman" w:cs="Times New Roman"/>
        </w:rPr>
        <w:t xml:space="preserve"> the number of shared BUSCO genes is </w:t>
      </w:r>
      <w:r w:rsidR="00540AE4" w:rsidRPr="00865053">
        <w:rPr>
          <w:rFonts w:ascii="Times New Roman" w:hAnsi="Times New Roman" w:cs="Times New Roman"/>
        </w:rPr>
        <w:t xml:space="preserve">very </w:t>
      </w:r>
      <w:r w:rsidR="00E96B7F" w:rsidRPr="00865053">
        <w:rPr>
          <w:rFonts w:ascii="Times New Roman" w:hAnsi="Times New Roman" w:cs="Times New Roman"/>
        </w:rPr>
        <w:t xml:space="preserve">high for alignment length, completeness, and variable sites. In contrast, there are more unique genes for the average bootstrap support and treeness / RCV matrices. </w:t>
      </w:r>
    </w:p>
    <w:p w14:paraId="0D0B81FC" w14:textId="77777777" w:rsidR="000F526B" w:rsidRPr="00865053" w:rsidRDefault="000F526B" w:rsidP="00865053">
      <w:pPr>
        <w:spacing w:line="360" w:lineRule="auto"/>
        <w:rPr>
          <w:rFonts w:ascii="Times New Roman" w:hAnsi="Times New Roman" w:cs="Times New Roman"/>
        </w:rPr>
      </w:pPr>
    </w:p>
    <w:p w14:paraId="1274CC41" w14:textId="75B94322" w:rsidR="00E13189" w:rsidRPr="00865053" w:rsidRDefault="00E13189" w:rsidP="00865053">
      <w:pPr>
        <w:pStyle w:val="Heading2"/>
        <w:spacing w:line="360" w:lineRule="auto"/>
        <w:rPr>
          <w:rFonts w:ascii="Times New Roman" w:hAnsi="Times New Roman" w:cs="Times New Roman"/>
          <w:b/>
          <w:color w:val="000000" w:themeColor="text1"/>
          <w:sz w:val="24"/>
          <w:szCs w:val="24"/>
        </w:rPr>
      </w:pPr>
      <w:r w:rsidRPr="00865053">
        <w:rPr>
          <w:rFonts w:ascii="Times New Roman" w:hAnsi="Times New Roman" w:cs="Times New Roman"/>
          <w:b/>
          <w:color w:val="000000" w:themeColor="text1"/>
          <w:sz w:val="24"/>
          <w:szCs w:val="24"/>
        </w:rPr>
        <w:t xml:space="preserve">Supplementary figure 9. </w:t>
      </w:r>
      <w:r w:rsidR="00540AE4" w:rsidRPr="00865053">
        <w:rPr>
          <w:rFonts w:ascii="Times New Roman" w:hAnsi="Times New Roman" w:cs="Times New Roman"/>
          <w:b/>
          <w:color w:val="000000" w:themeColor="text1"/>
          <w:sz w:val="24"/>
          <w:szCs w:val="24"/>
        </w:rPr>
        <w:t xml:space="preserve">The Aspergillaceae phylogeny shown in Figure 1 with each internode </w:t>
      </w:r>
      <w:r w:rsidRPr="00865053">
        <w:rPr>
          <w:rFonts w:ascii="Times New Roman" w:hAnsi="Times New Roman" w:cs="Times New Roman"/>
          <w:b/>
          <w:color w:val="000000" w:themeColor="text1"/>
          <w:sz w:val="24"/>
          <w:szCs w:val="24"/>
        </w:rPr>
        <w:t>label</w:t>
      </w:r>
      <w:r w:rsidR="00540AE4" w:rsidRPr="00865053">
        <w:rPr>
          <w:rFonts w:ascii="Times New Roman" w:hAnsi="Times New Roman" w:cs="Times New Roman"/>
          <w:b/>
          <w:color w:val="000000" w:themeColor="text1"/>
          <w:sz w:val="24"/>
          <w:szCs w:val="24"/>
        </w:rPr>
        <w:t>led</w:t>
      </w:r>
    </w:p>
    <w:p w14:paraId="4AA79FDC" w14:textId="74C60545" w:rsidR="00E13189" w:rsidRPr="00865053" w:rsidRDefault="00E13189" w:rsidP="00865053">
      <w:pPr>
        <w:spacing w:line="360" w:lineRule="auto"/>
        <w:rPr>
          <w:rFonts w:ascii="Times New Roman" w:hAnsi="Times New Roman" w:cs="Times New Roman"/>
          <w:i/>
        </w:rPr>
      </w:pPr>
      <w:r w:rsidRPr="00865053">
        <w:rPr>
          <w:rFonts w:ascii="Times New Roman" w:hAnsi="Times New Roman" w:cs="Times New Roman"/>
        </w:rPr>
        <w:t xml:space="preserve">To accompany supplementary tables containing specific information about </w:t>
      </w:r>
      <w:r w:rsidR="00540AE4" w:rsidRPr="00865053">
        <w:rPr>
          <w:rFonts w:ascii="Times New Roman" w:hAnsi="Times New Roman" w:cs="Times New Roman"/>
        </w:rPr>
        <w:t xml:space="preserve">different </w:t>
      </w:r>
      <w:r w:rsidRPr="00865053">
        <w:rPr>
          <w:rFonts w:ascii="Times New Roman" w:hAnsi="Times New Roman" w:cs="Times New Roman"/>
        </w:rPr>
        <w:t>internodes</w:t>
      </w:r>
      <w:r w:rsidR="00540AE4" w:rsidRPr="00865053">
        <w:rPr>
          <w:rFonts w:ascii="Times New Roman" w:hAnsi="Times New Roman" w:cs="Times New Roman"/>
        </w:rPr>
        <w:t xml:space="preserve"> of the reference Aspergillaceae phylogeny shown in Figure 1</w:t>
      </w:r>
      <w:r w:rsidRPr="00865053">
        <w:rPr>
          <w:rFonts w:ascii="Times New Roman" w:hAnsi="Times New Roman" w:cs="Times New Roman"/>
        </w:rPr>
        <w:t xml:space="preserve">, </w:t>
      </w:r>
      <w:r w:rsidR="00540AE4" w:rsidRPr="00865053">
        <w:rPr>
          <w:rFonts w:ascii="Times New Roman" w:hAnsi="Times New Roman" w:cs="Times New Roman"/>
        </w:rPr>
        <w:t xml:space="preserve">all internodes of this phylogeny have been </w:t>
      </w:r>
      <w:r w:rsidRPr="00865053">
        <w:rPr>
          <w:rFonts w:ascii="Times New Roman" w:hAnsi="Times New Roman" w:cs="Times New Roman"/>
        </w:rPr>
        <w:t>label</w:t>
      </w:r>
      <w:r w:rsidR="00540AE4" w:rsidRPr="00865053">
        <w:rPr>
          <w:rFonts w:ascii="Times New Roman" w:hAnsi="Times New Roman" w:cs="Times New Roman"/>
        </w:rPr>
        <w:t>led with unique identifier</w:t>
      </w:r>
      <w:r w:rsidRPr="00865053">
        <w:rPr>
          <w:rFonts w:ascii="Times New Roman" w:hAnsi="Times New Roman" w:cs="Times New Roman"/>
        </w:rPr>
        <w:t>s</w:t>
      </w:r>
      <w:r w:rsidR="00540AE4" w:rsidRPr="00865053">
        <w:rPr>
          <w:rFonts w:ascii="Times New Roman" w:hAnsi="Times New Roman" w:cs="Times New Roman"/>
        </w:rPr>
        <w:t xml:space="preserve"> from I1 (internode #1) to I78 (internode #78)</w:t>
      </w:r>
      <w:r w:rsidR="00A2252D" w:rsidRPr="00865053">
        <w:rPr>
          <w:rFonts w:ascii="Times New Roman" w:hAnsi="Times New Roman" w:cs="Times New Roman"/>
        </w:rPr>
        <w:t>.</w:t>
      </w:r>
    </w:p>
    <w:p w14:paraId="4714F030" w14:textId="77777777" w:rsidR="000D1039" w:rsidRPr="00865053" w:rsidRDefault="000D1039" w:rsidP="00865053">
      <w:pPr>
        <w:spacing w:line="360" w:lineRule="auto"/>
        <w:rPr>
          <w:rFonts w:ascii="Times New Roman" w:hAnsi="Times New Roman" w:cs="Times New Roman"/>
        </w:rPr>
      </w:pPr>
    </w:p>
    <w:p w14:paraId="7D34FF9A" w14:textId="7E084DB3" w:rsidR="00BB4697" w:rsidRPr="00865053" w:rsidRDefault="00243773" w:rsidP="00865053">
      <w:pPr>
        <w:pStyle w:val="Heading2"/>
        <w:spacing w:line="360" w:lineRule="auto"/>
        <w:rPr>
          <w:rFonts w:ascii="Times New Roman" w:hAnsi="Times New Roman" w:cs="Times New Roman"/>
          <w:b/>
          <w:color w:val="000000" w:themeColor="text1"/>
          <w:sz w:val="24"/>
          <w:szCs w:val="24"/>
        </w:rPr>
      </w:pPr>
      <w:r w:rsidRPr="00865053">
        <w:rPr>
          <w:rFonts w:ascii="Times New Roman" w:hAnsi="Times New Roman" w:cs="Times New Roman"/>
          <w:b/>
          <w:color w:val="000000" w:themeColor="text1"/>
          <w:sz w:val="24"/>
          <w:szCs w:val="24"/>
        </w:rPr>
        <w:t>Supplementary figure 1</w:t>
      </w:r>
      <w:r w:rsidR="00E337DE" w:rsidRPr="00865053">
        <w:rPr>
          <w:rFonts w:ascii="Times New Roman" w:hAnsi="Times New Roman" w:cs="Times New Roman"/>
          <w:b/>
          <w:color w:val="000000" w:themeColor="text1"/>
          <w:sz w:val="24"/>
          <w:szCs w:val="24"/>
        </w:rPr>
        <w:t>0</w:t>
      </w:r>
      <w:r w:rsidRPr="00865053">
        <w:rPr>
          <w:rFonts w:ascii="Times New Roman" w:hAnsi="Times New Roman" w:cs="Times New Roman"/>
          <w:b/>
          <w:color w:val="000000" w:themeColor="text1"/>
          <w:sz w:val="24"/>
          <w:szCs w:val="24"/>
        </w:rPr>
        <w:t xml:space="preserve">. </w:t>
      </w:r>
      <w:r w:rsidR="009065C9" w:rsidRPr="00865053">
        <w:rPr>
          <w:rFonts w:ascii="Times New Roman" w:hAnsi="Times New Roman" w:cs="Times New Roman"/>
          <w:b/>
          <w:color w:val="000000" w:themeColor="text1"/>
          <w:sz w:val="24"/>
          <w:szCs w:val="24"/>
        </w:rPr>
        <w:t>Multiple</w:t>
      </w:r>
      <w:r w:rsidRPr="00865053">
        <w:rPr>
          <w:rFonts w:ascii="Times New Roman" w:hAnsi="Times New Roman" w:cs="Times New Roman"/>
          <w:b/>
          <w:color w:val="000000" w:themeColor="text1"/>
          <w:sz w:val="24"/>
          <w:szCs w:val="24"/>
        </w:rPr>
        <w:t xml:space="preserve"> </w:t>
      </w:r>
      <w:r w:rsidR="009065C9" w:rsidRPr="00865053">
        <w:rPr>
          <w:rFonts w:ascii="Times New Roman" w:hAnsi="Times New Roman" w:cs="Times New Roman"/>
          <w:b/>
          <w:color w:val="000000" w:themeColor="text1"/>
          <w:sz w:val="24"/>
          <w:szCs w:val="24"/>
        </w:rPr>
        <w:t>correspondence</w:t>
      </w:r>
      <w:r w:rsidRPr="00865053">
        <w:rPr>
          <w:rFonts w:ascii="Times New Roman" w:hAnsi="Times New Roman" w:cs="Times New Roman"/>
          <w:b/>
          <w:color w:val="000000" w:themeColor="text1"/>
          <w:sz w:val="24"/>
          <w:szCs w:val="24"/>
        </w:rPr>
        <w:t xml:space="preserve"> analysis of </w:t>
      </w:r>
      <w:r w:rsidR="008D2DCA" w:rsidRPr="00865053">
        <w:rPr>
          <w:rFonts w:ascii="Times New Roman" w:hAnsi="Times New Roman" w:cs="Times New Roman"/>
          <w:b/>
          <w:color w:val="000000" w:themeColor="text1"/>
          <w:sz w:val="24"/>
          <w:szCs w:val="24"/>
        </w:rPr>
        <w:t>matrix features</w:t>
      </w:r>
      <w:r w:rsidR="009065C9" w:rsidRPr="00865053">
        <w:rPr>
          <w:rFonts w:ascii="Times New Roman" w:hAnsi="Times New Roman" w:cs="Times New Roman"/>
          <w:b/>
          <w:color w:val="000000" w:themeColor="text1"/>
          <w:sz w:val="24"/>
          <w:szCs w:val="24"/>
        </w:rPr>
        <w:t xml:space="preserve"> and </w:t>
      </w:r>
      <w:r w:rsidR="003D617A" w:rsidRPr="00865053">
        <w:rPr>
          <w:rFonts w:ascii="Times New Roman" w:hAnsi="Times New Roman" w:cs="Times New Roman"/>
          <w:b/>
          <w:color w:val="000000" w:themeColor="text1"/>
          <w:sz w:val="24"/>
          <w:szCs w:val="24"/>
        </w:rPr>
        <w:t>analytical</w:t>
      </w:r>
      <w:r w:rsidR="009065C9" w:rsidRPr="00865053">
        <w:rPr>
          <w:rFonts w:ascii="Times New Roman" w:hAnsi="Times New Roman" w:cs="Times New Roman"/>
          <w:b/>
          <w:color w:val="000000" w:themeColor="text1"/>
          <w:sz w:val="24"/>
          <w:szCs w:val="24"/>
        </w:rPr>
        <w:t xml:space="preserve"> scheme</w:t>
      </w:r>
      <w:r w:rsidR="003D617A" w:rsidRPr="00865053">
        <w:rPr>
          <w:rFonts w:ascii="Times New Roman" w:hAnsi="Times New Roman" w:cs="Times New Roman"/>
          <w:b/>
          <w:color w:val="000000" w:themeColor="text1"/>
          <w:sz w:val="24"/>
          <w:szCs w:val="24"/>
        </w:rPr>
        <w:t>s</w:t>
      </w:r>
      <w:r w:rsidR="009065C9" w:rsidRPr="00865053">
        <w:rPr>
          <w:rFonts w:ascii="Times New Roman" w:hAnsi="Times New Roman" w:cs="Times New Roman"/>
          <w:b/>
          <w:color w:val="000000" w:themeColor="text1"/>
          <w:sz w:val="24"/>
          <w:szCs w:val="24"/>
        </w:rPr>
        <w:t xml:space="preserve"> </w:t>
      </w:r>
      <w:r w:rsidR="003D617A" w:rsidRPr="00865053">
        <w:rPr>
          <w:rFonts w:ascii="Times New Roman" w:hAnsi="Times New Roman" w:cs="Times New Roman"/>
          <w:b/>
          <w:color w:val="000000" w:themeColor="text1"/>
          <w:sz w:val="24"/>
          <w:szCs w:val="24"/>
        </w:rPr>
        <w:t>for each of the eight conflicting internodes</w:t>
      </w:r>
    </w:p>
    <w:p w14:paraId="68DE0455" w14:textId="5A8B7D98" w:rsidR="00243773" w:rsidRPr="00865053" w:rsidRDefault="008D2DCA" w:rsidP="00865053">
      <w:pPr>
        <w:spacing w:line="360" w:lineRule="auto"/>
        <w:rPr>
          <w:rFonts w:ascii="Times New Roman" w:hAnsi="Times New Roman" w:cs="Times New Roman"/>
        </w:rPr>
      </w:pPr>
      <w:r w:rsidRPr="00865053">
        <w:rPr>
          <w:rFonts w:ascii="Times New Roman" w:hAnsi="Times New Roman" w:cs="Times New Roman"/>
        </w:rPr>
        <w:t xml:space="preserve">(a-f) </w:t>
      </w:r>
      <w:r w:rsidR="003D617A" w:rsidRPr="00865053">
        <w:rPr>
          <w:rFonts w:ascii="Times New Roman" w:hAnsi="Times New Roman" w:cs="Times New Roman"/>
        </w:rPr>
        <w:t>Each plot corresponds to a different internode (shown on the upper left), and e</w:t>
      </w:r>
      <w:r w:rsidRPr="00865053">
        <w:rPr>
          <w:rFonts w:ascii="Times New Roman" w:hAnsi="Times New Roman" w:cs="Times New Roman"/>
        </w:rPr>
        <w:t xml:space="preserve">ach dot </w:t>
      </w:r>
      <w:r w:rsidR="003D617A" w:rsidRPr="00865053">
        <w:rPr>
          <w:rFonts w:ascii="Times New Roman" w:hAnsi="Times New Roman" w:cs="Times New Roman"/>
        </w:rPr>
        <w:t xml:space="preserve">in a plot </w:t>
      </w:r>
      <w:r w:rsidRPr="00865053">
        <w:rPr>
          <w:rFonts w:ascii="Times New Roman" w:hAnsi="Times New Roman" w:cs="Times New Roman"/>
        </w:rPr>
        <w:t>represents one of the 36 phylogenies and is colored according to wh</w:t>
      </w:r>
      <w:r w:rsidR="003D617A" w:rsidRPr="00865053">
        <w:rPr>
          <w:rFonts w:ascii="Times New Roman" w:hAnsi="Times New Roman" w:cs="Times New Roman"/>
        </w:rPr>
        <w:t>ether the reference internode or the conflicting internode(s)</w:t>
      </w:r>
      <w:r w:rsidRPr="00865053">
        <w:rPr>
          <w:rFonts w:ascii="Times New Roman" w:hAnsi="Times New Roman" w:cs="Times New Roman"/>
        </w:rPr>
        <w:t xml:space="preserve"> is supported</w:t>
      </w:r>
      <w:r w:rsidR="000A06C6" w:rsidRPr="00865053">
        <w:rPr>
          <w:rFonts w:ascii="Times New Roman" w:hAnsi="Times New Roman" w:cs="Times New Roman"/>
        </w:rPr>
        <w:t xml:space="preserve">. Ellipses </w:t>
      </w:r>
      <w:r w:rsidR="00CC7F5F" w:rsidRPr="00865053">
        <w:rPr>
          <w:rFonts w:ascii="Times New Roman" w:hAnsi="Times New Roman" w:cs="Times New Roman"/>
        </w:rPr>
        <w:t>are drawn around dots that support the same topology if a sufficient number of data points are present</w:t>
      </w:r>
      <w:r w:rsidR="007222B4" w:rsidRPr="00865053">
        <w:rPr>
          <w:rFonts w:ascii="Times New Roman" w:hAnsi="Times New Roman" w:cs="Times New Roman"/>
        </w:rPr>
        <w:t>. The percent of variance explained on each dimension or principal component is written in parentheses after each dimension label.</w:t>
      </w:r>
      <w:r w:rsidRPr="00865053">
        <w:rPr>
          <w:rFonts w:ascii="Times New Roman" w:hAnsi="Times New Roman" w:cs="Times New Roman"/>
        </w:rPr>
        <w:t xml:space="preserve"> (b) I74 and I78 reveal distinct clustering among the alternative top and alternative middle and alternative bottom topology (Figure 3b). (e) Similarly, distinct clustering is observed at I33 between trees that support the reference and alternative topologies. (g and h) Contribution of variables to dimension 2 reveals clustering is driving by the matrix sequence type. The red line represents the percent contribution expected by random chance, which is 9.1% or 1 / 11 where 11 is derived from the number of categories (2 sequence types + 6 matrix subsample types + 3 schemes).</w:t>
      </w:r>
    </w:p>
    <w:p w14:paraId="285929D1" w14:textId="77777777" w:rsidR="00243773" w:rsidRPr="00865053" w:rsidRDefault="00243773" w:rsidP="00865053">
      <w:pPr>
        <w:spacing w:line="360" w:lineRule="auto"/>
        <w:rPr>
          <w:rFonts w:ascii="Times New Roman" w:hAnsi="Times New Roman" w:cs="Times New Roman"/>
        </w:rPr>
      </w:pPr>
    </w:p>
    <w:p w14:paraId="43DF7EF5" w14:textId="30226C80" w:rsidR="00BB4697" w:rsidRPr="00865053" w:rsidRDefault="00C973F3" w:rsidP="00865053">
      <w:pPr>
        <w:pStyle w:val="Heading2"/>
        <w:spacing w:line="360" w:lineRule="auto"/>
        <w:rPr>
          <w:rFonts w:ascii="Times New Roman" w:hAnsi="Times New Roman" w:cs="Times New Roman"/>
          <w:b/>
          <w:color w:val="000000" w:themeColor="text1"/>
          <w:sz w:val="24"/>
          <w:szCs w:val="24"/>
        </w:rPr>
      </w:pPr>
      <w:r w:rsidRPr="00865053">
        <w:rPr>
          <w:rFonts w:ascii="Times New Roman" w:hAnsi="Times New Roman" w:cs="Times New Roman"/>
          <w:b/>
          <w:color w:val="000000" w:themeColor="text1"/>
          <w:sz w:val="24"/>
          <w:szCs w:val="24"/>
        </w:rPr>
        <w:t>Supplementary figure 1</w:t>
      </w:r>
      <w:r w:rsidR="00E337DE" w:rsidRPr="00865053">
        <w:rPr>
          <w:rFonts w:ascii="Times New Roman" w:hAnsi="Times New Roman" w:cs="Times New Roman"/>
          <w:b/>
          <w:color w:val="000000" w:themeColor="text1"/>
          <w:sz w:val="24"/>
          <w:szCs w:val="24"/>
        </w:rPr>
        <w:t>1</w:t>
      </w:r>
      <w:r w:rsidRPr="00865053">
        <w:rPr>
          <w:rFonts w:ascii="Times New Roman" w:hAnsi="Times New Roman" w:cs="Times New Roman"/>
          <w:b/>
          <w:color w:val="000000" w:themeColor="text1"/>
          <w:sz w:val="24"/>
          <w:szCs w:val="24"/>
        </w:rPr>
        <w:t xml:space="preserve">. Gene-wise </w:t>
      </w:r>
      <w:r w:rsidR="00935EAC" w:rsidRPr="00865053">
        <w:rPr>
          <w:rFonts w:ascii="Times New Roman" w:hAnsi="Times New Roman" w:cs="Times New Roman"/>
          <w:b/>
          <w:color w:val="000000" w:themeColor="text1"/>
          <w:sz w:val="24"/>
          <w:szCs w:val="24"/>
        </w:rPr>
        <w:t>log-</w:t>
      </w:r>
      <w:r w:rsidRPr="00865053">
        <w:rPr>
          <w:rFonts w:ascii="Times New Roman" w:hAnsi="Times New Roman" w:cs="Times New Roman"/>
          <w:b/>
          <w:color w:val="000000" w:themeColor="text1"/>
          <w:sz w:val="24"/>
          <w:szCs w:val="24"/>
        </w:rPr>
        <w:t>likelihood score</w:t>
      </w:r>
      <w:r w:rsidR="00935EAC" w:rsidRPr="00865053">
        <w:rPr>
          <w:rFonts w:ascii="Times New Roman" w:hAnsi="Times New Roman" w:cs="Times New Roman"/>
          <w:b/>
          <w:color w:val="000000" w:themeColor="text1"/>
          <w:sz w:val="24"/>
          <w:szCs w:val="24"/>
        </w:rPr>
        <w:t xml:space="preserve">s </w:t>
      </w:r>
      <w:r w:rsidR="00230AD1" w:rsidRPr="00865053">
        <w:rPr>
          <w:rFonts w:ascii="Times New Roman" w:hAnsi="Times New Roman" w:cs="Times New Roman"/>
          <w:b/>
          <w:color w:val="000000" w:themeColor="text1"/>
          <w:sz w:val="24"/>
          <w:szCs w:val="24"/>
        </w:rPr>
        <w:t xml:space="preserve">for each of the </w:t>
      </w:r>
      <w:r w:rsidR="00373612" w:rsidRPr="00865053">
        <w:rPr>
          <w:rFonts w:ascii="Times New Roman" w:hAnsi="Times New Roman" w:cs="Times New Roman"/>
          <w:b/>
          <w:color w:val="000000" w:themeColor="text1"/>
          <w:sz w:val="24"/>
          <w:szCs w:val="24"/>
        </w:rPr>
        <w:t>eleven</w:t>
      </w:r>
      <w:r w:rsidR="00230AD1" w:rsidRPr="00865053">
        <w:rPr>
          <w:rFonts w:ascii="Times New Roman" w:hAnsi="Times New Roman" w:cs="Times New Roman"/>
          <w:b/>
          <w:color w:val="000000" w:themeColor="text1"/>
          <w:sz w:val="24"/>
          <w:szCs w:val="24"/>
        </w:rPr>
        <w:t xml:space="preserve"> incongruent internodes</w:t>
      </w:r>
    </w:p>
    <w:p w14:paraId="78B15EEC" w14:textId="767A8605" w:rsidR="00C973F3" w:rsidRPr="00865053" w:rsidRDefault="00D33C0B" w:rsidP="00865053">
      <w:pPr>
        <w:spacing w:line="360" w:lineRule="auto"/>
        <w:rPr>
          <w:rFonts w:ascii="Times New Roman" w:hAnsi="Times New Roman" w:cs="Times New Roman"/>
        </w:rPr>
      </w:pPr>
      <w:r w:rsidRPr="00865053">
        <w:rPr>
          <w:rFonts w:ascii="Times New Roman" w:hAnsi="Times New Roman" w:cs="Times New Roman"/>
        </w:rPr>
        <w:t>(a-k</w:t>
      </w:r>
      <w:r w:rsidR="00124FB2" w:rsidRPr="00865053">
        <w:rPr>
          <w:rFonts w:ascii="Times New Roman" w:hAnsi="Times New Roman" w:cs="Times New Roman"/>
        </w:rPr>
        <w:t xml:space="preserve">) Each panel depicts the difference in gene-wise log-likelihood scores (ΔGLS) for the reference (blue) and alternative (red) topology for one of the twelve incongruent internodes. When evaluating support for each topology, two depictions are shown: (left) the distribution of support values were plotted and </w:t>
      </w:r>
      <w:r w:rsidR="000626BE" w:rsidRPr="00865053">
        <w:rPr>
          <w:rFonts w:ascii="Times New Roman" w:hAnsi="Times New Roman" w:cs="Times New Roman"/>
        </w:rPr>
        <w:t xml:space="preserve">(right) </w:t>
      </w:r>
      <w:r w:rsidR="00124FB2" w:rsidRPr="00865053">
        <w:rPr>
          <w:rFonts w:ascii="Times New Roman" w:hAnsi="Times New Roman" w:cs="Times New Roman"/>
        </w:rPr>
        <w:t xml:space="preserve">the number of genes that favor either the reference or </w:t>
      </w:r>
      <w:r w:rsidR="00124FB2" w:rsidRPr="00865053">
        <w:rPr>
          <w:rFonts w:ascii="Times New Roman" w:hAnsi="Times New Roman" w:cs="Times New Roman"/>
        </w:rPr>
        <w:lastRenderedPageBreak/>
        <w:t>alternative topology</w:t>
      </w:r>
      <w:r w:rsidR="000626BE" w:rsidRPr="00865053">
        <w:rPr>
          <w:rFonts w:ascii="Times New Roman" w:hAnsi="Times New Roman" w:cs="Times New Roman"/>
        </w:rPr>
        <w:t>.</w:t>
      </w:r>
      <w:r w:rsidR="00124FB2" w:rsidRPr="00865053">
        <w:rPr>
          <w:rFonts w:ascii="Times New Roman" w:hAnsi="Times New Roman" w:cs="Times New Roman"/>
        </w:rPr>
        <w:t xml:space="preserve"> </w:t>
      </w:r>
      <w:r w:rsidR="000626BE" w:rsidRPr="00865053">
        <w:rPr>
          <w:rFonts w:ascii="Times New Roman" w:hAnsi="Times New Roman" w:cs="Times New Roman"/>
        </w:rPr>
        <w:t>For each incongruent internode, the number of genes that favor the reference topology is greater than the number of genes that favor the alternative topology with the exception of I33 (b)</w:t>
      </w:r>
      <w:r w:rsidR="00587F82" w:rsidRPr="00865053">
        <w:rPr>
          <w:rFonts w:ascii="Times New Roman" w:hAnsi="Times New Roman" w:cs="Times New Roman"/>
        </w:rPr>
        <w:t>, however the absolute value of the sum of ΔGLS for genes that favor the reference topology (3,881.1) is greater than that of the alternative topology (3,585.0)</w:t>
      </w:r>
      <w:r w:rsidR="000626BE" w:rsidRPr="00865053">
        <w:rPr>
          <w:rFonts w:ascii="Times New Roman" w:hAnsi="Times New Roman" w:cs="Times New Roman"/>
        </w:rPr>
        <w:t xml:space="preserve">. </w:t>
      </w:r>
      <w:r w:rsidR="00587F82" w:rsidRPr="00865053">
        <w:rPr>
          <w:rFonts w:ascii="Times New Roman" w:hAnsi="Times New Roman" w:cs="Times New Roman"/>
        </w:rPr>
        <w:t xml:space="preserve">It is </w:t>
      </w:r>
      <w:r w:rsidR="007A0038" w:rsidRPr="00865053">
        <w:rPr>
          <w:rFonts w:ascii="Times New Roman" w:hAnsi="Times New Roman" w:cs="Times New Roman"/>
        </w:rPr>
        <w:t>noteworthy</w:t>
      </w:r>
      <w:r w:rsidR="00587F82" w:rsidRPr="00865053">
        <w:rPr>
          <w:rFonts w:ascii="Times New Roman" w:hAnsi="Times New Roman" w:cs="Times New Roman"/>
        </w:rPr>
        <w:t xml:space="preserve"> that</w:t>
      </w:r>
      <w:r w:rsidR="0079025F" w:rsidRPr="00865053">
        <w:rPr>
          <w:rFonts w:ascii="Times New Roman" w:hAnsi="Times New Roman" w:cs="Times New Roman"/>
        </w:rPr>
        <w:t xml:space="preserve"> </w:t>
      </w:r>
      <w:r w:rsidR="00587F82" w:rsidRPr="00865053">
        <w:rPr>
          <w:rFonts w:ascii="Times New Roman" w:hAnsi="Times New Roman" w:cs="Times New Roman"/>
        </w:rPr>
        <w:t xml:space="preserve">a single gene, </w:t>
      </w:r>
      <w:r w:rsidR="00587F82" w:rsidRPr="00865053">
        <w:rPr>
          <w:rFonts w:ascii="Times New Roman" w:hAnsi="Times New Roman" w:cs="Times New Roman"/>
          <w:i/>
        </w:rPr>
        <w:t>EOG091N0434</w:t>
      </w:r>
      <w:r w:rsidR="00587F82" w:rsidRPr="00865053">
        <w:rPr>
          <w:rFonts w:ascii="Times New Roman" w:hAnsi="Times New Roman" w:cs="Times New Roman"/>
        </w:rPr>
        <w:t xml:space="preserve">, has a relatively high </w:t>
      </w:r>
      <w:r w:rsidR="0079025F" w:rsidRPr="00865053">
        <w:rPr>
          <w:rFonts w:ascii="Times New Roman" w:hAnsi="Times New Roman" w:cs="Times New Roman"/>
        </w:rPr>
        <w:t>ΔGLS</w:t>
      </w:r>
      <w:r w:rsidR="00587F82" w:rsidRPr="00865053">
        <w:rPr>
          <w:rFonts w:ascii="Times New Roman" w:hAnsi="Times New Roman" w:cs="Times New Roman"/>
        </w:rPr>
        <w:t xml:space="preserve"> of 140</w:t>
      </w:r>
      <w:r w:rsidR="0079025F" w:rsidRPr="00865053">
        <w:rPr>
          <w:rFonts w:ascii="Times New Roman" w:hAnsi="Times New Roman" w:cs="Times New Roman"/>
        </w:rPr>
        <w:t xml:space="preserve"> </w:t>
      </w:r>
      <w:r w:rsidR="00587F82" w:rsidRPr="00865053">
        <w:rPr>
          <w:rFonts w:ascii="Times New Roman" w:hAnsi="Times New Roman" w:cs="Times New Roman"/>
        </w:rPr>
        <w:t>and</w:t>
      </w:r>
      <w:r w:rsidR="0079025F" w:rsidRPr="00865053">
        <w:rPr>
          <w:rFonts w:ascii="Times New Roman" w:hAnsi="Times New Roman" w:cs="Times New Roman"/>
        </w:rPr>
        <w:t xml:space="preserve"> favor</w:t>
      </w:r>
      <w:r w:rsidR="00587F82" w:rsidRPr="00865053">
        <w:rPr>
          <w:rFonts w:ascii="Times New Roman" w:hAnsi="Times New Roman" w:cs="Times New Roman"/>
        </w:rPr>
        <w:t>s</w:t>
      </w:r>
      <w:r w:rsidR="0079025F" w:rsidRPr="00865053">
        <w:rPr>
          <w:rFonts w:ascii="Times New Roman" w:hAnsi="Times New Roman" w:cs="Times New Roman"/>
        </w:rPr>
        <w:t xml:space="preserve"> the reference topology. </w:t>
      </w:r>
      <w:r w:rsidR="00587F82" w:rsidRPr="00865053">
        <w:rPr>
          <w:rFonts w:ascii="Times New Roman" w:hAnsi="Times New Roman" w:cs="Times New Roman"/>
        </w:rPr>
        <w:t>To determine if this single gene skewed the results, we removed this gene and still found that the absolute value of the sum of ΔGLS for genes that favor the reference topology (3</w:t>
      </w:r>
      <w:r w:rsidR="006E6ED8" w:rsidRPr="00865053">
        <w:rPr>
          <w:rFonts w:ascii="Times New Roman" w:hAnsi="Times New Roman" w:cs="Times New Roman"/>
        </w:rPr>
        <w:t>,</w:t>
      </w:r>
      <w:r w:rsidR="00587F82" w:rsidRPr="00865053">
        <w:rPr>
          <w:rFonts w:ascii="Times New Roman" w:hAnsi="Times New Roman" w:cs="Times New Roman"/>
        </w:rPr>
        <w:t xml:space="preserve">741.1) was still greater than that of the alternative topology (3,585.0). </w:t>
      </w:r>
    </w:p>
    <w:p w14:paraId="47936BF6" w14:textId="77777777" w:rsidR="00C973F3" w:rsidRPr="00865053" w:rsidRDefault="00C973F3" w:rsidP="00865053">
      <w:pPr>
        <w:spacing w:line="360" w:lineRule="auto"/>
        <w:rPr>
          <w:rFonts w:ascii="Times New Roman" w:hAnsi="Times New Roman" w:cs="Times New Roman"/>
          <w:b/>
        </w:rPr>
      </w:pPr>
    </w:p>
    <w:p w14:paraId="218D62FC" w14:textId="40281785" w:rsidR="009E4C36" w:rsidRPr="00865053" w:rsidRDefault="009E4C36" w:rsidP="00865053">
      <w:pPr>
        <w:pStyle w:val="Heading2"/>
        <w:spacing w:line="360" w:lineRule="auto"/>
        <w:rPr>
          <w:rFonts w:ascii="Times New Roman" w:hAnsi="Times New Roman" w:cs="Times New Roman"/>
          <w:b/>
          <w:color w:val="000000" w:themeColor="text1"/>
          <w:sz w:val="24"/>
          <w:szCs w:val="24"/>
        </w:rPr>
      </w:pPr>
      <w:r w:rsidRPr="00865053">
        <w:rPr>
          <w:rFonts w:ascii="Times New Roman" w:hAnsi="Times New Roman" w:cs="Times New Roman"/>
          <w:b/>
          <w:color w:val="000000" w:themeColor="text1"/>
          <w:sz w:val="24"/>
          <w:szCs w:val="24"/>
        </w:rPr>
        <w:t xml:space="preserve">Supplementary figure 12. Measures of incongruence are largely robust to </w:t>
      </w:r>
      <w:r w:rsidR="006B1810" w:rsidRPr="00865053">
        <w:rPr>
          <w:rFonts w:ascii="Times New Roman" w:hAnsi="Times New Roman" w:cs="Times New Roman"/>
          <w:b/>
          <w:color w:val="000000" w:themeColor="text1"/>
          <w:sz w:val="24"/>
          <w:szCs w:val="24"/>
        </w:rPr>
        <w:t xml:space="preserve">removal of </w:t>
      </w:r>
      <w:r w:rsidR="00F30FDD" w:rsidRPr="00865053">
        <w:rPr>
          <w:rFonts w:ascii="Times New Roman" w:hAnsi="Times New Roman" w:cs="Times New Roman"/>
          <w:b/>
          <w:color w:val="000000" w:themeColor="text1"/>
          <w:sz w:val="24"/>
          <w:szCs w:val="24"/>
        </w:rPr>
        <w:t xml:space="preserve">potential </w:t>
      </w:r>
      <w:r w:rsidRPr="00865053">
        <w:rPr>
          <w:rFonts w:ascii="Times New Roman" w:hAnsi="Times New Roman" w:cs="Times New Roman"/>
          <w:b/>
          <w:color w:val="000000" w:themeColor="text1"/>
          <w:sz w:val="24"/>
          <w:szCs w:val="24"/>
        </w:rPr>
        <w:t>hidden paralogs.</w:t>
      </w:r>
    </w:p>
    <w:p w14:paraId="10E3A38D" w14:textId="6C86E502" w:rsidR="009E4C36" w:rsidRPr="00865053" w:rsidRDefault="00F638B6" w:rsidP="00865053">
      <w:pPr>
        <w:spacing w:line="360" w:lineRule="auto"/>
        <w:rPr>
          <w:rFonts w:ascii="Times New Roman" w:hAnsi="Times New Roman" w:cs="Times New Roman"/>
          <w:b/>
        </w:rPr>
      </w:pPr>
      <w:r w:rsidRPr="00865053">
        <w:rPr>
          <w:rFonts w:ascii="Times New Roman" w:hAnsi="Times New Roman" w:cs="Times New Roman"/>
        </w:rPr>
        <w:t>Internode certainty values</w:t>
      </w:r>
      <w:r w:rsidR="001A36D5" w:rsidRPr="00865053">
        <w:rPr>
          <w:rFonts w:ascii="Times New Roman" w:hAnsi="Times New Roman" w:cs="Times New Roman"/>
        </w:rPr>
        <w:t xml:space="preserve"> were </w:t>
      </w:r>
      <w:r w:rsidR="00F229DE" w:rsidRPr="00865053">
        <w:rPr>
          <w:rFonts w:ascii="Times New Roman" w:hAnsi="Times New Roman" w:cs="Times New Roman"/>
        </w:rPr>
        <w:t xml:space="preserve">highly </w:t>
      </w:r>
      <w:r w:rsidR="001A36D5" w:rsidRPr="00865053">
        <w:rPr>
          <w:rFonts w:ascii="Times New Roman" w:hAnsi="Times New Roman" w:cs="Times New Roman"/>
        </w:rPr>
        <w:t xml:space="preserve">correlated between the full 1,668-gene dataset and the 1,331-gene dataset, which </w:t>
      </w:r>
      <w:r w:rsidR="00F229DE" w:rsidRPr="00865053">
        <w:rPr>
          <w:rFonts w:ascii="Times New Roman" w:hAnsi="Times New Roman" w:cs="Times New Roman"/>
        </w:rPr>
        <w:t xml:space="preserve">was filtered for potential </w:t>
      </w:r>
      <w:r w:rsidR="001A36D5" w:rsidRPr="00865053">
        <w:rPr>
          <w:rFonts w:ascii="Times New Roman" w:hAnsi="Times New Roman" w:cs="Times New Roman"/>
        </w:rPr>
        <w:t>hidden paralogs (</w:t>
      </w:r>
      <w:r w:rsidR="001A36D5" w:rsidRPr="00865053">
        <w:rPr>
          <w:rFonts w:ascii="Times New Roman" w:hAnsi="Times New Roman" w:cs="Times New Roman"/>
          <w:i/>
        </w:rPr>
        <w:t>r</w:t>
      </w:r>
      <w:r w:rsidR="001A36D5" w:rsidRPr="00865053">
        <w:rPr>
          <w:rFonts w:ascii="Times New Roman" w:hAnsi="Times New Roman" w:cs="Times New Roman"/>
          <w:i/>
          <w:vertAlign w:val="subscript"/>
        </w:rPr>
        <w:t>s</w:t>
      </w:r>
      <w:r w:rsidR="001A36D5" w:rsidRPr="00865053">
        <w:rPr>
          <w:rFonts w:ascii="Times New Roman" w:hAnsi="Times New Roman" w:cs="Times New Roman"/>
          <w:i/>
        </w:rPr>
        <w:t xml:space="preserve"> </w:t>
      </w:r>
      <w:r w:rsidR="001A36D5" w:rsidRPr="00865053">
        <w:rPr>
          <w:rFonts w:ascii="Times New Roman" w:hAnsi="Times New Roman" w:cs="Times New Roman"/>
        </w:rPr>
        <w:t xml:space="preserve">= 0.98, </w:t>
      </w:r>
      <w:r w:rsidR="001A36D5" w:rsidRPr="00865053">
        <w:rPr>
          <w:rFonts w:ascii="Times New Roman" w:hAnsi="Times New Roman" w:cs="Times New Roman"/>
          <w:i/>
        </w:rPr>
        <w:t>p</w:t>
      </w:r>
      <w:r w:rsidR="001A36D5" w:rsidRPr="00865053">
        <w:rPr>
          <w:rFonts w:ascii="Times New Roman" w:hAnsi="Times New Roman" w:cs="Times New Roman"/>
        </w:rPr>
        <w:t xml:space="preserve"> &lt; 0.01).</w:t>
      </w:r>
    </w:p>
    <w:p w14:paraId="5EE060D3" w14:textId="77777777" w:rsidR="003165D1" w:rsidRPr="00865053" w:rsidRDefault="003165D1" w:rsidP="00865053">
      <w:pPr>
        <w:spacing w:line="360" w:lineRule="auto"/>
        <w:rPr>
          <w:rFonts w:ascii="Times New Roman" w:hAnsi="Times New Roman" w:cs="Times New Roman"/>
          <w:b/>
        </w:rPr>
      </w:pPr>
    </w:p>
    <w:p w14:paraId="2F8EB2AB" w14:textId="398201F2" w:rsidR="00BB4697" w:rsidRPr="00865053" w:rsidRDefault="000D1039" w:rsidP="00865053">
      <w:pPr>
        <w:pStyle w:val="Heading2"/>
        <w:spacing w:line="360" w:lineRule="auto"/>
        <w:rPr>
          <w:rFonts w:ascii="Times New Roman" w:hAnsi="Times New Roman" w:cs="Times New Roman"/>
          <w:b/>
          <w:color w:val="000000" w:themeColor="text1"/>
          <w:sz w:val="24"/>
          <w:szCs w:val="24"/>
        </w:rPr>
      </w:pPr>
      <w:r w:rsidRPr="00865053">
        <w:rPr>
          <w:rFonts w:ascii="Times New Roman" w:hAnsi="Times New Roman" w:cs="Times New Roman"/>
          <w:b/>
          <w:color w:val="000000" w:themeColor="text1"/>
          <w:sz w:val="24"/>
          <w:szCs w:val="24"/>
        </w:rPr>
        <w:t xml:space="preserve">Supplementary figure </w:t>
      </w:r>
      <w:r w:rsidR="00363575" w:rsidRPr="00865053">
        <w:rPr>
          <w:rFonts w:ascii="Times New Roman" w:hAnsi="Times New Roman" w:cs="Times New Roman"/>
          <w:b/>
          <w:color w:val="000000" w:themeColor="text1"/>
          <w:sz w:val="24"/>
          <w:szCs w:val="24"/>
        </w:rPr>
        <w:t>1</w:t>
      </w:r>
      <w:r w:rsidR="00924F17">
        <w:rPr>
          <w:rFonts w:ascii="Times New Roman" w:hAnsi="Times New Roman" w:cs="Times New Roman"/>
          <w:b/>
          <w:color w:val="000000" w:themeColor="text1"/>
          <w:sz w:val="24"/>
          <w:szCs w:val="24"/>
        </w:rPr>
        <w:t>3</w:t>
      </w:r>
      <w:bookmarkStart w:id="0" w:name="_GoBack"/>
      <w:bookmarkEnd w:id="0"/>
      <w:r w:rsidRPr="00865053">
        <w:rPr>
          <w:rFonts w:ascii="Times New Roman" w:hAnsi="Times New Roman" w:cs="Times New Roman"/>
          <w:b/>
          <w:color w:val="000000" w:themeColor="text1"/>
          <w:sz w:val="24"/>
          <w:szCs w:val="24"/>
        </w:rPr>
        <w:t xml:space="preserve">. </w:t>
      </w:r>
      <w:r w:rsidR="00433BA3" w:rsidRPr="00865053">
        <w:rPr>
          <w:rFonts w:ascii="Times New Roman" w:hAnsi="Times New Roman" w:cs="Times New Roman"/>
          <w:b/>
          <w:color w:val="000000" w:themeColor="text1"/>
          <w:sz w:val="24"/>
          <w:szCs w:val="24"/>
        </w:rPr>
        <w:t>Distribution of the degree of violation of a molecular clock per gene and the c</w:t>
      </w:r>
      <w:r w:rsidRPr="00865053">
        <w:rPr>
          <w:rFonts w:ascii="Times New Roman" w:hAnsi="Times New Roman" w:cs="Times New Roman"/>
          <w:b/>
          <w:color w:val="000000" w:themeColor="text1"/>
          <w:sz w:val="24"/>
          <w:szCs w:val="24"/>
        </w:rPr>
        <w:t xml:space="preserve">orrelation </w:t>
      </w:r>
      <w:r w:rsidR="00433BA3" w:rsidRPr="00865053">
        <w:rPr>
          <w:rFonts w:ascii="Times New Roman" w:hAnsi="Times New Roman" w:cs="Times New Roman"/>
          <w:b/>
          <w:color w:val="000000" w:themeColor="text1"/>
          <w:sz w:val="24"/>
          <w:szCs w:val="24"/>
        </w:rPr>
        <w:t xml:space="preserve">of estimated </w:t>
      </w:r>
      <w:r w:rsidRPr="00865053">
        <w:rPr>
          <w:rFonts w:ascii="Times New Roman" w:hAnsi="Times New Roman" w:cs="Times New Roman"/>
          <w:b/>
          <w:color w:val="000000" w:themeColor="text1"/>
          <w:sz w:val="24"/>
          <w:szCs w:val="24"/>
        </w:rPr>
        <w:t>internode divergence times</w:t>
      </w:r>
      <w:r w:rsidR="00230AD1" w:rsidRPr="00865053">
        <w:rPr>
          <w:rFonts w:ascii="Times New Roman" w:hAnsi="Times New Roman" w:cs="Times New Roman"/>
          <w:b/>
          <w:color w:val="000000" w:themeColor="text1"/>
          <w:sz w:val="24"/>
          <w:szCs w:val="24"/>
        </w:rPr>
        <w:t xml:space="preserve"> inferred</w:t>
      </w:r>
      <w:r w:rsidRPr="00865053">
        <w:rPr>
          <w:rFonts w:ascii="Times New Roman" w:hAnsi="Times New Roman" w:cs="Times New Roman"/>
          <w:b/>
          <w:color w:val="000000" w:themeColor="text1"/>
          <w:sz w:val="24"/>
          <w:szCs w:val="24"/>
        </w:rPr>
        <w:t xml:space="preserve"> using three different </w:t>
      </w:r>
      <w:r w:rsidR="00222AA0" w:rsidRPr="00865053">
        <w:rPr>
          <w:rFonts w:ascii="Times New Roman" w:hAnsi="Times New Roman" w:cs="Times New Roman"/>
          <w:b/>
          <w:color w:val="000000" w:themeColor="text1"/>
          <w:sz w:val="24"/>
          <w:szCs w:val="24"/>
        </w:rPr>
        <w:t>subsets of genes</w:t>
      </w:r>
      <w:r w:rsidR="00433BA3" w:rsidRPr="00865053">
        <w:rPr>
          <w:rFonts w:ascii="Times New Roman" w:hAnsi="Times New Roman" w:cs="Times New Roman"/>
          <w:b/>
          <w:color w:val="000000" w:themeColor="text1"/>
          <w:sz w:val="24"/>
          <w:szCs w:val="24"/>
        </w:rPr>
        <w:t xml:space="preserve"> suggest stable divergence estimates</w:t>
      </w:r>
      <w:r w:rsidRPr="00865053">
        <w:rPr>
          <w:rFonts w:ascii="Times New Roman" w:hAnsi="Times New Roman" w:cs="Times New Roman"/>
          <w:b/>
          <w:color w:val="000000" w:themeColor="text1"/>
          <w:sz w:val="24"/>
          <w:szCs w:val="24"/>
        </w:rPr>
        <w:t>.</w:t>
      </w:r>
    </w:p>
    <w:p w14:paraId="1CE195D0" w14:textId="3899DA9D" w:rsidR="00AE44FC" w:rsidRPr="00865053" w:rsidRDefault="00F42F72" w:rsidP="00865053">
      <w:pPr>
        <w:spacing w:line="360" w:lineRule="auto"/>
        <w:rPr>
          <w:rFonts w:ascii="Times New Roman" w:hAnsi="Times New Roman" w:cs="Times New Roman"/>
        </w:rPr>
      </w:pPr>
      <w:r w:rsidRPr="00865053">
        <w:rPr>
          <w:rFonts w:ascii="Times New Roman" w:hAnsi="Times New Roman" w:cs="Times New Roman"/>
        </w:rPr>
        <w:t xml:space="preserve">(a) The average </w:t>
      </w:r>
      <w:r w:rsidR="00CB169F" w:rsidRPr="00865053">
        <w:rPr>
          <w:rFonts w:ascii="Times New Roman" w:hAnsi="Times New Roman" w:cs="Times New Roman"/>
        </w:rPr>
        <w:t>degree of violation of a molecular clock (</w:t>
      </w:r>
      <w:r w:rsidRPr="00865053">
        <w:rPr>
          <w:rFonts w:ascii="Times New Roman" w:hAnsi="Times New Roman" w:cs="Times New Roman"/>
        </w:rPr>
        <w:t>DVMC</w:t>
      </w:r>
      <w:r w:rsidR="00CB169F" w:rsidRPr="00865053">
        <w:rPr>
          <w:rFonts w:ascii="Times New Roman" w:hAnsi="Times New Roman" w:cs="Times New Roman"/>
        </w:rPr>
        <w:t>)</w:t>
      </w:r>
      <w:r w:rsidRPr="00865053">
        <w:rPr>
          <w:rFonts w:ascii="Times New Roman" w:hAnsi="Times New Roman" w:cs="Times New Roman"/>
        </w:rPr>
        <w:t xml:space="preserve"> value was 0.15 (min: 0.02 and max: 3.14) (File S5) and the 834 genes with the smallest DVMC values had a cut off of 0.09</w:t>
      </w:r>
      <w:r w:rsidR="00CB169F" w:rsidRPr="00865053">
        <w:rPr>
          <w:rFonts w:ascii="Times New Roman" w:hAnsi="Times New Roman" w:cs="Times New Roman"/>
        </w:rPr>
        <w:t xml:space="preserve"> and are depicted in orange while genes with higher DVMC values are depicted in green</w:t>
      </w:r>
      <w:r w:rsidRPr="00865053">
        <w:rPr>
          <w:rFonts w:ascii="Times New Roman" w:hAnsi="Times New Roman" w:cs="Times New Roman"/>
        </w:rPr>
        <w:t>.</w:t>
      </w:r>
    </w:p>
    <w:sectPr w:rsidR="00AE44FC" w:rsidRPr="00865053" w:rsidSect="00600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6B"/>
    <w:rsid w:val="0000101F"/>
    <w:rsid w:val="00012AAC"/>
    <w:rsid w:val="00026615"/>
    <w:rsid w:val="00030084"/>
    <w:rsid w:val="000626BE"/>
    <w:rsid w:val="00073E4E"/>
    <w:rsid w:val="0007471F"/>
    <w:rsid w:val="0008517A"/>
    <w:rsid w:val="000A06C6"/>
    <w:rsid w:val="000A5533"/>
    <w:rsid w:val="000D1039"/>
    <w:rsid w:val="000D12C3"/>
    <w:rsid w:val="000E1522"/>
    <w:rsid w:val="000F526B"/>
    <w:rsid w:val="00124FB2"/>
    <w:rsid w:val="00125CDA"/>
    <w:rsid w:val="00127FDA"/>
    <w:rsid w:val="001302C6"/>
    <w:rsid w:val="001311E2"/>
    <w:rsid w:val="00132964"/>
    <w:rsid w:val="00132C20"/>
    <w:rsid w:val="00137E54"/>
    <w:rsid w:val="0015346E"/>
    <w:rsid w:val="0019314C"/>
    <w:rsid w:val="001A36D5"/>
    <w:rsid w:val="001B253F"/>
    <w:rsid w:val="001C006C"/>
    <w:rsid w:val="001C70CD"/>
    <w:rsid w:val="001D439B"/>
    <w:rsid w:val="001D7A0D"/>
    <w:rsid w:val="001E2DDF"/>
    <w:rsid w:val="00216DB2"/>
    <w:rsid w:val="00217DD4"/>
    <w:rsid w:val="0022049F"/>
    <w:rsid w:val="00222AA0"/>
    <w:rsid w:val="00227E42"/>
    <w:rsid w:val="00230AD1"/>
    <w:rsid w:val="00243773"/>
    <w:rsid w:val="0025521C"/>
    <w:rsid w:val="0025545B"/>
    <w:rsid w:val="0026627C"/>
    <w:rsid w:val="00271A72"/>
    <w:rsid w:val="0028788D"/>
    <w:rsid w:val="002B24C7"/>
    <w:rsid w:val="002B35DA"/>
    <w:rsid w:val="002D0121"/>
    <w:rsid w:val="002E016B"/>
    <w:rsid w:val="002F2097"/>
    <w:rsid w:val="00307097"/>
    <w:rsid w:val="00310B77"/>
    <w:rsid w:val="003165D1"/>
    <w:rsid w:val="00326A67"/>
    <w:rsid w:val="00333A55"/>
    <w:rsid w:val="00352766"/>
    <w:rsid w:val="003555FC"/>
    <w:rsid w:val="00363575"/>
    <w:rsid w:val="00373612"/>
    <w:rsid w:val="00383DA6"/>
    <w:rsid w:val="003A143A"/>
    <w:rsid w:val="003D617A"/>
    <w:rsid w:val="003D7329"/>
    <w:rsid w:val="003F37A9"/>
    <w:rsid w:val="003F7D3D"/>
    <w:rsid w:val="00433BA3"/>
    <w:rsid w:val="00441ECD"/>
    <w:rsid w:val="00465BFE"/>
    <w:rsid w:val="00470988"/>
    <w:rsid w:val="004D56DB"/>
    <w:rsid w:val="004E6E5C"/>
    <w:rsid w:val="004F782F"/>
    <w:rsid w:val="0050295D"/>
    <w:rsid w:val="00521A7D"/>
    <w:rsid w:val="00540AE4"/>
    <w:rsid w:val="0054646A"/>
    <w:rsid w:val="00587F82"/>
    <w:rsid w:val="005B7DAA"/>
    <w:rsid w:val="005C5CDA"/>
    <w:rsid w:val="005E7988"/>
    <w:rsid w:val="006004EF"/>
    <w:rsid w:val="006113F3"/>
    <w:rsid w:val="00612569"/>
    <w:rsid w:val="0061617F"/>
    <w:rsid w:val="00623F78"/>
    <w:rsid w:val="00625C4E"/>
    <w:rsid w:val="0062675D"/>
    <w:rsid w:val="00632195"/>
    <w:rsid w:val="00645780"/>
    <w:rsid w:val="00645FB5"/>
    <w:rsid w:val="006707A7"/>
    <w:rsid w:val="00687655"/>
    <w:rsid w:val="006A47D4"/>
    <w:rsid w:val="006B1810"/>
    <w:rsid w:val="006C17EA"/>
    <w:rsid w:val="006C520B"/>
    <w:rsid w:val="006D11DF"/>
    <w:rsid w:val="006D382B"/>
    <w:rsid w:val="006D752B"/>
    <w:rsid w:val="006E6ED8"/>
    <w:rsid w:val="006F3EBD"/>
    <w:rsid w:val="006F63B4"/>
    <w:rsid w:val="007222B4"/>
    <w:rsid w:val="00725CDC"/>
    <w:rsid w:val="00751795"/>
    <w:rsid w:val="00753716"/>
    <w:rsid w:val="00754ED2"/>
    <w:rsid w:val="00756E02"/>
    <w:rsid w:val="007613EF"/>
    <w:rsid w:val="00761AD2"/>
    <w:rsid w:val="00770195"/>
    <w:rsid w:val="007736AA"/>
    <w:rsid w:val="0079025F"/>
    <w:rsid w:val="00795495"/>
    <w:rsid w:val="007A0038"/>
    <w:rsid w:val="007A7491"/>
    <w:rsid w:val="00801697"/>
    <w:rsid w:val="00803BB3"/>
    <w:rsid w:val="0081100C"/>
    <w:rsid w:val="008264DD"/>
    <w:rsid w:val="00865053"/>
    <w:rsid w:val="00875984"/>
    <w:rsid w:val="00881F7D"/>
    <w:rsid w:val="00893669"/>
    <w:rsid w:val="008947D0"/>
    <w:rsid w:val="008A39CB"/>
    <w:rsid w:val="008C102D"/>
    <w:rsid w:val="008D2126"/>
    <w:rsid w:val="008D26E1"/>
    <w:rsid w:val="008D2DCA"/>
    <w:rsid w:val="008D458A"/>
    <w:rsid w:val="008F267C"/>
    <w:rsid w:val="008F32D8"/>
    <w:rsid w:val="009065C9"/>
    <w:rsid w:val="0091032E"/>
    <w:rsid w:val="00913844"/>
    <w:rsid w:val="00924059"/>
    <w:rsid w:val="00924F17"/>
    <w:rsid w:val="00935EAC"/>
    <w:rsid w:val="00945E50"/>
    <w:rsid w:val="0094699A"/>
    <w:rsid w:val="009539AD"/>
    <w:rsid w:val="0097047E"/>
    <w:rsid w:val="00971826"/>
    <w:rsid w:val="009809F3"/>
    <w:rsid w:val="00997357"/>
    <w:rsid w:val="009A1352"/>
    <w:rsid w:val="009C09CC"/>
    <w:rsid w:val="009E2355"/>
    <w:rsid w:val="009E4C36"/>
    <w:rsid w:val="009E6782"/>
    <w:rsid w:val="00A2252D"/>
    <w:rsid w:val="00A22663"/>
    <w:rsid w:val="00AA747C"/>
    <w:rsid w:val="00AD4637"/>
    <w:rsid w:val="00AE2DE5"/>
    <w:rsid w:val="00AE361E"/>
    <w:rsid w:val="00AE44FC"/>
    <w:rsid w:val="00B01D49"/>
    <w:rsid w:val="00B13414"/>
    <w:rsid w:val="00B17EAE"/>
    <w:rsid w:val="00B22F77"/>
    <w:rsid w:val="00B52691"/>
    <w:rsid w:val="00B63098"/>
    <w:rsid w:val="00B96094"/>
    <w:rsid w:val="00BB4697"/>
    <w:rsid w:val="00BC166D"/>
    <w:rsid w:val="00BD330C"/>
    <w:rsid w:val="00BD3D4B"/>
    <w:rsid w:val="00BD500C"/>
    <w:rsid w:val="00BF5089"/>
    <w:rsid w:val="00BF5676"/>
    <w:rsid w:val="00C06D14"/>
    <w:rsid w:val="00C24E43"/>
    <w:rsid w:val="00C3491D"/>
    <w:rsid w:val="00C36292"/>
    <w:rsid w:val="00C42C0F"/>
    <w:rsid w:val="00C53BD8"/>
    <w:rsid w:val="00C546BA"/>
    <w:rsid w:val="00C85B28"/>
    <w:rsid w:val="00C92422"/>
    <w:rsid w:val="00C973F3"/>
    <w:rsid w:val="00C97628"/>
    <w:rsid w:val="00CB169F"/>
    <w:rsid w:val="00CC7F5F"/>
    <w:rsid w:val="00CD29B5"/>
    <w:rsid w:val="00CD3755"/>
    <w:rsid w:val="00CE2481"/>
    <w:rsid w:val="00CF2BD8"/>
    <w:rsid w:val="00D10FCC"/>
    <w:rsid w:val="00D25F3B"/>
    <w:rsid w:val="00D263F1"/>
    <w:rsid w:val="00D33C0B"/>
    <w:rsid w:val="00D4795F"/>
    <w:rsid w:val="00D505AA"/>
    <w:rsid w:val="00D66887"/>
    <w:rsid w:val="00D71DCA"/>
    <w:rsid w:val="00D82E89"/>
    <w:rsid w:val="00D8486A"/>
    <w:rsid w:val="00D8545C"/>
    <w:rsid w:val="00DB2DFD"/>
    <w:rsid w:val="00DB6775"/>
    <w:rsid w:val="00DC3DA0"/>
    <w:rsid w:val="00DD5162"/>
    <w:rsid w:val="00DF12F0"/>
    <w:rsid w:val="00DF5D42"/>
    <w:rsid w:val="00E02885"/>
    <w:rsid w:val="00E13189"/>
    <w:rsid w:val="00E307EE"/>
    <w:rsid w:val="00E334B6"/>
    <w:rsid w:val="00E337DE"/>
    <w:rsid w:val="00E33BEC"/>
    <w:rsid w:val="00E360B1"/>
    <w:rsid w:val="00E42027"/>
    <w:rsid w:val="00E50D71"/>
    <w:rsid w:val="00E65077"/>
    <w:rsid w:val="00E741EE"/>
    <w:rsid w:val="00E76371"/>
    <w:rsid w:val="00E767BD"/>
    <w:rsid w:val="00E768D1"/>
    <w:rsid w:val="00E802B9"/>
    <w:rsid w:val="00E96B7F"/>
    <w:rsid w:val="00EB0BE9"/>
    <w:rsid w:val="00EC0117"/>
    <w:rsid w:val="00EC22D9"/>
    <w:rsid w:val="00ED26D4"/>
    <w:rsid w:val="00ED77F2"/>
    <w:rsid w:val="00EE02BE"/>
    <w:rsid w:val="00F2299D"/>
    <w:rsid w:val="00F229DE"/>
    <w:rsid w:val="00F30FDD"/>
    <w:rsid w:val="00F35C6C"/>
    <w:rsid w:val="00F409DB"/>
    <w:rsid w:val="00F42F72"/>
    <w:rsid w:val="00F46801"/>
    <w:rsid w:val="00F5562B"/>
    <w:rsid w:val="00F55DB6"/>
    <w:rsid w:val="00F638B6"/>
    <w:rsid w:val="00F802FC"/>
    <w:rsid w:val="00F84A82"/>
    <w:rsid w:val="00F8642A"/>
    <w:rsid w:val="00F94BA2"/>
    <w:rsid w:val="00FC4ECD"/>
    <w:rsid w:val="00FD700C"/>
    <w:rsid w:val="00FE2649"/>
    <w:rsid w:val="00FF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A2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2F0"/>
    <w:pPr>
      <w:keepNext/>
      <w:keepLines/>
      <w:spacing w:before="240" w:line="360" w:lineRule="auto"/>
      <w:outlineLvl w:val="0"/>
    </w:pPr>
    <w:rPr>
      <w:rFonts w:ascii="Times New Roman" w:eastAsiaTheme="majorEastAsia" w:hAnsi="Times New Roman" w:cs="Times New Roman"/>
      <w:b/>
      <w:color w:val="000000" w:themeColor="text1"/>
      <w:sz w:val="32"/>
      <w:szCs w:val="32"/>
    </w:rPr>
  </w:style>
  <w:style w:type="paragraph" w:styleId="Heading2">
    <w:name w:val="heading 2"/>
    <w:basedOn w:val="Normal"/>
    <w:next w:val="Normal"/>
    <w:link w:val="Heading2Char"/>
    <w:uiPriority w:val="9"/>
    <w:unhideWhenUsed/>
    <w:qFormat/>
    <w:rsid w:val="007954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469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2F0"/>
    <w:rPr>
      <w:rFonts w:ascii="Times New Roman" w:eastAsiaTheme="majorEastAsia" w:hAnsi="Times New Roman" w:cs="Times New Roman"/>
      <w:b/>
      <w:color w:val="000000" w:themeColor="text1"/>
      <w:sz w:val="32"/>
      <w:szCs w:val="32"/>
    </w:rPr>
  </w:style>
  <w:style w:type="character" w:styleId="Hyperlink">
    <w:name w:val="Hyperlink"/>
    <w:basedOn w:val="DefaultParagraphFont"/>
    <w:uiPriority w:val="99"/>
    <w:unhideWhenUsed/>
    <w:rsid w:val="00DF12F0"/>
    <w:rPr>
      <w:color w:val="0563C1" w:themeColor="hyperlink"/>
      <w:u w:val="single"/>
    </w:rPr>
  </w:style>
  <w:style w:type="character" w:styleId="LineNumber">
    <w:name w:val="line number"/>
    <w:basedOn w:val="DefaultParagraphFont"/>
    <w:uiPriority w:val="99"/>
    <w:semiHidden/>
    <w:unhideWhenUsed/>
    <w:rsid w:val="00795495"/>
  </w:style>
  <w:style w:type="character" w:customStyle="1" w:styleId="Heading2Char">
    <w:name w:val="Heading 2 Char"/>
    <w:basedOn w:val="DefaultParagraphFont"/>
    <w:link w:val="Heading2"/>
    <w:uiPriority w:val="9"/>
    <w:rsid w:val="0079549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B4697"/>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F42F72"/>
    <w:rPr>
      <w:sz w:val="18"/>
      <w:szCs w:val="18"/>
    </w:rPr>
  </w:style>
  <w:style w:type="paragraph" w:styleId="CommentText">
    <w:name w:val="annotation text"/>
    <w:basedOn w:val="Normal"/>
    <w:link w:val="CommentTextChar"/>
    <w:uiPriority w:val="99"/>
    <w:unhideWhenUsed/>
    <w:rsid w:val="00F42F72"/>
  </w:style>
  <w:style w:type="character" w:customStyle="1" w:styleId="CommentTextChar">
    <w:name w:val="Comment Text Char"/>
    <w:basedOn w:val="DefaultParagraphFont"/>
    <w:link w:val="CommentText"/>
    <w:uiPriority w:val="99"/>
    <w:rsid w:val="00F42F72"/>
  </w:style>
  <w:style w:type="paragraph" w:styleId="BalloonText">
    <w:name w:val="Balloon Text"/>
    <w:basedOn w:val="Normal"/>
    <w:link w:val="BalloonTextChar"/>
    <w:uiPriority w:val="99"/>
    <w:semiHidden/>
    <w:unhideWhenUsed/>
    <w:rsid w:val="00F42F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2F72"/>
    <w:rPr>
      <w:rFonts w:ascii="Times New Roman" w:hAnsi="Times New Roman" w:cs="Times New Roman"/>
      <w:sz w:val="18"/>
      <w:szCs w:val="18"/>
    </w:rPr>
  </w:style>
  <w:style w:type="paragraph" w:styleId="ListParagraph">
    <w:name w:val="List Paragraph"/>
    <w:basedOn w:val="Normal"/>
    <w:uiPriority w:val="34"/>
    <w:qFormat/>
    <w:rsid w:val="00F42F72"/>
    <w:pPr>
      <w:ind w:left="720"/>
      <w:contextualSpacing/>
    </w:pPr>
  </w:style>
  <w:style w:type="paragraph" w:styleId="CommentSubject">
    <w:name w:val="annotation subject"/>
    <w:basedOn w:val="CommentText"/>
    <w:next w:val="CommentText"/>
    <w:link w:val="CommentSubjectChar"/>
    <w:uiPriority w:val="99"/>
    <w:semiHidden/>
    <w:unhideWhenUsed/>
    <w:rsid w:val="00AE361E"/>
    <w:rPr>
      <w:b/>
      <w:bCs/>
      <w:sz w:val="20"/>
      <w:szCs w:val="20"/>
    </w:rPr>
  </w:style>
  <w:style w:type="character" w:customStyle="1" w:styleId="CommentSubjectChar">
    <w:name w:val="Comment Subject Char"/>
    <w:basedOn w:val="CommentTextChar"/>
    <w:link w:val="CommentSubject"/>
    <w:uiPriority w:val="99"/>
    <w:semiHidden/>
    <w:rsid w:val="00AE36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tonis.rokas@vanderbilt.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0D8725-87F5-7C44-8760-9C40359D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1759</Words>
  <Characters>10029</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Steenwyk</dc:creator>
  <cp:keywords/>
  <dc:description/>
  <cp:lastModifiedBy>Jacob Steenwyk</cp:lastModifiedBy>
  <cp:revision>5</cp:revision>
  <cp:lastPrinted>2018-10-17T17:27:00Z</cp:lastPrinted>
  <dcterms:created xsi:type="dcterms:W3CDTF">2019-02-20T15:05:00Z</dcterms:created>
  <dcterms:modified xsi:type="dcterms:W3CDTF">2019-03-23T15:44:00Z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http://www.zotero.org/styles/frontiers-in-microbiology</vt:lpwstr>
  </property>
  <property fmtid="{D5CDD505-2E9C-101B-9397-08002B2CF9AE}" pid="11" name="Mendeley Recent Style Name 4_1">
    <vt:lpwstr>Frontiers in Microbiology</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http://www.zotero.org/styles/molecular-biology-and-evolution</vt:lpwstr>
  </property>
  <property fmtid="{D5CDD505-2E9C-101B-9397-08002B2CF9AE}" pid="17" name="Mendeley Recent Style Name 7_1">
    <vt:lpwstr>Molecular Biology and Evolution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http://www.zotero.org/styles/plos-biology</vt:lpwstr>
  </property>
  <property fmtid="{D5CDD505-2E9C-101B-9397-08002B2CF9AE}" pid="21" name="Mendeley Recent Style Name 9_1">
    <vt:lpwstr>PLOS Biology</vt:lpwstr>
  </property>
  <property fmtid="{D5CDD505-2E9C-101B-9397-08002B2CF9AE}" pid="22" name="Mendeley Document_1">
    <vt:lpwstr>True</vt:lpwstr>
  </property>
  <property fmtid="{D5CDD505-2E9C-101B-9397-08002B2CF9AE}" pid="23" name="Mendeley Unique User Id_1">
    <vt:lpwstr>458051fc-98e3-3eca-9541-cfae37375a8a</vt:lpwstr>
  </property>
  <property fmtid="{D5CDD505-2E9C-101B-9397-08002B2CF9AE}" pid="24" name="Mendeley Citation Style_1">
    <vt:lpwstr>http://www.zotero.org/styles/nature</vt:lpwstr>
  </property>
</Properties>
</file>