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1"/>
        <w:tblW w:w="5000" w:type="pct"/>
        <w:tblInd w:w="0" w:type="dxa"/>
        <w:tblLook w:val="0420" w:firstRow="1" w:lastRow="0" w:firstColumn="0" w:lastColumn="0" w:noHBand="0" w:noVBand="1"/>
      </w:tblPr>
      <w:tblGrid>
        <w:gridCol w:w="3071"/>
        <w:gridCol w:w="2556"/>
        <w:gridCol w:w="2385"/>
        <w:gridCol w:w="2618"/>
        <w:gridCol w:w="2330"/>
      </w:tblGrid>
      <w:tr w:rsidR="00FF35EA" w:rsidRPr="004D2A2D" w:rsidTr="00C9050E">
        <w:trPr>
          <w:trHeight w:val="475"/>
        </w:trPr>
        <w:tc>
          <w:tcPr>
            <w:tcW w:w="5000" w:type="pct"/>
            <w:gridSpan w:val="5"/>
            <w:tcBorders>
              <w:top w:val="nil"/>
              <w:left w:val="nil"/>
              <w:bottom w:val="single" w:sz="4" w:space="0" w:color="auto"/>
              <w:right w:val="nil"/>
            </w:tcBorders>
            <w:hideMark/>
          </w:tcPr>
          <w:p w:rsidR="00FF35EA" w:rsidRPr="004D2A2D" w:rsidRDefault="00FF35EA" w:rsidP="00C9050E">
            <w:pPr>
              <w:keepNext/>
              <w:keepLines/>
              <w:spacing w:line="480" w:lineRule="auto"/>
              <w:rPr>
                <w:rFonts w:ascii="Times New Roman" w:eastAsia="Times New Roman" w:hAnsi="Times New Roman"/>
                <w:b/>
                <w:sz w:val="20"/>
                <w:szCs w:val="20"/>
              </w:rPr>
            </w:pPr>
            <w:r>
              <w:rPr>
                <w:rFonts w:ascii="Times New Roman" w:eastAsia="Times New Roman" w:hAnsi="Times New Roman"/>
                <w:b/>
                <w:sz w:val="24"/>
                <w:szCs w:val="24"/>
              </w:rPr>
              <w:t>Appendix 1</w:t>
            </w:r>
            <w:r w:rsidRPr="004D2A2D">
              <w:rPr>
                <w:rFonts w:ascii="Times New Roman" w:hAnsi="Times New Roman"/>
                <w:b/>
                <w:sz w:val="24"/>
                <w:szCs w:val="24"/>
              </w:rPr>
              <w:t>: Medical resource utilization cost (overall and consolidation phase)</w:t>
            </w:r>
          </w:p>
        </w:tc>
      </w:tr>
      <w:tr w:rsidR="00FF35EA" w:rsidRPr="004D2A2D" w:rsidTr="00FF35EA">
        <w:trPr>
          <w:trHeight w:val="521"/>
        </w:trPr>
        <w:tc>
          <w:tcPr>
            <w:tcW w:w="1185" w:type="pct"/>
            <w:tcBorders>
              <w:top w:val="single" w:sz="4" w:space="0" w:color="auto"/>
              <w:left w:val="single" w:sz="4" w:space="0" w:color="auto"/>
              <w:bottom w:val="single" w:sz="4" w:space="0" w:color="auto"/>
              <w:right w:val="single" w:sz="4" w:space="0" w:color="auto"/>
            </w:tcBorders>
          </w:tcPr>
          <w:p w:rsidR="00FF35EA" w:rsidRPr="004D2A2D" w:rsidRDefault="00FF35EA" w:rsidP="00FF35EA">
            <w:pPr>
              <w:keepNext/>
              <w:keepLines/>
              <w:spacing w:line="480" w:lineRule="auto"/>
              <w:rPr>
                <w:rFonts w:ascii="Times New Roman" w:eastAsia="Times New Roman" w:hAnsi="Times New Roman"/>
                <w:b/>
                <w:sz w:val="20"/>
                <w:szCs w:val="20"/>
              </w:rPr>
            </w:pPr>
          </w:p>
        </w:tc>
        <w:tc>
          <w:tcPr>
            <w:tcW w:w="1906" w:type="pct"/>
            <w:gridSpan w:val="2"/>
            <w:tcBorders>
              <w:top w:val="single" w:sz="4" w:space="0" w:color="auto"/>
              <w:left w:val="single" w:sz="4" w:space="0" w:color="auto"/>
              <w:bottom w:val="single" w:sz="4" w:space="0" w:color="auto"/>
              <w:right w:val="single" w:sz="4" w:space="0" w:color="auto"/>
            </w:tcBorders>
          </w:tcPr>
          <w:p w:rsidR="00FF35EA" w:rsidRPr="004D2A2D" w:rsidRDefault="00FF35EA" w:rsidP="00FF35EA">
            <w:pPr>
              <w:keepNext/>
              <w:keepLines/>
              <w:spacing w:line="480" w:lineRule="auto"/>
              <w:jc w:val="center"/>
              <w:rPr>
                <w:rFonts w:ascii="Times New Roman" w:eastAsia="Times New Roman" w:hAnsi="Times New Roman"/>
                <w:b/>
                <w:sz w:val="20"/>
                <w:szCs w:val="20"/>
              </w:rPr>
            </w:pPr>
            <w:r w:rsidRPr="004D2A2D">
              <w:rPr>
                <w:rFonts w:ascii="Times New Roman" w:eastAsia="Times New Roman" w:hAnsi="Times New Roman"/>
                <w:b/>
                <w:sz w:val="20"/>
                <w:szCs w:val="20"/>
              </w:rPr>
              <w:t xml:space="preserve">Overall study </w:t>
            </w:r>
            <w:bookmarkStart w:id="0" w:name="_GoBack"/>
            <w:bookmarkEnd w:id="0"/>
          </w:p>
        </w:tc>
        <w:tc>
          <w:tcPr>
            <w:tcW w:w="1909" w:type="pct"/>
            <w:gridSpan w:val="2"/>
            <w:tcBorders>
              <w:top w:val="single" w:sz="4" w:space="0" w:color="auto"/>
              <w:left w:val="single" w:sz="4" w:space="0" w:color="auto"/>
              <w:bottom w:val="single" w:sz="4" w:space="0" w:color="auto"/>
              <w:right w:val="single" w:sz="4" w:space="0" w:color="auto"/>
            </w:tcBorders>
          </w:tcPr>
          <w:p w:rsidR="00FF35EA" w:rsidRPr="004D2A2D" w:rsidRDefault="00FF35EA" w:rsidP="00FF35EA">
            <w:pPr>
              <w:keepNext/>
              <w:keepLines/>
              <w:spacing w:line="480" w:lineRule="auto"/>
              <w:jc w:val="center"/>
              <w:rPr>
                <w:rFonts w:ascii="Times New Roman" w:eastAsia="Times New Roman" w:hAnsi="Times New Roman"/>
                <w:b/>
                <w:sz w:val="20"/>
                <w:szCs w:val="20"/>
              </w:rPr>
            </w:pPr>
            <w:r w:rsidRPr="004D2A2D">
              <w:rPr>
                <w:rFonts w:ascii="Times New Roman" w:eastAsia="Times New Roman" w:hAnsi="Times New Roman"/>
                <w:b/>
                <w:sz w:val="20"/>
                <w:szCs w:val="20"/>
              </w:rPr>
              <w:t>Consolidation phase</w:t>
            </w:r>
          </w:p>
        </w:tc>
      </w:tr>
      <w:tr w:rsidR="00FF35EA" w:rsidRPr="004D2A2D" w:rsidTr="00C9050E">
        <w:trPr>
          <w:trHeight w:val="521"/>
        </w:trPr>
        <w:tc>
          <w:tcPr>
            <w:tcW w:w="1185" w:type="pct"/>
            <w:tcBorders>
              <w:top w:val="single" w:sz="4" w:space="0" w:color="auto"/>
              <w:left w:val="single" w:sz="4" w:space="0" w:color="auto"/>
              <w:bottom w:val="single" w:sz="4" w:space="0" w:color="auto"/>
              <w:right w:val="single" w:sz="4" w:space="0" w:color="auto"/>
            </w:tcBorders>
            <w:hideMark/>
          </w:tcPr>
          <w:p w:rsidR="00FF35EA" w:rsidRPr="004D2A2D" w:rsidRDefault="00FF35EA" w:rsidP="00FF35EA">
            <w:pPr>
              <w:keepNext/>
              <w:keepLines/>
              <w:spacing w:line="480" w:lineRule="auto"/>
              <w:rPr>
                <w:rFonts w:ascii="Times New Roman" w:eastAsia="Times New Roman" w:hAnsi="Times New Roman"/>
                <w:b/>
                <w:sz w:val="20"/>
                <w:szCs w:val="20"/>
              </w:rPr>
            </w:pPr>
            <w:r w:rsidRPr="004D2A2D">
              <w:rPr>
                <w:rFonts w:ascii="Times New Roman" w:eastAsia="Times New Roman" w:hAnsi="Times New Roman"/>
                <w:b/>
                <w:sz w:val="20"/>
                <w:szCs w:val="20"/>
              </w:rPr>
              <w:t>Category</w:t>
            </w:r>
          </w:p>
        </w:tc>
        <w:tc>
          <w:tcPr>
            <w:tcW w:w="986" w:type="pct"/>
            <w:tcBorders>
              <w:top w:val="single" w:sz="4" w:space="0" w:color="auto"/>
              <w:left w:val="single" w:sz="4" w:space="0" w:color="auto"/>
              <w:bottom w:val="single" w:sz="4" w:space="0" w:color="auto"/>
              <w:right w:val="single" w:sz="4" w:space="0" w:color="auto"/>
            </w:tcBorders>
            <w:hideMark/>
          </w:tcPr>
          <w:p w:rsidR="00FF35EA" w:rsidRPr="004D2A2D" w:rsidRDefault="00FF35EA" w:rsidP="00FF35EA">
            <w:pPr>
              <w:keepNext/>
              <w:keepLines/>
              <w:spacing w:line="480" w:lineRule="auto"/>
              <w:jc w:val="center"/>
              <w:rPr>
                <w:rFonts w:ascii="Times New Roman" w:eastAsia="Times New Roman" w:hAnsi="Times New Roman"/>
                <w:b/>
                <w:sz w:val="20"/>
                <w:szCs w:val="20"/>
              </w:rPr>
            </w:pPr>
            <w:proofErr w:type="spellStart"/>
            <w:r w:rsidRPr="004D2A2D">
              <w:rPr>
                <w:rFonts w:ascii="Times New Roman" w:eastAsia="Times New Roman" w:hAnsi="Times New Roman"/>
                <w:b/>
                <w:sz w:val="20"/>
                <w:szCs w:val="20"/>
              </w:rPr>
              <w:t>PemCis</w:t>
            </w:r>
            <w:proofErr w:type="spellEnd"/>
          </w:p>
          <w:p w:rsidR="00FF35EA" w:rsidRPr="004D2A2D" w:rsidRDefault="00FF35EA" w:rsidP="00FF35EA">
            <w:pPr>
              <w:keepNext/>
              <w:keepLines/>
              <w:spacing w:line="480" w:lineRule="auto"/>
              <w:jc w:val="center"/>
              <w:rPr>
                <w:rFonts w:ascii="Times New Roman" w:eastAsia="Times New Roman" w:hAnsi="Times New Roman"/>
                <w:b/>
                <w:sz w:val="20"/>
                <w:szCs w:val="20"/>
              </w:rPr>
            </w:pPr>
            <w:r w:rsidRPr="004D2A2D">
              <w:rPr>
                <w:rFonts w:ascii="Times New Roman" w:eastAsia="Times New Roman" w:hAnsi="Times New Roman"/>
                <w:b/>
                <w:sz w:val="20"/>
                <w:szCs w:val="20"/>
              </w:rPr>
              <w:t>N=283</w:t>
            </w:r>
          </w:p>
        </w:tc>
        <w:tc>
          <w:tcPr>
            <w:tcW w:w="920" w:type="pct"/>
            <w:tcBorders>
              <w:top w:val="single" w:sz="4" w:space="0" w:color="auto"/>
              <w:left w:val="single" w:sz="4" w:space="0" w:color="auto"/>
              <w:bottom w:val="single" w:sz="4" w:space="0" w:color="auto"/>
              <w:right w:val="single" w:sz="4" w:space="0" w:color="auto"/>
            </w:tcBorders>
            <w:hideMark/>
          </w:tcPr>
          <w:p w:rsidR="00FF35EA" w:rsidRPr="004D2A2D" w:rsidRDefault="00FF35EA" w:rsidP="00FF35EA">
            <w:pPr>
              <w:keepNext/>
              <w:keepLines/>
              <w:spacing w:line="480" w:lineRule="auto"/>
              <w:jc w:val="center"/>
              <w:rPr>
                <w:rFonts w:ascii="Times New Roman" w:eastAsia="Times New Roman" w:hAnsi="Times New Roman"/>
                <w:b/>
                <w:sz w:val="20"/>
                <w:szCs w:val="20"/>
              </w:rPr>
            </w:pPr>
            <w:proofErr w:type="spellStart"/>
            <w:r w:rsidRPr="004D2A2D">
              <w:rPr>
                <w:rFonts w:ascii="Times New Roman" w:eastAsia="Times New Roman" w:hAnsi="Times New Roman"/>
                <w:b/>
                <w:sz w:val="20"/>
                <w:szCs w:val="20"/>
              </w:rPr>
              <w:t>EtoCis</w:t>
            </w:r>
            <w:proofErr w:type="spellEnd"/>
          </w:p>
          <w:p w:rsidR="00FF35EA" w:rsidRPr="004D2A2D" w:rsidRDefault="00FF35EA" w:rsidP="00FF35EA">
            <w:pPr>
              <w:keepNext/>
              <w:keepLines/>
              <w:spacing w:line="480" w:lineRule="auto"/>
              <w:jc w:val="center"/>
              <w:rPr>
                <w:rFonts w:ascii="Times New Roman" w:eastAsia="Times New Roman" w:hAnsi="Times New Roman"/>
                <w:b/>
                <w:sz w:val="20"/>
                <w:szCs w:val="20"/>
              </w:rPr>
            </w:pPr>
            <w:r w:rsidRPr="004D2A2D">
              <w:rPr>
                <w:rFonts w:ascii="Times New Roman" w:eastAsia="Times New Roman" w:hAnsi="Times New Roman"/>
                <w:b/>
                <w:sz w:val="20"/>
                <w:szCs w:val="20"/>
              </w:rPr>
              <w:t>N=272</w:t>
            </w:r>
          </w:p>
        </w:tc>
        <w:tc>
          <w:tcPr>
            <w:tcW w:w="1010" w:type="pct"/>
            <w:tcBorders>
              <w:top w:val="single" w:sz="4" w:space="0" w:color="auto"/>
              <w:left w:val="single" w:sz="4" w:space="0" w:color="auto"/>
              <w:bottom w:val="single" w:sz="4" w:space="0" w:color="auto"/>
              <w:right w:val="single" w:sz="4" w:space="0" w:color="auto"/>
            </w:tcBorders>
            <w:hideMark/>
          </w:tcPr>
          <w:p w:rsidR="00FF35EA" w:rsidRPr="004D2A2D" w:rsidRDefault="00FF35EA" w:rsidP="00FF35EA">
            <w:pPr>
              <w:keepNext/>
              <w:keepLines/>
              <w:spacing w:line="480" w:lineRule="auto"/>
              <w:jc w:val="center"/>
              <w:rPr>
                <w:rFonts w:ascii="Times New Roman" w:eastAsia="Times New Roman" w:hAnsi="Times New Roman"/>
                <w:b/>
                <w:sz w:val="20"/>
                <w:szCs w:val="20"/>
              </w:rPr>
            </w:pPr>
            <w:proofErr w:type="spellStart"/>
            <w:r w:rsidRPr="004D2A2D">
              <w:rPr>
                <w:rFonts w:ascii="Times New Roman" w:eastAsia="Times New Roman" w:hAnsi="Times New Roman"/>
                <w:b/>
                <w:sz w:val="20"/>
                <w:szCs w:val="20"/>
              </w:rPr>
              <w:t>PemCis</w:t>
            </w:r>
            <w:proofErr w:type="spellEnd"/>
          </w:p>
          <w:p w:rsidR="00FF35EA" w:rsidRPr="004D2A2D" w:rsidRDefault="00FF35EA" w:rsidP="00FF35EA">
            <w:pPr>
              <w:keepNext/>
              <w:keepLines/>
              <w:spacing w:line="480" w:lineRule="auto"/>
              <w:jc w:val="center"/>
              <w:rPr>
                <w:rFonts w:ascii="Times New Roman" w:eastAsia="Times New Roman" w:hAnsi="Times New Roman"/>
                <w:b/>
                <w:sz w:val="20"/>
                <w:szCs w:val="20"/>
              </w:rPr>
            </w:pPr>
            <w:r w:rsidRPr="004D2A2D">
              <w:rPr>
                <w:rFonts w:ascii="Times New Roman" w:eastAsia="Times New Roman" w:hAnsi="Times New Roman"/>
                <w:b/>
                <w:sz w:val="20"/>
                <w:szCs w:val="20"/>
              </w:rPr>
              <w:t>N=230</w:t>
            </w:r>
          </w:p>
        </w:tc>
        <w:tc>
          <w:tcPr>
            <w:tcW w:w="899" w:type="pct"/>
            <w:tcBorders>
              <w:top w:val="single" w:sz="4" w:space="0" w:color="auto"/>
              <w:left w:val="single" w:sz="4" w:space="0" w:color="auto"/>
              <w:bottom w:val="single" w:sz="4" w:space="0" w:color="auto"/>
              <w:right w:val="single" w:sz="4" w:space="0" w:color="auto"/>
            </w:tcBorders>
            <w:hideMark/>
          </w:tcPr>
          <w:p w:rsidR="00FF35EA" w:rsidRPr="004D2A2D" w:rsidRDefault="00FF35EA" w:rsidP="00FF35EA">
            <w:pPr>
              <w:keepNext/>
              <w:keepLines/>
              <w:spacing w:line="480" w:lineRule="auto"/>
              <w:jc w:val="center"/>
              <w:rPr>
                <w:rFonts w:ascii="Times New Roman" w:eastAsia="Times New Roman" w:hAnsi="Times New Roman"/>
                <w:b/>
                <w:sz w:val="20"/>
                <w:szCs w:val="20"/>
              </w:rPr>
            </w:pPr>
            <w:proofErr w:type="spellStart"/>
            <w:r w:rsidRPr="004D2A2D">
              <w:rPr>
                <w:rFonts w:ascii="Times New Roman" w:eastAsia="Times New Roman" w:hAnsi="Times New Roman"/>
                <w:b/>
                <w:sz w:val="20"/>
                <w:szCs w:val="20"/>
              </w:rPr>
              <w:t>EtoCis</w:t>
            </w:r>
            <w:proofErr w:type="spellEnd"/>
          </w:p>
          <w:p w:rsidR="00FF35EA" w:rsidRPr="004D2A2D" w:rsidRDefault="00FF35EA" w:rsidP="00FF35EA">
            <w:pPr>
              <w:keepNext/>
              <w:keepLines/>
              <w:spacing w:line="480" w:lineRule="auto"/>
              <w:jc w:val="center"/>
              <w:rPr>
                <w:rFonts w:ascii="Times New Roman" w:eastAsia="Times New Roman" w:hAnsi="Times New Roman"/>
                <w:b/>
                <w:sz w:val="20"/>
                <w:szCs w:val="20"/>
              </w:rPr>
            </w:pPr>
            <w:r w:rsidRPr="004D2A2D">
              <w:rPr>
                <w:rFonts w:ascii="Times New Roman" w:eastAsia="Times New Roman" w:hAnsi="Times New Roman"/>
                <w:b/>
                <w:sz w:val="20"/>
                <w:szCs w:val="20"/>
              </w:rPr>
              <w:t>N=204</w:t>
            </w:r>
          </w:p>
        </w:tc>
      </w:tr>
      <w:tr w:rsidR="00FF35EA" w:rsidRPr="004D2A2D" w:rsidTr="00C9050E">
        <w:trPr>
          <w:trHeight w:val="610"/>
        </w:trPr>
        <w:tc>
          <w:tcPr>
            <w:tcW w:w="1185" w:type="pct"/>
            <w:tcBorders>
              <w:top w:val="single" w:sz="4" w:space="0" w:color="auto"/>
              <w:left w:val="single" w:sz="4" w:space="0" w:color="auto"/>
              <w:bottom w:val="single" w:sz="4" w:space="0" w:color="auto"/>
              <w:right w:val="single" w:sz="4" w:space="0" w:color="auto"/>
            </w:tcBorders>
            <w:hideMark/>
          </w:tcPr>
          <w:p w:rsidR="00FF35EA" w:rsidRPr="004D2A2D" w:rsidRDefault="00FF35EA" w:rsidP="00FF35EA">
            <w:pPr>
              <w:keepNext/>
              <w:keepLines/>
              <w:spacing w:line="480" w:lineRule="auto"/>
              <w:rPr>
                <w:rFonts w:ascii="Times New Roman" w:eastAsia="Times New Roman" w:hAnsi="Times New Roman"/>
                <w:b/>
                <w:sz w:val="20"/>
                <w:szCs w:val="20"/>
              </w:rPr>
            </w:pPr>
            <w:r w:rsidRPr="004D2A2D">
              <w:rPr>
                <w:rFonts w:ascii="Times New Roman" w:eastAsia="Times New Roman" w:hAnsi="Times New Roman"/>
                <w:b/>
                <w:sz w:val="20"/>
                <w:szCs w:val="20"/>
              </w:rPr>
              <w:t xml:space="preserve">Follow up, months, </w:t>
            </w:r>
            <w:proofErr w:type="spellStart"/>
            <w:r w:rsidRPr="004D2A2D">
              <w:rPr>
                <w:rFonts w:ascii="Times New Roman" w:eastAsia="Times New Roman" w:hAnsi="Times New Roman"/>
                <w:b/>
                <w:sz w:val="20"/>
                <w:szCs w:val="20"/>
              </w:rPr>
              <w:t>mean</w:t>
            </w:r>
            <w:r w:rsidRPr="004D2A2D">
              <w:t>±</w:t>
            </w:r>
            <w:r w:rsidRPr="004D2A2D">
              <w:rPr>
                <w:rFonts w:ascii="Times New Roman" w:eastAsia="Times New Roman" w:hAnsi="Times New Roman"/>
                <w:b/>
                <w:sz w:val="20"/>
                <w:szCs w:val="20"/>
              </w:rPr>
              <w:t>SD</w:t>
            </w:r>
            <w:proofErr w:type="spellEnd"/>
            <w:r w:rsidRPr="004D2A2D">
              <w:rPr>
                <w:rFonts w:ascii="Times New Roman" w:eastAsia="Times New Roman" w:hAnsi="Times New Roman"/>
                <w:b/>
                <w:sz w:val="20"/>
                <w:szCs w:val="20"/>
              </w:rPr>
              <w:t xml:space="preserve"> </w:t>
            </w:r>
          </w:p>
        </w:tc>
        <w:tc>
          <w:tcPr>
            <w:tcW w:w="986" w:type="pct"/>
            <w:tcBorders>
              <w:top w:val="single" w:sz="4" w:space="0" w:color="auto"/>
              <w:left w:val="single" w:sz="4" w:space="0" w:color="auto"/>
              <w:bottom w:val="single" w:sz="4" w:space="0" w:color="auto"/>
              <w:right w:val="single" w:sz="4" w:space="0" w:color="auto"/>
            </w:tcBorders>
            <w:hideMark/>
          </w:tcPr>
          <w:p w:rsidR="00FF35EA" w:rsidRPr="004D2A2D" w:rsidRDefault="00FF35EA" w:rsidP="00FF35EA">
            <w:pPr>
              <w:keepNext/>
              <w:keepLines/>
              <w:spacing w:line="480" w:lineRule="auto"/>
              <w:jc w:val="center"/>
              <w:rPr>
                <w:rFonts w:ascii="Times New Roman" w:eastAsia="Times New Roman" w:hAnsi="Times New Roman"/>
                <w:sz w:val="20"/>
                <w:szCs w:val="20"/>
              </w:rPr>
            </w:pPr>
            <w:r w:rsidRPr="004D2A2D">
              <w:rPr>
                <w:rFonts w:ascii="Times New Roman" w:eastAsia="Times New Roman" w:hAnsi="Times New Roman"/>
                <w:b/>
                <w:sz w:val="20"/>
                <w:szCs w:val="20"/>
              </w:rPr>
              <w:t>4.47±1.46</w:t>
            </w:r>
          </w:p>
        </w:tc>
        <w:tc>
          <w:tcPr>
            <w:tcW w:w="920" w:type="pct"/>
            <w:tcBorders>
              <w:top w:val="single" w:sz="4" w:space="0" w:color="auto"/>
              <w:left w:val="single" w:sz="4" w:space="0" w:color="auto"/>
              <w:bottom w:val="single" w:sz="4" w:space="0" w:color="auto"/>
              <w:right w:val="single" w:sz="4" w:space="0" w:color="auto"/>
            </w:tcBorders>
            <w:hideMark/>
          </w:tcPr>
          <w:p w:rsidR="00FF35EA" w:rsidRPr="004D2A2D" w:rsidRDefault="00FF35EA" w:rsidP="00FF35EA">
            <w:pPr>
              <w:keepNext/>
              <w:keepLines/>
              <w:spacing w:line="480" w:lineRule="auto"/>
              <w:jc w:val="center"/>
              <w:rPr>
                <w:rFonts w:ascii="Times New Roman" w:eastAsia="Times New Roman" w:hAnsi="Times New Roman"/>
                <w:sz w:val="20"/>
                <w:szCs w:val="20"/>
              </w:rPr>
            </w:pPr>
            <w:r w:rsidRPr="004D2A2D">
              <w:rPr>
                <w:rFonts w:ascii="Times New Roman" w:eastAsia="Times New Roman" w:hAnsi="Times New Roman"/>
                <w:b/>
                <w:sz w:val="20"/>
                <w:szCs w:val="20"/>
              </w:rPr>
              <w:t>3.50±1.11</w:t>
            </w:r>
          </w:p>
        </w:tc>
        <w:tc>
          <w:tcPr>
            <w:tcW w:w="1010" w:type="pct"/>
            <w:tcBorders>
              <w:top w:val="single" w:sz="4" w:space="0" w:color="auto"/>
              <w:left w:val="single" w:sz="4" w:space="0" w:color="auto"/>
              <w:bottom w:val="single" w:sz="4" w:space="0" w:color="auto"/>
              <w:right w:val="single" w:sz="4" w:space="0" w:color="auto"/>
            </w:tcBorders>
            <w:hideMark/>
          </w:tcPr>
          <w:p w:rsidR="00FF35EA" w:rsidRPr="004D2A2D" w:rsidRDefault="00FF35EA" w:rsidP="00FF35EA">
            <w:pPr>
              <w:keepNext/>
              <w:keepLines/>
              <w:spacing w:line="480" w:lineRule="auto"/>
              <w:jc w:val="center"/>
              <w:rPr>
                <w:rFonts w:ascii="Times New Roman" w:eastAsia="Times New Roman" w:hAnsi="Times New Roman"/>
                <w:sz w:val="20"/>
                <w:szCs w:val="20"/>
              </w:rPr>
            </w:pPr>
            <w:r w:rsidRPr="004D2A2D">
              <w:rPr>
                <w:rFonts w:ascii="Times New Roman" w:eastAsia="Times New Roman" w:hAnsi="Times New Roman"/>
                <w:sz w:val="20"/>
                <w:szCs w:val="20"/>
              </w:rPr>
              <w:t>2.58±0.73</w:t>
            </w:r>
          </w:p>
        </w:tc>
        <w:tc>
          <w:tcPr>
            <w:tcW w:w="899" w:type="pct"/>
            <w:tcBorders>
              <w:top w:val="single" w:sz="4" w:space="0" w:color="auto"/>
              <w:left w:val="single" w:sz="4" w:space="0" w:color="auto"/>
              <w:bottom w:val="single" w:sz="4" w:space="0" w:color="auto"/>
              <w:right w:val="single" w:sz="4" w:space="0" w:color="auto"/>
            </w:tcBorders>
            <w:hideMark/>
          </w:tcPr>
          <w:p w:rsidR="00FF35EA" w:rsidRPr="004D2A2D" w:rsidRDefault="00FF35EA" w:rsidP="00FF35EA">
            <w:pPr>
              <w:keepNext/>
              <w:keepLines/>
              <w:spacing w:line="480" w:lineRule="auto"/>
              <w:jc w:val="center"/>
              <w:rPr>
                <w:rFonts w:ascii="Times New Roman" w:eastAsia="Times New Roman" w:hAnsi="Times New Roman"/>
                <w:sz w:val="20"/>
                <w:szCs w:val="20"/>
              </w:rPr>
            </w:pPr>
            <w:r w:rsidRPr="004D2A2D">
              <w:rPr>
                <w:rFonts w:ascii="Times New Roman" w:eastAsia="Times New Roman" w:hAnsi="Times New Roman"/>
                <w:sz w:val="20"/>
                <w:szCs w:val="20"/>
              </w:rPr>
              <w:t>1.59±0.45</w:t>
            </w:r>
          </w:p>
        </w:tc>
      </w:tr>
      <w:tr w:rsidR="00FF35EA" w:rsidRPr="004D2A2D" w:rsidTr="00C9050E">
        <w:trPr>
          <w:trHeight w:val="610"/>
        </w:trPr>
        <w:tc>
          <w:tcPr>
            <w:tcW w:w="1185" w:type="pct"/>
            <w:tcBorders>
              <w:top w:val="single" w:sz="4" w:space="0" w:color="auto"/>
              <w:left w:val="single" w:sz="4" w:space="0" w:color="auto"/>
              <w:bottom w:val="single" w:sz="4" w:space="0" w:color="auto"/>
              <w:right w:val="single" w:sz="4" w:space="0" w:color="auto"/>
            </w:tcBorders>
            <w:hideMark/>
          </w:tcPr>
          <w:p w:rsidR="00FF35EA" w:rsidRPr="004D2A2D" w:rsidRDefault="00FF35EA" w:rsidP="00FF35EA">
            <w:pPr>
              <w:keepNext/>
              <w:keepLines/>
              <w:spacing w:line="480" w:lineRule="auto"/>
              <w:rPr>
                <w:rFonts w:ascii="Times New Roman" w:eastAsia="Times New Roman" w:hAnsi="Times New Roman"/>
                <w:b/>
                <w:sz w:val="20"/>
                <w:szCs w:val="20"/>
              </w:rPr>
            </w:pPr>
            <w:r w:rsidRPr="004D2A2D">
              <w:rPr>
                <w:rFonts w:ascii="Times New Roman" w:eastAsia="Times New Roman" w:hAnsi="Times New Roman"/>
                <w:b/>
                <w:sz w:val="20"/>
                <w:szCs w:val="20"/>
              </w:rPr>
              <w:t xml:space="preserve">Total cost, $, </w:t>
            </w:r>
            <w:proofErr w:type="spellStart"/>
            <w:r w:rsidRPr="004D2A2D">
              <w:rPr>
                <w:rFonts w:ascii="Times New Roman" w:eastAsia="Times New Roman" w:hAnsi="Times New Roman"/>
                <w:b/>
                <w:sz w:val="20"/>
                <w:szCs w:val="20"/>
              </w:rPr>
              <w:t>mean±SD</w:t>
            </w:r>
            <w:proofErr w:type="spellEnd"/>
          </w:p>
        </w:tc>
        <w:tc>
          <w:tcPr>
            <w:tcW w:w="986" w:type="pct"/>
            <w:tcBorders>
              <w:top w:val="single" w:sz="4" w:space="0" w:color="auto"/>
              <w:left w:val="single" w:sz="4" w:space="0" w:color="auto"/>
              <w:bottom w:val="single" w:sz="4" w:space="0" w:color="auto"/>
              <w:right w:val="single" w:sz="4" w:space="0" w:color="auto"/>
            </w:tcBorders>
            <w:hideMark/>
          </w:tcPr>
          <w:p w:rsidR="00FF35EA" w:rsidRPr="004D2A2D" w:rsidRDefault="00FF35EA" w:rsidP="00FF35EA">
            <w:pPr>
              <w:keepNext/>
              <w:keepLines/>
              <w:spacing w:line="480" w:lineRule="auto"/>
              <w:jc w:val="center"/>
              <w:rPr>
                <w:rFonts w:ascii="Times New Roman" w:eastAsia="Times New Roman" w:hAnsi="Times New Roman"/>
                <w:sz w:val="20"/>
                <w:szCs w:val="20"/>
              </w:rPr>
            </w:pPr>
            <w:r w:rsidRPr="004D2A2D">
              <w:rPr>
                <w:rFonts w:ascii="Times New Roman" w:eastAsia="Times New Roman" w:hAnsi="Times New Roman"/>
                <w:b/>
                <w:sz w:val="20"/>
                <w:szCs w:val="20"/>
              </w:rPr>
              <w:t>51,313.90±33,166.11</w:t>
            </w:r>
          </w:p>
        </w:tc>
        <w:tc>
          <w:tcPr>
            <w:tcW w:w="920" w:type="pct"/>
            <w:tcBorders>
              <w:top w:val="single" w:sz="4" w:space="0" w:color="auto"/>
              <w:left w:val="single" w:sz="4" w:space="0" w:color="auto"/>
              <w:bottom w:val="single" w:sz="4" w:space="0" w:color="auto"/>
              <w:right w:val="single" w:sz="4" w:space="0" w:color="auto"/>
            </w:tcBorders>
            <w:hideMark/>
          </w:tcPr>
          <w:p w:rsidR="00FF35EA" w:rsidRPr="004D2A2D" w:rsidRDefault="00FF35EA" w:rsidP="00FF35EA">
            <w:pPr>
              <w:keepNext/>
              <w:keepLines/>
              <w:spacing w:line="480" w:lineRule="auto"/>
              <w:jc w:val="center"/>
              <w:rPr>
                <w:rFonts w:ascii="Times New Roman" w:eastAsia="Times New Roman" w:hAnsi="Times New Roman"/>
                <w:sz w:val="20"/>
                <w:szCs w:val="20"/>
              </w:rPr>
            </w:pPr>
            <w:r w:rsidRPr="004D2A2D">
              <w:rPr>
                <w:rFonts w:ascii="Times New Roman" w:eastAsia="Times New Roman" w:hAnsi="Times New Roman"/>
                <w:b/>
                <w:sz w:val="20"/>
                <w:szCs w:val="20"/>
              </w:rPr>
              <w:t>22,425.24±26,087.53</w:t>
            </w:r>
          </w:p>
        </w:tc>
        <w:tc>
          <w:tcPr>
            <w:tcW w:w="1010" w:type="pct"/>
            <w:tcBorders>
              <w:top w:val="single" w:sz="4" w:space="0" w:color="auto"/>
              <w:left w:val="single" w:sz="4" w:space="0" w:color="auto"/>
              <w:bottom w:val="single" w:sz="4" w:space="0" w:color="auto"/>
              <w:right w:val="single" w:sz="4" w:space="0" w:color="auto"/>
            </w:tcBorders>
            <w:hideMark/>
          </w:tcPr>
          <w:p w:rsidR="00FF35EA" w:rsidRPr="004D2A2D" w:rsidRDefault="00FF35EA" w:rsidP="00FF35EA">
            <w:pPr>
              <w:keepNext/>
              <w:keepLines/>
              <w:spacing w:line="480" w:lineRule="auto"/>
              <w:jc w:val="center"/>
              <w:rPr>
                <w:rFonts w:ascii="Times New Roman" w:eastAsia="Times New Roman" w:hAnsi="Times New Roman"/>
                <w:sz w:val="20"/>
                <w:szCs w:val="20"/>
              </w:rPr>
            </w:pPr>
            <w:r w:rsidRPr="004D2A2D">
              <w:rPr>
                <w:rFonts w:ascii="Times New Roman" w:eastAsia="Times New Roman" w:hAnsi="Times New Roman"/>
                <w:b/>
                <w:sz w:val="20"/>
                <w:szCs w:val="20"/>
              </w:rPr>
              <w:t>27,614.28±18,684.41</w:t>
            </w:r>
          </w:p>
        </w:tc>
        <w:tc>
          <w:tcPr>
            <w:tcW w:w="899" w:type="pct"/>
            <w:tcBorders>
              <w:top w:val="single" w:sz="4" w:space="0" w:color="auto"/>
              <w:left w:val="single" w:sz="4" w:space="0" w:color="auto"/>
              <w:bottom w:val="single" w:sz="4" w:space="0" w:color="auto"/>
              <w:right w:val="single" w:sz="4" w:space="0" w:color="auto"/>
            </w:tcBorders>
            <w:hideMark/>
          </w:tcPr>
          <w:p w:rsidR="00FF35EA" w:rsidRPr="004D2A2D" w:rsidRDefault="00FF35EA" w:rsidP="00FF35EA">
            <w:pPr>
              <w:keepNext/>
              <w:keepLines/>
              <w:spacing w:line="480" w:lineRule="auto"/>
              <w:jc w:val="center"/>
              <w:rPr>
                <w:rFonts w:ascii="Times New Roman" w:eastAsia="Times New Roman" w:hAnsi="Times New Roman"/>
                <w:sz w:val="20"/>
                <w:szCs w:val="20"/>
              </w:rPr>
            </w:pPr>
            <w:r w:rsidRPr="004D2A2D">
              <w:rPr>
                <w:rFonts w:ascii="Times New Roman" w:eastAsia="Times New Roman" w:hAnsi="Times New Roman"/>
                <w:b/>
                <w:sz w:val="20"/>
                <w:szCs w:val="20"/>
              </w:rPr>
              <w:t>6,502.07±8,752.18</w:t>
            </w:r>
          </w:p>
        </w:tc>
      </w:tr>
      <w:tr w:rsidR="00FF35EA" w:rsidRPr="004D2A2D" w:rsidTr="00C9050E">
        <w:trPr>
          <w:trHeight w:val="610"/>
        </w:trPr>
        <w:tc>
          <w:tcPr>
            <w:tcW w:w="1185" w:type="pct"/>
            <w:tcBorders>
              <w:top w:val="single" w:sz="4" w:space="0" w:color="auto"/>
              <w:left w:val="single" w:sz="4" w:space="0" w:color="auto"/>
              <w:bottom w:val="single" w:sz="4" w:space="0" w:color="auto"/>
              <w:right w:val="single" w:sz="4" w:space="0" w:color="auto"/>
            </w:tcBorders>
            <w:hideMark/>
          </w:tcPr>
          <w:p w:rsidR="00FF35EA" w:rsidRPr="004D2A2D" w:rsidRDefault="00FF35EA" w:rsidP="00FF35EA">
            <w:pPr>
              <w:keepNext/>
              <w:keepLines/>
              <w:spacing w:line="480" w:lineRule="auto"/>
              <w:rPr>
                <w:rFonts w:ascii="Times New Roman" w:eastAsia="Times New Roman" w:hAnsi="Times New Roman"/>
                <w:b/>
                <w:sz w:val="20"/>
                <w:szCs w:val="20"/>
              </w:rPr>
            </w:pPr>
            <w:r w:rsidRPr="004D2A2D">
              <w:rPr>
                <w:rFonts w:ascii="Times New Roman" w:eastAsia="Times New Roman" w:hAnsi="Times New Roman"/>
                <w:b/>
                <w:sz w:val="20"/>
                <w:szCs w:val="20"/>
              </w:rPr>
              <w:t xml:space="preserve">Study treatment cost, $, </w:t>
            </w:r>
            <w:proofErr w:type="spellStart"/>
            <w:r w:rsidRPr="004D2A2D">
              <w:rPr>
                <w:rFonts w:ascii="Times New Roman" w:eastAsia="Times New Roman" w:hAnsi="Times New Roman"/>
                <w:b/>
                <w:sz w:val="20"/>
                <w:szCs w:val="20"/>
              </w:rPr>
              <w:t>mean±SD</w:t>
            </w:r>
            <w:proofErr w:type="spellEnd"/>
          </w:p>
        </w:tc>
        <w:tc>
          <w:tcPr>
            <w:tcW w:w="986" w:type="pct"/>
            <w:tcBorders>
              <w:top w:val="single" w:sz="4" w:space="0" w:color="auto"/>
              <w:left w:val="single" w:sz="4" w:space="0" w:color="auto"/>
              <w:bottom w:val="single" w:sz="4" w:space="0" w:color="auto"/>
              <w:right w:val="single" w:sz="4" w:space="0" w:color="auto"/>
            </w:tcBorders>
            <w:hideMark/>
          </w:tcPr>
          <w:p w:rsidR="00FF35EA" w:rsidRPr="004D2A2D" w:rsidRDefault="00FF35EA" w:rsidP="00FF35EA">
            <w:pPr>
              <w:keepNext/>
              <w:keepLines/>
              <w:spacing w:line="480" w:lineRule="auto"/>
              <w:jc w:val="center"/>
              <w:rPr>
                <w:rFonts w:ascii="Times New Roman" w:eastAsia="Times New Roman" w:hAnsi="Times New Roman"/>
                <w:sz w:val="20"/>
                <w:szCs w:val="20"/>
              </w:rPr>
            </w:pPr>
            <w:r w:rsidRPr="004D2A2D">
              <w:rPr>
                <w:rFonts w:ascii="Times New Roman" w:eastAsia="Times New Roman" w:hAnsi="Times New Roman"/>
                <w:b/>
                <w:sz w:val="20"/>
                <w:szCs w:val="20"/>
              </w:rPr>
              <w:t>31,203.67±11,217.62</w:t>
            </w:r>
          </w:p>
        </w:tc>
        <w:tc>
          <w:tcPr>
            <w:tcW w:w="920" w:type="pct"/>
            <w:tcBorders>
              <w:top w:val="single" w:sz="4" w:space="0" w:color="auto"/>
              <w:left w:val="single" w:sz="4" w:space="0" w:color="auto"/>
              <w:bottom w:val="single" w:sz="4" w:space="0" w:color="auto"/>
              <w:right w:val="single" w:sz="4" w:space="0" w:color="auto"/>
            </w:tcBorders>
            <w:hideMark/>
          </w:tcPr>
          <w:p w:rsidR="00FF35EA" w:rsidRPr="004D2A2D" w:rsidRDefault="00FF35EA" w:rsidP="00FF35EA">
            <w:pPr>
              <w:keepNext/>
              <w:keepLines/>
              <w:spacing w:line="480" w:lineRule="auto"/>
              <w:jc w:val="center"/>
              <w:rPr>
                <w:rFonts w:ascii="Times New Roman" w:eastAsia="Times New Roman" w:hAnsi="Times New Roman"/>
                <w:sz w:val="20"/>
                <w:szCs w:val="20"/>
              </w:rPr>
            </w:pPr>
            <w:r w:rsidRPr="004D2A2D">
              <w:rPr>
                <w:rFonts w:ascii="Times New Roman" w:eastAsia="Times New Roman" w:hAnsi="Times New Roman"/>
                <w:b/>
                <w:sz w:val="20"/>
                <w:szCs w:val="20"/>
              </w:rPr>
              <w:t>2,957.81±900.48</w:t>
            </w:r>
          </w:p>
        </w:tc>
        <w:tc>
          <w:tcPr>
            <w:tcW w:w="1010" w:type="pct"/>
            <w:tcBorders>
              <w:top w:val="single" w:sz="4" w:space="0" w:color="auto"/>
              <w:left w:val="single" w:sz="4" w:space="0" w:color="auto"/>
              <w:bottom w:val="single" w:sz="4" w:space="0" w:color="auto"/>
              <w:right w:val="single" w:sz="4" w:space="0" w:color="auto"/>
            </w:tcBorders>
            <w:hideMark/>
          </w:tcPr>
          <w:p w:rsidR="00FF35EA" w:rsidRPr="004D2A2D" w:rsidRDefault="00FF35EA" w:rsidP="00FF35EA">
            <w:pPr>
              <w:keepNext/>
              <w:keepLines/>
              <w:spacing w:line="480" w:lineRule="auto"/>
              <w:jc w:val="center"/>
              <w:rPr>
                <w:rFonts w:ascii="Times New Roman" w:eastAsia="Times New Roman" w:hAnsi="Times New Roman"/>
                <w:sz w:val="20"/>
                <w:szCs w:val="20"/>
              </w:rPr>
            </w:pPr>
            <w:r w:rsidRPr="004D2A2D">
              <w:rPr>
                <w:rFonts w:ascii="Times New Roman" w:eastAsia="Times New Roman" w:hAnsi="Times New Roman"/>
                <w:b/>
                <w:sz w:val="20"/>
                <w:szCs w:val="20"/>
              </w:rPr>
              <w:t>19,052.51±5,747.81</w:t>
            </w:r>
          </w:p>
        </w:tc>
        <w:tc>
          <w:tcPr>
            <w:tcW w:w="899" w:type="pct"/>
            <w:tcBorders>
              <w:top w:val="single" w:sz="4" w:space="0" w:color="auto"/>
              <w:left w:val="single" w:sz="4" w:space="0" w:color="auto"/>
              <w:bottom w:val="single" w:sz="4" w:space="0" w:color="auto"/>
              <w:right w:val="single" w:sz="4" w:space="0" w:color="auto"/>
            </w:tcBorders>
            <w:hideMark/>
          </w:tcPr>
          <w:p w:rsidR="00FF35EA" w:rsidRPr="004D2A2D" w:rsidRDefault="00FF35EA" w:rsidP="00FF35EA">
            <w:pPr>
              <w:keepNext/>
              <w:keepLines/>
              <w:spacing w:line="480" w:lineRule="auto"/>
              <w:jc w:val="center"/>
              <w:rPr>
                <w:rFonts w:ascii="Times New Roman" w:eastAsia="Times New Roman" w:hAnsi="Times New Roman"/>
                <w:sz w:val="20"/>
                <w:szCs w:val="20"/>
              </w:rPr>
            </w:pPr>
            <w:r w:rsidRPr="004D2A2D">
              <w:rPr>
                <w:rFonts w:ascii="Times New Roman" w:eastAsia="Times New Roman" w:hAnsi="Times New Roman"/>
                <w:b/>
                <w:sz w:val="20"/>
                <w:szCs w:val="20"/>
              </w:rPr>
              <w:t>1,447.03±470.20</w:t>
            </w:r>
          </w:p>
        </w:tc>
      </w:tr>
      <w:tr w:rsidR="00FF35EA" w:rsidRPr="004D2A2D" w:rsidTr="00C9050E">
        <w:trPr>
          <w:trHeight w:val="610"/>
        </w:trPr>
        <w:tc>
          <w:tcPr>
            <w:tcW w:w="1185" w:type="pct"/>
            <w:tcBorders>
              <w:top w:val="single" w:sz="4" w:space="0" w:color="auto"/>
              <w:left w:val="single" w:sz="4" w:space="0" w:color="auto"/>
              <w:bottom w:val="single" w:sz="4" w:space="0" w:color="auto"/>
              <w:right w:val="single" w:sz="4" w:space="0" w:color="auto"/>
            </w:tcBorders>
            <w:hideMark/>
          </w:tcPr>
          <w:p w:rsidR="00FF35EA" w:rsidRPr="004D2A2D" w:rsidRDefault="00FF35EA" w:rsidP="00FF35EA">
            <w:pPr>
              <w:keepNext/>
              <w:keepLines/>
              <w:spacing w:line="480" w:lineRule="auto"/>
              <w:rPr>
                <w:rFonts w:ascii="Times New Roman" w:eastAsia="Times New Roman" w:hAnsi="Times New Roman"/>
                <w:b/>
                <w:sz w:val="20"/>
                <w:szCs w:val="20"/>
              </w:rPr>
            </w:pPr>
            <w:r w:rsidRPr="004D2A2D">
              <w:rPr>
                <w:rFonts w:ascii="Times New Roman" w:eastAsia="Times New Roman" w:hAnsi="Times New Roman"/>
                <w:b/>
                <w:sz w:val="20"/>
                <w:szCs w:val="20"/>
              </w:rPr>
              <w:t xml:space="preserve">Other </w:t>
            </w:r>
            <w:proofErr w:type="spellStart"/>
            <w:r w:rsidRPr="004D2A2D">
              <w:rPr>
                <w:rFonts w:ascii="Times New Roman" w:eastAsia="Times New Roman" w:hAnsi="Times New Roman"/>
                <w:b/>
                <w:sz w:val="20"/>
                <w:szCs w:val="20"/>
              </w:rPr>
              <w:t>costs</w:t>
            </w:r>
            <w:r w:rsidRPr="004D2A2D">
              <w:rPr>
                <w:rFonts w:ascii="Times New Roman" w:eastAsia="Times New Roman" w:hAnsi="Times New Roman"/>
                <w:b/>
                <w:sz w:val="20"/>
                <w:szCs w:val="20"/>
                <w:vertAlign w:val="superscript"/>
              </w:rPr>
              <w:t>a</w:t>
            </w:r>
            <w:proofErr w:type="spellEnd"/>
            <w:r w:rsidRPr="004D2A2D">
              <w:rPr>
                <w:rFonts w:ascii="Times New Roman" w:eastAsia="Times New Roman" w:hAnsi="Times New Roman"/>
                <w:b/>
                <w:sz w:val="20"/>
                <w:szCs w:val="20"/>
              </w:rPr>
              <w:t xml:space="preserve">, $, </w:t>
            </w:r>
            <w:proofErr w:type="spellStart"/>
            <w:r w:rsidRPr="004D2A2D">
              <w:rPr>
                <w:rFonts w:ascii="Times New Roman" w:eastAsia="Times New Roman" w:hAnsi="Times New Roman"/>
                <w:b/>
                <w:sz w:val="20"/>
                <w:szCs w:val="20"/>
              </w:rPr>
              <w:t>mean±SD</w:t>
            </w:r>
            <w:proofErr w:type="spellEnd"/>
          </w:p>
        </w:tc>
        <w:tc>
          <w:tcPr>
            <w:tcW w:w="986" w:type="pct"/>
            <w:tcBorders>
              <w:top w:val="single" w:sz="4" w:space="0" w:color="auto"/>
              <w:left w:val="single" w:sz="4" w:space="0" w:color="auto"/>
              <w:bottom w:val="single" w:sz="4" w:space="0" w:color="auto"/>
              <w:right w:val="single" w:sz="4" w:space="0" w:color="auto"/>
            </w:tcBorders>
            <w:hideMark/>
          </w:tcPr>
          <w:p w:rsidR="00FF35EA" w:rsidRPr="004D2A2D" w:rsidRDefault="00FF35EA" w:rsidP="00FF35EA">
            <w:pPr>
              <w:keepNext/>
              <w:keepLines/>
              <w:spacing w:line="480" w:lineRule="auto"/>
              <w:jc w:val="center"/>
              <w:rPr>
                <w:rFonts w:ascii="Times New Roman" w:eastAsia="Times New Roman" w:hAnsi="Times New Roman"/>
                <w:sz w:val="20"/>
                <w:szCs w:val="20"/>
              </w:rPr>
            </w:pPr>
            <w:r w:rsidRPr="004D2A2D">
              <w:rPr>
                <w:rFonts w:ascii="Times New Roman" w:eastAsia="Times New Roman" w:hAnsi="Times New Roman"/>
                <w:sz w:val="20"/>
                <w:szCs w:val="20"/>
              </w:rPr>
              <w:t>20,110.22±32,883.10</w:t>
            </w:r>
          </w:p>
        </w:tc>
        <w:tc>
          <w:tcPr>
            <w:tcW w:w="920" w:type="pct"/>
            <w:tcBorders>
              <w:top w:val="single" w:sz="4" w:space="0" w:color="auto"/>
              <w:left w:val="single" w:sz="4" w:space="0" w:color="auto"/>
              <w:bottom w:val="single" w:sz="4" w:space="0" w:color="auto"/>
              <w:right w:val="single" w:sz="4" w:space="0" w:color="auto"/>
            </w:tcBorders>
            <w:hideMark/>
          </w:tcPr>
          <w:p w:rsidR="00FF35EA" w:rsidRPr="004D2A2D" w:rsidRDefault="00FF35EA" w:rsidP="00FF35EA">
            <w:pPr>
              <w:keepNext/>
              <w:keepLines/>
              <w:spacing w:line="480" w:lineRule="auto"/>
              <w:jc w:val="center"/>
              <w:rPr>
                <w:rFonts w:ascii="Times New Roman" w:eastAsia="Times New Roman" w:hAnsi="Times New Roman"/>
                <w:sz w:val="20"/>
                <w:szCs w:val="20"/>
              </w:rPr>
            </w:pPr>
            <w:r w:rsidRPr="004D2A2D">
              <w:rPr>
                <w:rFonts w:ascii="Times New Roman" w:eastAsia="Times New Roman" w:hAnsi="Times New Roman"/>
                <w:sz w:val="20"/>
                <w:szCs w:val="20"/>
              </w:rPr>
              <w:t>19,467.43±26,141.99</w:t>
            </w:r>
          </w:p>
        </w:tc>
        <w:tc>
          <w:tcPr>
            <w:tcW w:w="1010" w:type="pct"/>
            <w:tcBorders>
              <w:top w:val="single" w:sz="4" w:space="0" w:color="auto"/>
              <w:left w:val="single" w:sz="4" w:space="0" w:color="auto"/>
              <w:bottom w:val="single" w:sz="4" w:space="0" w:color="auto"/>
              <w:right w:val="single" w:sz="4" w:space="0" w:color="auto"/>
            </w:tcBorders>
            <w:hideMark/>
          </w:tcPr>
          <w:p w:rsidR="00FF35EA" w:rsidRPr="004D2A2D" w:rsidRDefault="00FF35EA" w:rsidP="00FF35EA">
            <w:pPr>
              <w:keepNext/>
              <w:keepLines/>
              <w:spacing w:line="480" w:lineRule="auto"/>
              <w:jc w:val="center"/>
              <w:rPr>
                <w:rFonts w:ascii="Times New Roman" w:eastAsia="Times New Roman" w:hAnsi="Times New Roman"/>
                <w:sz w:val="20"/>
                <w:szCs w:val="20"/>
              </w:rPr>
            </w:pPr>
            <w:r w:rsidRPr="004D2A2D">
              <w:rPr>
                <w:rFonts w:ascii="Times New Roman" w:eastAsia="Times New Roman" w:hAnsi="Times New Roman"/>
                <w:sz w:val="20"/>
                <w:szCs w:val="20"/>
              </w:rPr>
              <w:t>8,561.77±18,705.07</w:t>
            </w:r>
          </w:p>
        </w:tc>
        <w:tc>
          <w:tcPr>
            <w:tcW w:w="899" w:type="pct"/>
            <w:tcBorders>
              <w:top w:val="single" w:sz="4" w:space="0" w:color="auto"/>
              <w:left w:val="single" w:sz="4" w:space="0" w:color="auto"/>
              <w:bottom w:val="single" w:sz="4" w:space="0" w:color="auto"/>
              <w:right w:val="single" w:sz="4" w:space="0" w:color="auto"/>
            </w:tcBorders>
            <w:hideMark/>
          </w:tcPr>
          <w:p w:rsidR="00FF35EA" w:rsidRPr="004D2A2D" w:rsidRDefault="00FF35EA" w:rsidP="00FF35EA">
            <w:pPr>
              <w:keepNext/>
              <w:keepLines/>
              <w:spacing w:line="480" w:lineRule="auto"/>
              <w:jc w:val="center"/>
              <w:rPr>
                <w:rFonts w:ascii="Times New Roman" w:eastAsia="Times New Roman" w:hAnsi="Times New Roman"/>
                <w:sz w:val="20"/>
                <w:szCs w:val="20"/>
              </w:rPr>
            </w:pPr>
            <w:r w:rsidRPr="004D2A2D">
              <w:rPr>
                <w:rFonts w:ascii="Times New Roman" w:eastAsia="Times New Roman" w:hAnsi="Times New Roman"/>
                <w:sz w:val="20"/>
                <w:szCs w:val="20"/>
              </w:rPr>
              <w:t>5,055.05±8,751.18</w:t>
            </w:r>
          </w:p>
        </w:tc>
      </w:tr>
      <w:tr w:rsidR="00FF35EA" w:rsidRPr="004D2A2D" w:rsidTr="00C9050E">
        <w:trPr>
          <w:trHeight w:val="610"/>
        </w:trPr>
        <w:tc>
          <w:tcPr>
            <w:tcW w:w="1185" w:type="pct"/>
            <w:tcBorders>
              <w:top w:val="single" w:sz="4" w:space="0" w:color="auto"/>
              <w:left w:val="single" w:sz="4" w:space="0" w:color="auto"/>
              <w:bottom w:val="single" w:sz="4" w:space="0" w:color="auto"/>
              <w:right w:val="single" w:sz="4" w:space="0" w:color="auto"/>
            </w:tcBorders>
            <w:hideMark/>
          </w:tcPr>
          <w:p w:rsidR="00FF35EA" w:rsidRPr="004D2A2D" w:rsidRDefault="00FF35EA" w:rsidP="00FF35EA">
            <w:pPr>
              <w:keepNext/>
              <w:keepLines/>
              <w:spacing w:line="480" w:lineRule="auto"/>
              <w:rPr>
                <w:rFonts w:ascii="Times New Roman" w:eastAsia="Times New Roman" w:hAnsi="Times New Roman"/>
                <w:b/>
                <w:sz w:val="20"/>
                <w:szCs w:val="20"/>
              </w:rPr>
            </w:pPr>
            <w:r w:rsidRPr="004D2A2D">
              <w:rPr>
                <w:rFonts w:ascii="Times New Roman" w:eastAsia="Times New Roman" w:hAnsi="Times New Roman"/>
                <w:b/>
                <w:sz w:val="20"/>
                <w:szCs w:val="20"/>
              </w:rPr>
              <w:t xml:space="preserve">Monthly other </w:t>
            </w:r>
            <w:proofErr w:type="spellStart"/>
            <w:r w:rsidRPr="004D2A2D">
              <w:rPr>
                <w:rFonts w:ascii="Times New Roman" w:eastAsia="Times New Roman" w:hAnsi="Times New Roman"/>
                <w:b/>
                <w:sz w:val="20"/>
                <w:szCs w:val="20"/>
              </w:rPr>
              <w:t>costs</w:t>
            </w:r>
            <w:r w:rsidRPr="004D2A2D">
              <w:rPr>
                <w:rFonts w:ascii="Times New Roman" w:eastAsia="Times New Roman" w:hAnsi="Times New Roman"/>
                <w:b/>
                <w:sz w:val="20"/>
                <w:szCs w:val="20"/>
                <w:vertAlign w:val="superscript"/>
              </w:rPr>
              <w:t>b</w:t>
            </w:r>
            <w:proofErr w:type="spellEnd"/>
            <w:r w:rsidRPr="004D2A2D">
              <w:rPr>
                <w:rFonts w:ascii="Times New Roman" w:eastAsia="Times New Roman" w:hAnsi="Times New Roman"/>
                <w:b/>
                <w:sz w:val="20"/>
                <w:szCs w:val="20"/>
              </w:rPr>
              <w:t xml:space="preserve">, $, </w:t>
            </w:r>
            <w:proofErr w:type="spellStart"/>
            <w:r w:rsidRPr="004D2A2D">
              <w:rPr>
                <w:rFonts w:ascii="Times New Roman" w:eastAsia="Times New Roman" w:hAnsi="Times New Roman"/>
                <w:b/>
                <w:sz w:val="20"/>
                <w:szCs w:val="20"/>
              </w:rPr>
              <w:t>mean±SD</w:t>
            </w:r>
            <w:proofErr w:type="spellEnd"/>
          </w:p>
        </w:tc>
        <w:tc>
          <w:tcPr>
            <w:tcW w:w="986" w:type="pct"/>
            <w:tcBorders>
              <w:top w:val="single" w:sz="4" w:space="0" w:color="auto"/>
              <w:left w:val="single" w:sz="4" w:space="0" w:color="auto"/>
              <w:bottom w:val="single" w:sz="4" w:space="0" w:color="auto"/>
              <w:right w:val="single" w:sz="4" w:space="0" w:color="auto"/>
            </w:tcBorders>
            <w:hideMark/>
          </w:tcPr>
          <w:p w:rsidR="00FF35EA" w:rsidRPr="004D2A2D" w:rsidRDefault="00FF35EA" w:rsidP="00FF35EA">
            <w:pPr>
              <w:keepNext/>
              <w:keepLines/>
              <w:spacing w:line="480" w:lineRule="auto"/>
              <w:jc w:val="center"/>
              <w:rPr>
                <w:rFonts w:ascii="Times New Roman" w:eastAsia="Times New Roman" w:hAnsi="Times New Roman"/>
                <w:sz w:val="20"/>
                <w:szCs w:val="20"/>
              </w:rPr>
            </w:pPr>
            <w:r w:rsidRPr="004D2A2D">
              <w:rPr>
                <w:rFonts w:ascii="Times New Roman" w:eastAsia="Times New Roman" w:hAnsi="Times New Roman"/>
                <w:b/>
                <w:sz w:val="20"/>
                <w:szCs w:val="20"/>
              </w:rPr>
              <w:t>5,939.39±11,482.57</w:t>
            </w:r>
          </w:p>
        </w:tc>
        <w:tc>
          <w:tcPr>
            <w:tcW w:w="920" w:type="pct"/>
            <w:tcBorders>
              <w:top w:val="single" w:sz="4" w:space="0" w:color="auto"/>
              <w:left w:val="single" w:sz="4" w:space="0" w:color="auto"/>
              <w:bottom w:val="single" w:sz="4" w:space="0" w:color="auto"/>
              <w:right w:val="single" w:sz="4" w:space="0" w:color="auto"/>
            </w:tcBorders>
            <w:hideMark/>
          </w:tcPr>
          <w:p w:rsidR="00FF35EA" w:rsidRPr="004D2A2D" w:rsidRDefault="00FF35EA" w:rsidP="00FF35EA">
            <w:pPr>
              <w:keepNext/>
              <w:keepLines/>
              <w:spacing w:line="480" w:lineRule="auto"/>
              <w:jc w:val="center"/>
              <w:rPr>
                <w:rFonts w:ascii="Times New Roman" w:eastAsia="Times New Roman" w:hAnsi="Times New Roman"/>
                <w:sz w:val="20"/>
                <w:szCs w:val="20"/>
              </w:rPr>
            </w:pPr>
            <w:r w:rsidRPr="004D2A2D">
              <w:rPr>
                <w:rFonts w:ascii="Times New Roman" w:eastAsia="Times New Roman" w:hAnsi="Times New Roman"/>
                <w:b/>
                <w:sz w:val="20"/>
                <w:szCs w:val="20"/>
              </w:rPr>
              <w:t>6,743.95±10,590.52</w:t>
            </w:r>
          </w:p>
        </w:tc>
        <w:tc>
          <w:tcPr>
            <w:tcW w:w="1010" w:type="pct"/>
            <w:tcBorders>
              <w:top w:val="single" w:sz="4" w:space="0" w:color="auto"/>
              <w:left w:val="single" w:sz="4" w:space="0" w:color="auto"/>
              <w:bottom w:val="single" w:sz="4" w:space="0" w:color="auto"/>
              <w:right w:val="single" w:sz="4" w:space="0" w:color="auto"/>
            </w:tcBorders>
            <w:hideMark/>
          </w:tcPr>
          <w:p w:rsidR="00FF35EA" w:rsidRPr="004D2A2D" w:rsidRDefault="00FF35EA" w:rsidP="00FF35EA">
            <w:pPr>
              <w:keepNext/>
              <w:keepLines/>
              <w:spacing w:line="480" w:lineRule="auto"/>
              <w:jc w:val="center"/>
              <w:rPr>
                <w:rFonts w:ascii="Times New Roman" w:eastAsia="Times New Roman" w:hAnsi="Times New Roman"/>
                <w:sz w:val="20"/>
                <w:szCs w:val="20"/>
              </w:rPr>
            </w:pPr>
            <w:r w:rsidRPr="004D2A2D">
              <w:rPr>
                <w:rFonts w:ascii="Times New Roman" w:eastAsia="Times New Roman" w:hAnsi="Times New Roman"/>
                <w:b/>
                <w:sz w:val="20"/>
                <w:szCs w:val="20"/>
              </w:rPr>
              <w:t>3,891.56±9,006.24</w:t>
            </w:r>
          </w:p>
        </w:tc>
        <w:tc>
          <w:tcPr>
            <w:tcW w:w="899" w:type="pct"/>
            <w:tcBorders>
              <w:top w:val="single" w:sz="4" w:space="0" w:color="auto"/>
              <w:left w:val="single" w:sz="4" w:space="0" w:color="auto"/>
              <w:bottom w:val="single" w:sz="4" w:space="0" w:color="auto"/>
              <w:right w:val="single" w:sz="4" w:space="0" w:color="auto"/>
            </w:tcBorders>
            <w:hideMark/>
          </w:tcPr>
          <w:p w:rsidR="00FF35EA" w:rsidRPr="004D2A2D" w:rsidRDefault="00FF35EA" w:rsidP="00FF35EA">
            <w:pPr>
              <w:keepNext/>
              <w:keepLines/>
              <w:spacing w:line="480" w:lineRule="auto"/>
              <w:jc w:val="center"/>
              <w:rPr>
                <w:rFonts w:ascii="Times New Roman" w:eastAsia="Times New Roman" w:hAnsi="Times New Roman"/>
                <w:sz w:val="20"/>
                <w:szCs w:val="20"/>
              </w:rPr>
            </w:pPr>
            <w:r w:rsidRPr="004D2A2D">
              <w:rPr>
                <w:rFonts w:ascii="Times New Roman" w:eastAsia="Times New Roman" w:hAnsi="Times New Roman"/>
                <w:b/>
                <w:sz w:val="20"/>
                <w:szCs w:val="20"/>
              </w:rPr>
              <w:t>3,638.25±6,856.97</w:t>
            </w:r>
          </w:p>
        </w:tc>
      </w:tr>
      <w:tr w:rsidR="00FF35EA" w:rsidRPr="004D2A2D" w:rsidTr="00C9050E">
        <w:trPr>
          <w:trHeight w:val="610"/>
        </w:trPr>
        <w:tc>
          <w:tcPr>
            <w:tcW w:w="1185" w:type="pct"/>
            <w:tcBorders>
              <w:top w:val="single" w:sz="4" w:space="0" w:color="auto"/>
              <w:left w:val="single" w:sz="4" w:space="0" w:color="auto"/>
              <w:bottom w:val="single" w:sz="4" w:space="0" w:color="auto"/>
              <w:right w:val="single" w:sz="4" w:space="0" w:color="auto"/>
            </w:tcBorders>
            <w:hideMark/>
          </w:tcPr>
          <w:p w:rsidR="00FF35EA" w:rsidRPr="004D2A2D" w:rsidRDefault="00FF35EA" w:rsidP="00FF35EA">
            <w:pPr>
              <w:keepNext/>
              <w:keepLines/>
              <w:spacing w:line="480" w:lineRule="auto"/>
              <w:rPr>
                <w:rFonts w:ascii="Times New Roman" w:eastAsia="Times New Roman" w:hAnsi="Times New Roman"/>
                <w:b/>
                <w:sz w:val="20"/>
                <w:szCs w:val="20"/>
              </w:rPr>
            </w:pPr>
            <w:r w:rsidRPr="004D2A2D">
              <w:rPr>
                <w:rFonts w:ascii="Times New Roman" w:eastAsia="Times New Roman" w:hAnsi="Times New Roman"/>
                <w:b/>
                <w:sz w:val="20"/>
                <w:szCs w:val="20"/>
              </w:rPr>
              <w:t xml:space="preserve">Adverse event–related </w:t>
            </w:r>
            <w:proofErr w:type="spellStart"/>
            <w:r w:rsidRPr="004D2A2D">
              <w:rPr>
                <w:rFonts w:ascii="Times New Roman" w:eastAsia="Times New Roman" w:hAnsi="Times New Roman"/>
                <w:b/>
                <w:sz w:val="20"/>
                <w:szCs w:val="20"/>
              </w:rPr>
              <w:t>cost</w:t>
            </w:r>
            <w:r w:rsidRPr="004D2A2D">
              <w:rPr>
                <w:rFonts w:ascii="Times New Roman" w:eastAsia="Times New Roman" w:hAnsi="Times New Roman"/>
                <w:b/>
                <w:sz w:val="20"/>
                <w:szCs w:val="20"/>
                <w:vertAlign w:val="superscript"/>
              </w:rPr>
              <w:t>c</w:t>
            </w:r>
            <w:proofErr w:type="spellEnd"/>
            <w:r w:rsidRPr="004D2A2D">
              <w:rPr>
                <w:rFonts w:ascii="Times New Roman" w:eastAsia="Times New Roman" w:hAnsi="Times New Roman"/>
                <w:b/>
                <w:sz w:val="20"/>
                <w:szCs w:val="20"/>
              </w:rPr>
              <w:t xml:space="preserve">, $, </w:t>
            </w:r>
            <w:proofErr w:type="spellStart"/>
            <w:r w:rsidRPr="004D2A2D">
              <w:rPr>
                <w:rFonts w:ascii="Times New Roman" w:eastAsia="Times New Roman" w:hAnsi="Times New Roman"/>
                <w:b/>
                <w:sz w:val="20"/>
                <w:szCs w:val="20"/>
              </w:rPr>
              <w:t>mean±SD</w:t>
            </w:r>
            <w:proofErr w:type="spellEnd"/>
          </w:p>
        </w:tc>
        <w:tc>
          <w:tcPr>
            <w:tcW w:w="986" w:type="pct"/>
            <w:tcBorders>
              <w:top w:val="single" w:sz="4" w:space="0" w:color="auto"/>
              <w:left w:val="single" w:sz="4" w:space="0" w:color="auto"/>
              <w:bottom w:val="single" w:sz="4" w:space="0" w:color="auto"/>
              <w:right w:val="single" w:sz="4" w:space="0" w:color="auto"/>
            </w:tcBorders>
            <w:hideMark/>
          </w:tcPr>
          <w:p w:rsidR="00FF35EA" w:rsidRPr="004D2A2D" w:rsidRDefault="00FF35EA" w:rsidP="00FF35EA">
            <w:pPr>
              <w:keepNext/>
              <w:keepLines/>
              <w:spacing w:line="480" w:lineRule="auto"/>
              <w:jc w:val="center"/>
              <w:rPr>
                <w:rFonts w:ascii="Times New Roman" w:eastAsia="Times New Roman" w:hAnsi="Times New Roman"/>
                <w:sz w:val="20"/>
                <w:szCs w:val="20"/>
              </w:rPr>
            </w:pPr>
            <w:r w:rsidRPr="004D2A2D">
              <w:rPr>
                <w:rFonts w:ascii="Times New Roman" w:eastAsia="Times New Roman" w:hAnsi="Times New Roman"/>
                <w:sz w:val="20"/>
                <w:szCs w:val="20"/>
              </w:rPr>
              <w:t>17,618.29±32,804.57</w:t>
            </w:r>
          </w:p>
        </w:tc>
        <w:tc>
          <w:tcPr>
            <w:tcW w:w="920" w:type="pct"/>
            <w:tcBorders>
              <w:top w:val="single" w:sz="4" w:space="0" w:color="auto"/>
              <w:left w:val="single" w:sz="4" w:space="0" w:color="auto"/>
              <w:bottom w:val="single" w:sz="4" w:space="0" w:color="auto"/>
              <w:right w:val="single" w:sz="4" w:space="0" w:color="auto"/>
            </w:tcBorders>
            <w:hideMark/>
          </w:tcPr>
          <w:p w:rsidR="00FF35EA" w:rsidRPr="004D2A2D" w:rsidRDefault="00FF35EA" w:rsidP="00FF35EA">
            <w:pPr>
              <w:keepNext/>
              <w:keepLines/>
              <w:spacing w:line="480" w:lineRule="auto"/>
              <w:jc w:val="center"/>
              <w:rPr>
                <w:rFonts w:ascii="Times New Roman" w:eastAsia="Times New Roman" w:hAnsi="Times New Roman"/>
                <w:sz w:val="20"/>
                <w:szCs w:val="20"/>
              </w:rPr>
            </w:pPr>
            <w:r w:rsidRPr="004D2A2D">
              <w:rPr>
                <w:rFonts w:ascii="Times New Roman" w:eastAsia="Times New Roman" w:hAnsi="Times New Roman"/>
                <w:sz w:val="20"/>
                <w:szCs w:val="20"/>
              </w:rPr>
              <w:t>16,901.28±25,765.38</w:t>
            </w:r>
          </w:p>
        </w:tc>
        <w:tc>
          <w:tcPr>
            <w:tcW w:w="1010" w:type="pct"/>
            <w:tcBorders>
              <w:top w:val="single" w:sz="4" w:space="0" w:color="auto"/>
              <w:left w:val="single" w:sz="4" w:space="0" w:color="auto"/>
              <w:bottom w:val="single" w:sz="4" w:space="0" w:color="auto"/>
              <w:right w:val="single" w:sz="4" w:space="0" w:color="auto"/>
            </w:tcBorders>
            <w:hideMark/>
          </w:tcPr>
          <w:p w:rsidR="00FF35EA" w:rsidRPr="004D2A2D" w:rsidRDefault="00FF35EA" w:rsidP="00FF35EA">
            <w:pPr>
              <w:keepNext/>
              <w:keepLines/>
              <w:spacing w:line="480" w:lineRule="auto"/>
              <w:jc w:val="center"/>
              <w:rPr>
                <w:rFonts w:ascii="Times New Roman" w:eastAsia="Times New Roman" w:hAnsi="Times New Roman"/>
                <w:sz w:val="20"/>
                <w:szCs w:val="20"/>
              </w:rPr>
            </w:pPr>
            <w:r w:rsidRPr="004D2A2D">
              <w:rPr>
                <w:rFonts w:ascii="Times New Roman" w:eastAsia="Times New Roman" w:hAnsi="Times New Roman"/>
                <w:sz w:val="20"/>
                <w:szCs w:val="20"/>
              </w:rPr>
              <w:t>7,806.70±18,664.27</w:t>
            </w:r>
          </w:p>
        </w:tc>
        <w:tc>
          <w:tcPr>
            <w:tcW w:w="899" w:type="pct"/>
            <w:tcBorders>
              <w:top w:val="single" w:sz="4" w:space="0" w:color="auto"/>
              <w:left w:val="single" w:sz="4" w:space="0" w:color="auto"/>
              <w:bottom w:val="single" w:sz="4" w:space="0" w:color="auto"/>
              <w:right w:val="single" w:sz="4" w:space="0" w:color="auto"/>
            </w:tcBorders>
            <w:hideMark/>
          </w:tcPr>
          <w:p w:rsidR="00FF35EA" w:rsidRPr="004D2A2D" w:rsidRDefault="00FF35EA" w:rsidP="00FF35EA">
            <w:pPr>
              <w:keepNext/>
              <w:keepLines/>
              <w:spacing w:line="480" w:lineRule="auto"/>
              <w:jc w:val="center"/>
              <w:rPr>
                <w:rFonts w:ascii="Times New Roman" w:eastAsia="Times New Roman" w:hAnsi="Times New Roman"/>
                <w:sz w:val="20"/>
                <w:szCs w:val="20"/>
              </w:rPr>
            </w:pPr>
            <w:r w:rsidRPr="004D2A2D">
              <w:rPr>
                <w:rFonts w:ascii="Times New Roman" w:eastAsia="Times New Roman" w:hAnsi="Times New Roman"/>
                <w:sz w:val="20"/>
                <w:szCs w:val="20"/>
              </w:rPr>
              <w:t>4,045.76±8,470.69</w:t>
            </w:r>
          </w:p>
        </w:tc>
      </w:tr>
      <w:tr w:rsidR="00FF35EA" w:rsidRPr="004D2A2D" w:rsidTr="00C9050E">
        <w:trPr>
          <w:trHeight w:val="610"/>
        </w:trPr>
        <w:tc>
          <w:tcPr>
            <w:tcW w:w="1185" w:type="pct"/>
            <w:tcBorders>
              <w:top w:val="single" w:sz="4" w:space="0" w:color="auto"/>
              <w:left w:val="single" w:sz="4" w:space="0" w:color="auto"/>
              <w:bottom w:val="single" w:sz="4" w:space="0" w:color="auto"/>
              <w:right w:val="single" w:sz="4" w:space="0" w:color="auto"/>
            </w:tcBorders>
            <w:hideMark/>
          </w:tcPr>
          <w:p w:rsidR="00FF35EA" w:rsidRPr="004D2A2D" w:rsidRDefault="00FF35EA" w:rsidP="00FF35EA">
            <w:pPr>
              <w:keepNext/>
              <w:keepLines/>
              <w:spacing w:line="480" w:lineRule="auto"/>
              <w:rPr>
                <w:rFonts w:ascii="Times New Roman" w:eastAsia="Times New Roman" w:hAnsi="Times New Roman"/>
                <w:b/>
                <w:sz w:val="20"/>
                <w:szCs w:val="20"/>
              </w:rPr>
            </w:pPr>
            <w:r w:rsidRPr="004D2A2D">
              <w:rPr>
                <w:rFonts w:ascii="Times New Roman" w:eastAsia="Times New Roman" w:hAnsi="Times New Roman"/>
                <w:b/>
                <w:sz w:val="20"/>
                <w:szCs w:val="20"/>
              </w:rPr>
              <w:t xml:space="preserve">Hospitalization cost, $, </w:t>
            </w:r>
            <w:proofErr w:type="spellStart"/>
            <w:r w:rsidRPr="004D2A2D">
              <w:rPr>
                <w:rFonts w:ascii="Times New Roman" w:eastAsia="Times New Roman" w:hAnsi="Times New Roman"/>
                <w:b/>
                <w:sz w:val="20"/>
                <w:szCs w:val="20"/>
              </w:rPr>
              <w:t>mean±SD</w:t>
            </w:r>
            <w:proofErr w:type="spellEnd"/>
          </w:p>
        </w:tc>
        <w:tc>
          <w:tcPr>
            <w:tcW w:w="986" w:type="pct"/>
            <w:tcBorders>
              <w:top w:val="single" w:sz="4" w:space="0" w:color="auto"/>
              <w:left w:val="single" w:sz="4" w:space="0" w:color="auto"/>
              <w:bottom w:val="single" w:sz="4" w:space="0" w:color="auto"/>
              <w:right w:val="single" w:sz="4" w:space="0" w:color="auto"/>
            </w:tcBorders>
            <w:hideMark/>
          </w:tcPr>
          <w:p w:rsidR="00FF35EA" w:rsidRPr="004D2A2D" w:rsidRDefault="00FF35EA" w:rsidP="00FF35EA">
            <w:pPr>
              <w:keepNext/>
              <w:keepLines/>
              <w:spacing w:line="480" w:lineRule="auto"/>
              <w:jc w:val="center"/>
              <w:rPr>
                <w:rFonts w:ascii="Times New Roman" w:eastAsia="Times New Roman" w:hAnsi="Times New Roman"/>
                <w:sz w:val="20"/>
                <w:szCs w:val="20"/>
              </w:rPr>
            </w:pPr>
            <w:r w:rsidRPr="004D2A2D">
              <w:rPr>
                <w:rFonts w:ascii="Times New Roman" w:eastAsia="Times New Roman" w:hAnsi="Times New Roman"/>
                <w:sz w:val="20"/>
                <w:szCs w:val="20"/>
              </w:rPr>
              <w:t>16,071.19±31,775.90</w:t>
            </w:r>
          </w:p>
        </w:tc>
        <w:tc>
          <w:tcPr>
            <w:tcW w:w="920" w:type="pct"/>
            <w:tcBorders>
              <w:top w:val="single" w:sz="4" w:space="0" w:color="auto"/>
              <w:left w:val="single" w:sz="4" w:space="0" w:color="auto"/>
              <w:bottom w:val="single" w:sz="4" w:space="0" w:color="auto"/>
              <w:right w:val="single" w:sz="4" w:space="0" w:color="auto"/>
            </w:tcBorders>
            <w:hideMark/>
          </w:tcPr>
          <w:p w:rsidR="00FF35EA" w:rsidRPr="004D2A2D" w:rsidRDefault="00FF35EA" w:rsidP="00FF35EA">
            <w:pPr>
              <w:keepNext/>
              <w:keepLines/>
              <w:spacing w:line="480" w:lineRule="auto"/>
              <w:jc w:val="center"/>
              <w:rPr>
                <w:rFonts w:ascii="Times New Roman" w:eastAsia="Times New Roman" w:hAnsi="Times New Roman"/>
                <w:sz w:val="20"/>
                <w:szCs w:val="20"/>
              </w:rPr>
            </w:pPr>
            <w:r w:rsidRPr="004D2A2D">
              <w:rPr>
                <w:rFonts w:ascii="Times New Roman" w:eastAsia="Times New Roman" w:hAnsi="Times New Roman"/>
                <w:sz w:val="20"/>
                <w:szCs w:val="20"/>
              </w:rPr>
              <w:t>14,395.61±24,578.96</w:t>
            </w:r>
          </w:p>
        </w:tc>
        <w:tc>
          <w:tcPr>
            <w:tcW w:w="1010" w:type="pct"/>
            <w:tcBorders>
              <w:top w:val="single" w:sz="4" w:space="0" w:color="auto"/>
              <w:left w:val="single" w:sz="4" w:space="0" w:color="auto"/>
              <w:bottom w:val="single" w:sz="4" w:space="0" w:color="auto"/>
              <w:right w:val="single" w:sz="4" w:space="0" w:color="auto"/>
            </w:tcBorders>
            <w:hideMark/>
          </w:tcPr>
          <w:p w:rsidR="00FF35EA" w:rsidRPr="004D2A2D" w:rsidRDefault="00FF35EA" w:rsidP="00FF35EA">
            <w:pPr>
              <w:keepNext/>
              <w:keepLines/>
              <w:spacing w:line="480" w:lineRule="auto"/>
              <w:jc w:val="center"/>
              <w:rPr>
                <w:rFonts w:ascii="Times New Roman" w:eastAsia="Times New Roman" w:hAnsi="Times New Roman"/>
                <w:b/>
                <w:sz w:val="20"/>
                <w:szCs w:val="20"/>
              </w:rPr>
            </w:pPr>
            <w:r w:rsidRPr="004D2A2D">
              <w:rPr>
                <w:rFonts w:ascii="Times New Roman" w:eastAsia="Times New Roman" w:hAnsi="Times New Roman"/>
                <w:b/>
                <w:sz w:val="20"/>
                <w:szCs w:val="20"/>
              </w:rPr>
              <w:t>6,924.14±17,870.17</w:t>
            </w:r>
          </w:p>
        </w:tc>
        <w:tc>
          <w:tcPr>
            <w:tcW w:w="899" w:type="pct"/>
            <w:tcBorders>
              <w:top w:val="single" w:sz="4" w:space="0" w:color="auto"/>
              <w:left w:val="single" w:sz="4" w:space="0" w:color="auto"/>
              <w:bottom w:val="single" w:sz="4" w:space="0" w:color="auto"/>
              <w:right w:val="single" w:sz="4" w:space="0" w:color="auto"/>
            </w:tcBorders>
            <w:hideMark/>
          </w:tcPr>
          <w:p w:rsidR="00FF35EA" w:rsidRPr="004D2A2D" w:rsidRDefault="00FF35EA" w:rsidP="00FF35EA">
            <w:pPr>
              <w:keepNext/>
              <w:keepLines/>
              <w:spacing w:line="480" w:lineRule="auto"/>
              <w:jc w:val="center"/>
              <w:rPr>
                <w:rFonts w:ascii="Times New Roman" w:eastAsia="Times New Roman" w:hAnsi="Times New Roman"/>
                <w:b/>
                <w:sz w:val="20"/>
                <w:szCs w:val="20"/>
              </w:rPr>
            </w:pPr>
            <w:r w:rsidRPr="004D2A2D">
              <w:rPr>
                <w:rFonts w:ascii="Times New Roman" w:eastAsia="Times New Roman" w:hAnsi="Times New Roman"/>
                <w:b/>
                <w:sz w:val="20"/>
                <w:szCs w:val="20"/>
              </w:rPr>
              <w:t>2,524.46±7,158.77</w:t>
            </w:r>
          </w:p>
        </w:tc>
      </w:tr>
      <w:tr w:rsidR="00FF35EA" w:rsidRPr="004D2A2D" w:rsidTr="00C9050E">
        <w:trPr>
          <w:trHeight w:val="610"/>
        </w:trPr>
        <w:tc>
          <w:tcPr>
            <w:tcW w:w="1185" w:type="pct"/>
            <w:tcBorders>
              <w:top w:val="single" w:sz="4" w:space="0" w:color="auto"/>
              <w:left w:val="single" w:sz="4" w:space="0" w:color="auto"/>
              <w:bottom w:val="single" w:sz="4" w:space="0" w:color="auto"/>
              <w:right w:val="single" w:sz="4" w:space="0" w:color="auto"/>
            </w:tcBorders>
            <w:hideMark/>
          </w:tcPr>
          <w:p w:rsidR="00FF35EA" w:rsidRPr="004D2A2D" w:rsidRDefault="00FF35EA" w:rsidP="00FF35EA">
            <w:pPr>
              <w:keepNext/>
              <w:keepLines/>
              <w:spacing w:line="480" w:lineRule="auto"/>
              <w:rPr>
                <w:rFonts w:ascii="Times New Roman" w:eastAsia="Times New Roman" w:hAnsi="Times New Roman"/>
                <w:b/>
                <w:sz w:val="20"/>
                <w:szCs w:val="20"/>
              </w:rPr>
            </w:pPr>
            <w:r w:rsidRPr="004D2A2D">
              <w:rPr>
                <w:rFonts w:ascii="Times New Roman" w:eastAsia="Times New Roman" w:hAnsi="Times New Roman"/>
                <w:b/>
                <w:sz w:val="20"/>
                <w:szCs w:val="20"/>
              </w:rPr>
              <w:t xml:space="preserve">Radiotherapy cost, $, </w:t>
            </w:r>
            <w:proofErr w:type="spellStart"/>
            <w:r w:rsidRPr="004D2A2D">
              <w:rPr>
                <w:rFonts w:ascii="Times New Roman" w:eastAsia="Times New Roman" w:hAnsi="Times New Roman"/>
                <w:b/>
                <w:sz w:val="20"/>
                <w:szCs w:val="20"/>
              </w:rPr>
              <w:t>mean±SD</w:t>
            </w:r>
            <w:proofErr w:type="spellEnd"/>
          </w:p>
        </w:tc>
        <w:tc>
          <w:tcPr>
            <w:tcW w:w="986" w:type="pct"/>
            <w:tcBorders>
              <w:top w:val="single" w:sz="4" w:space="0" w:color="auto"/>
              <w:left w:val="single" w:sz="4" w:space="0" w:color="auto"/>
              <w:bottom w:val="single" w:sz="4" w:space="0" w:color="auto"/>
              <w:right w:val="single" w:sz="4" w:space="0" w:color="auto"/>
            </w:tcBorders>
            <w:hideMark/>
          </w:tcPr>
          <w:p w:rsidR="00FF35EA" w:rsidRPr="004D2A2D" w:rsidRDefault="00FF35EA" w:rsidP="00FF35EA">
            <w:pPr>
              <w:keepNext/>
              <w:keepLines/>
              <w:spacing w:line="480" w:lineRule="auto"/>
              <w:jc w:val="center"/>
              <w:rPr>
                <w:rFonts w:ascii="Times New Roman" w:eastAsia="Times New Roman" w:hAnsi="Times New Roman"/>
                <w:sz w:val="20"/>
                <w:szCs w:val="20"/>
              </w:rPr>
            </w:pPr>
            <w:r w:rsidRPr="004D2A2D">
              <w:rPr>
                <w:rFonts w:ascii="Times New Roman" w:eastAsia="Times New Roman" w:hAnsi="Times New Roman"/>
                <w:sz w:val="20"/>
                <w:szCs w:val="20"/>
              </w:rPr>
              <w:t>485.86±108.03</w:t>
            </w:r>
          </w:p>
        </w:tc>
        <w:tc>
          <w:tcPr>
            <w:tcW w:w="920" w:type="pct"/>
            <w:tcBorders>
              <w:top w:val="single" w:sz="4" w:space="0" w:color="auto"/>
              <w:left w:val="single" w:sz="4" w:space="0" w:color="auto"/>
              <w:bottom w:val="single" w:sz="4" w:space="0" w:color="auto"/>
              <w:right w:val="single" w:sz="4" w:space="0" w:color="auto"/>
            </w:tcBorders>
            <w:hideMark/>
          </w:tcPr>
          <w:p w:rsidR="00FF35EA" w:rsidRPr="004D2A2D" w:rsidRDefault="00FF35EA" w:rsidP="00FF35EA">
            <w:pPr>
              <w:keepNext/>
              <w:keepLines/>
              <w:spacing w:line="480" w:lineRule="auto"/>
              <w:jc w:val="center"/>
              <w:rPr>
                <w:rFonts w:ascii="Times New Roman" w:eastAsia="Times New Roman" w:hAnsi="Times New Roman"/>
                <w:sz w:val="20"/>
                <w:szCs w:val="20"/>
              </w:rPr>
            </w:pPr>
            <w:r w:rsidRPr="004D2A2D">
              <w:rPr>
                <w:rFonts w:ascii="Times New Roman" w:eastAsia="Times New Roman" w:hAnsi="Times New Roman"/>
                <w:sz w:val="20"/>
                <w:szCs w:val="20"/>
              </w:rPr>
              <w:t>480.54±94.25</w:t>
            </w:r>
          </w:p>
        </w:tc>
        <w:tc>
          <w:tcPr>
            <w:tcW w:w="1010" w:type="pct"/>
            <w:tcBorders>
              <w:top w:val="single" w:sz="4" w:space="0" w:color="auto"/>
              <w:left w:val="single" w:sz="4" w:space="0" w:color="auto"/>
              <w:bottom w:val="single" w:sz="4" w:space="0" w:color="auto"/>
              <w:right w:val="single" w:sz="4" w:space="0" w:color="auto"/>
            </w:tcBorders>
            <w:hideMark/>
          </w:tcPr>
          <w:p w:rsidR="00FF35EA" w:rsidRPr="004D2A2D" w:rsidRDefault="00FF35EA" w:rsidP="00FF35EA">
            <w:pPr>
              <w:keepNext/>
              <w:keepLines/>
              <w:spacing w:line="480" w:lineRule="auto"/>
              <w:jc w:val="center"/>
              <w:rPr>
                <w:rFonts w:ascii="Times New Roman" w:eastAsia="Times New Roman" w:hAnsi="Times New Roman"/>
                <w:sz w:val="20"/>
                <w:szCs w:val="20"/>
              </w:rPr>
            </w:pPr>
            <w:r w:rsidRPr="004D2A2D">
              <w:rPr>
                <w:rFonts w:ascii="Times New Roman" w:eastAsia="Times New Roman" w:hAnsi="Times New Roman"/>
                <w:sz w:val="20"/>
                <w:szCs w:val="20"/>
              </w:rPr>
              <w:t>0.00±0.00</w:t>
            </w:r>
          </w:p>
        </w:tc>
        <w:tc>
          <w:tcPr>
            <w:tcW w:w="899" w:type="pct"/>
            <w:tcBorders>
              <w:top w:val="single" w:sz="4" w:space="0" w:color="auto"/>
              <w:left w:val="single" w:sz="4" w:space="0" w:color="auto"/>
              <w:bottom w:val="single" w:sz="4" w:space="0" w:color="auto"/>
              <w:right w:val="single" w:sz="4" w:space="0" w:color="auto"/>
            </w:tcBorders>
            <w:hideMark/>
          </w:tcPr>
          <w:p w:rsidR="00FF35EA" w:rsidRPr="004D2A2D" w:rsidRDefault="00FF35EA" w:rsidP="00FF35EA">
            <w:pPr>
              <w:keepNext/>
              <w:keepLines/>
              <w:spacing w:line="480" w:lineRule="auto"/>
              <w:jc w:val="center"/>
              <w:rPr>
                <w:rFonts w:ascii="Times New Roman" w:eastAsia="Times New Roman" w:hAnsi="Times New Roman"/>
                <w:sz w:val="20"/>
                <w:szCs w:val="20"/>
              </w:rPr>
            </w:pPr>
            <w:r w:rsidRPr="004D2A2D">
              <w:rPr>
                <w:rFonts w:ascii="Times New Roman" w:eastAsia="Times New Roman" w:hAnsi="Times New Roman"/>
                <w:sz w:val="20"/>
                <w:szCs w:val="20"/>
              </w:rPr>
              <w:t>0.00±0.00</w:t>
            </w:r>
          </w:p>
        </w:tc>
      </w:tr>
      <w:tr w:rsidR="00FF35EA" w:rsidRPr="004D2A2D" w:rsidTr="00C9050E">
        <w:trPr>
          <w:trHeight w:val="610"/>
        </w:trPr>
        <w:tc>
          <w:tcPr>
            <w:tcW w:w="1185" w:type="pct"/>
            <w:tcBorders>
              <w:top w:val="single" w:sz="4" w:space="0" w:color="auto"/>
              <w:left w:val="single" w:sz="4" w:space="0" w:color="auto"/>
              <w:bottom w:val="single" w:sz="4" w:space="0" w:color="auto"/>
              <w:right w:val="single" w:sz="4" w:space="0" w:color="auto"/>
            </w:tcBorders>
            <w:hideMark/>
          </w:tcPr>
          <w:p w:rsidR="00FF35EA" w:rsidRPr="004D2A2D" w:rsidRDefault="00FF35EA" w:rsidP="00FF35EA">
            <w:pPr>
              <w:keepNext/>
              <w:keepLines/>
              <w:spacing w:line="480" w:lineRule="auto"/>
              <w:rPr>
                <w:rFonts w:ascii="Times New Roman" w:eastAsia="Times New Roman" w:hAnsi="Times New Roman"/>
                <w:b/>
                <w:sz w:val="20"/>
                <w:szCs w:val="20"/>
              </w:rPr>
            </w:pPr>
            <w:r w:rsidRPr="004D2A2D">
              <w:rPr>
                <w:rFonts w:ascii="Times New Roman" w:eastAsia="Times New Roman" w:hAnsi="Times New Roman"/>
                <w:b/>
                <w:sz w:val="20"/>
                <w:szCs w:val="20"/>
              </w:rPr>
              <w:t xml:space="preserve">Supportive care </w:t>
            </w:r>
            <w:proofErr w:type="spellStart"/>
            <w:r w:rsidRPr="004D2A2D">
              <w:rPr>
                <w:rFonts w:ascii="Times New Roman" w:eastAsia="Times New Roman" w:hAnsi="Times New Roman"/>
                <w:b/>
                <w:sz w:val="20"/>
                <w:szCs w:val="20"/>
              </w:rPr>
              <w:t>cost</w:t>
            </w:r>
            <w:r w:rsidRPr="004D2A2D">
              <w:rPr>
                <w:rFonts w:ascii="Times New Roman" w:eastAsia="Times New Roman" w:hAnsi="Times New Roman"/>
                <w:b/>
                <w:sz w:val="20"/>
                <w:szCs w:val="20"/>
                <w:vertAlign w:val="superscript"/>
              </w:rPr>
              <w:t>d</w:t>
            </w:r>
            <w:proofErr w:type="spellEnd"/>
            <w:r w:rsidRPr="004D2A2D">
              <w:rPr>
                <w:rFonts w:ascii="Times New Roman" w:eastAsia="Times New Roman" w:hAnsi="Times New Roman"/>
                <w:b/>
                <w:sz w:val="20"/>
                <w:szCs w:val="20"/>
              </w:rPr>
              <w:t xml:space="preserve">, $, </w:t>
            </w:r>
            <w:proofErr w:type="spellStart"/>
            <w:r w:rsidRPr="004D2A2D">
              <w:rPr>
                <w:rFonts w:ascii="Times New Roman" w:eastAsia="Times New Roman" w:hAnsi="Times New Roman"/>
                <w:b/>
                <w:sz w:val="20"/>
                <w:szCs w:val="20"/>
              </w:rPr>
              <w:t>mean±SD</w:t>
            </w:r>
            <w:proofErr w:type="spellEnd"/>
          </w:p>
        </w:tc>
        <w:tc>
          <w:tcPr>
            <w:tcW w:w="986" w:type="pct"/>
            <w:tcBorders>
              <w:top w:val="single" w:sz="4" w:space="0" w:color="auto"/>
              <w:left w:val="single" w:sz="4" w:space="0" w:color="auto"/>
              <w:bottom w:val="single" w:sz="4" w:space="0" w:color="auto"/>
              <w:right w:val="single" w:sz="4" w:space="0" w:color="auto"/>
            </w:tcBorders>
            <w:hideMark/>
          </w:tcPr>
          <w:p w:rsidR="00FF35EA" w:rsidRPr="004D2A2D" w:rsidRDefault="00FF35EA" w:rsidP="00FF35EA">
            <w:pPr>
              <w:keepNext/>
              <w:keepLines/>
              <w:spacing w:line="480" w:lineRule="auto"/>
              <w:jc w:val="center"/>
              <w:rPr>
                <w:rFonts w:ascii="Times New Roman" w:eastAsia="Times New Roman" w:hAnsi="Times New Roman"/>
                <w:sz w:val="20"/>
                <w:szCs w:val="20"/>
              </w:rPr>
            </w:pPr>
            <w:r w:rsidRPr="004D2A2D">
              <w:rPr>
                <w:rFonts w:ascii="Times New Roman" w:eastAsia="Times New Roman" w:hAnsi="Times New Roman"/>
                <w:sz w:val="20"/>
                <w:szCs w:val="20"/>
              </w:rPr>
              <w:t>45.27±238.88</w:t>
            </w:r>
          </w:p>
        </w:tc>
        <w:tc>
          <w:tcPr>
            <w:tcW w:w="920" w:type="pct"/>
            <w:tcBorders>
              <w:top w:val="single" w:sz="4" w:space="0" w:color="auto"/>
              <w:left w:val="single" w:sz="4" w:space="0" w:color="auto"/>
              <w:bottom w:val="single" w:sz="4" w:space="0" w:color="auto"/>
              <w:right w:val="single" w:sz="4" w:space="0" w:color="auto"/>
            </w:tcBorders>
            <w:hideMark/>
          </w:tcPr>
          <w:p w:rsidR="00FF35EA" w:rsidRPr="004D2A2D" w:rsidRDefault="00FF35EA" w:rsidP="00FF35EA">
            <w:pPr>
              <w:keepNext/>
              <w:keepLines/>
              <w:spacing w:line="480" w:lineRule="auto"/>
              <w:jc w:val="center"/>
              <w:rPr>
                <w:rFonts w:ascii="Times New Roman" w:eastAsia="Times New Roman" w:hAnsi="Times New Roman"/>
                <w:sz w:val="20"/>
                <w:szCs w:val="20"/>
              </w:rPr>
            </w:pPr>
            <w:r w:rsidRPr="004D2A2D">
              <w:rPr>
                <w:rFonts w:ascii="Times New Roman" w:eastAsia="Times New Roman" w:hAnsi="Times New Roman"/>
                <w:sz w:val="20"/>
                <w:szCs w:val="20"/>
              </w:rPr>
              <w:t>45.87±212.73</w:t>
            </w:r>
          </w:p>
        </w:tc>
        <w:tc>
          <w:tcPr>
            <w:tcW w:w="1010" w:type="pct"/>
            <w:tcBorders>
              <w:top w:val="single" w:sz="4" w:space="0" w:color="auto"/>
              <w:left w:val="single" w:sz="4" w:space="0" w:color="auto"/>
              <w:bottom w:val="single" w:sz="4" w:space="0" w:color="auto"/>
              <w:right w:val="single" w:sz="4" w:space="0" w:color="auto"/>
            </w:tcBorders>
            <w:hideMark/>
          </w:tcPr>
          <w:p w:rsidR="00FF35EA" w:rsidRPr="004D2A2D" w:rsidRDefault="00FF35EA" w:rsidP="00FF35EA">
            <w:pPr>
              <w:keepNext/>
              <w:keepLines/>
              <w:spacing w:line="480" w:lineRule="auto"/>
              <w:jc w:val="center"/>
              <w:rPr>
                <w:rFonts w:ascii="Times New Roman" w:eastAsia="Times New Roman" w:hAnsi="Times New Roman"/>
                <w:sz w:val="20"/>
                <w:szCs w:val="20"/>
              </w:rPr>
            </w:pPr>
            <w:r w:rsidRPr="004D2A2D">
              <w:rPr>
                <w:rFonts w:ascii="Times New Roman" w:eastAsia="Times New Roman" w:hAnsi="Times New Roman"/>
                <w:sz w:val="20"/>
                <w:szCs w:val="20"/>
              </w:rPr>
              <w:t>37.04±219.98</w:t>
            </w:r>
          </w:p>
        </w:tc>
        <w:tc>
          <w:tcPr>
            <w:tcW w:w="899" w:type="pct"/>
            <w:tcBorders>
              <w:top w:val="single" w:sz="4" w:space="0" w:color="auto"/>
              <w:left w:val="single" w:sz="4" w:space="0" w:color="auto"/>
              <w:bottom w:val="single" w:sz="4" w:space="0" w:color="auto"/>
              <w:right w:val="single" w:sz="4" w:space="0" w:color="auto"/>
            </w:tcBorders>
            <w:hideMark/>
          </w:tcPr>
          <w:p w:rsidR="00FF35EA" w:rsidRPr="004D2A2D" w:rsidRDefault="00FF35EA" w:rsidP="00FF35EA">
            <w:pPr>
              <w:keepNext/>
              <w:keepLines/>
              <w:spacing w:line="480" w:lineRule="auto"/>
              <w:jc w:val="center"/>
              <w:rPr>
                <w:rFonts w:ascii="Times New Roman" w:eastAsia="Times New Roman" w:hAnsi="Times New Roman"/>
                <w:sz w:val="20"/>
                <w:szCs w:val="20"/>
              </w:rPr>
            </w:pPr>
            <w:r w:rsidRPr="004D2A2D">
              <w:rPr>
                <w:rFonts w:ascii="Times New Roman" w:eastAsia="Times New Roman" w:hAnsi="Times New Roman"/>
                <w:sz w:val="20"/>
                <w:szCs w:val="20"/>
              </w:rPr>
              <w:t>31.22±173.61</w:t>
            </w:r>
          </w:p>
        </w:tc>
      </w:tr>
      <w:tr w:rsidR="00FF35EA" w:rsidRPr="004D2A2D" w:rsidTr="00C9050E">
        <w:trPr>
          <w:trHeight w:val="610"/>
        </w:trPr>
        <w:tc>
          <w:tcPr>
            <w:tcW w:w="1185" w:type="pct"/>
            <w:tcBorders>
              <w:top w:val="single" w:sz="4" w:space="0" w:color="auto"/>
              <w:left w:val="single" w:sz="4" w:space="0" w:color="auto"/>
              <w:bottom w:val="single" w:sz="4" w:space="0" w:color="auto"/>
              <w:right w:val="single" w:sz="4" w:space="0" w:color="auto"/>
            </w:tcBorders>
            <w:hideMark/>
          </w:tcPr>
          <w:p w:rsidR="00FF35EA" w:rsidRPr="004D2A2D" w:rsidRDefault="00FF35EA" w:rsidP="00FF35EA">
            <w:pPr>
              <w:keepNext/>
              <w:keepLines/>
              <w:spacing w:line="480" w:lineRule="auto"/>
              <w:rPr>
                <w:rFonts w:ascii="Times New Roman" w:eastAsia="Times New Roman" w:hAnsi="Times New Roman"/>
                <w:b/>
                <w:sz w:val="20"/>
                <w:szCs w:val="20"/>
              </w:rPr>
            </w:pPr>
            <w:r w:rsidRPr="004D2A2D">
              <w:rPr>
                <w:rFonts w:ascii="Times New Roman" w:eastAsia="Times New Roman" w:hAnsi="Times New Roman"/>
                <w:b/>
                <w:sz w:val="20"/>
                <w:szCs w:val="20"/>
              </w:rPr>
              <w:lastRenderedPageBreak/>
              <w:t>Concomitant medication usage cost, $</w:t>
            </w:r>
          </w:p>
        </w:tc>
        <w:tc>
          <w:tcPr>
            <w:tcW w:w="986" w:type="pct"/>
            <w:tcBorders>
              <w:top w:val="single" w:sz="4" w:space="0" w:color="auto"/>
              <w:left w:val="single" w:sz="4" w:space="0" w:color="auto"/>
              <w:bottom w:val="single" w:sz="4" w:space="0" w:color="auto"/>
              <w:right w:val="single" w:sz="4" w:space="0" w:color="auto"/>
            </w:tcBorders>
            <w:hideMark/>
          </w:tcPr>
          <w:p w:rsidR="00FF35EA" w:rsidRPr="004D2A2D" w:rsidRDefault="00FF35EA" w:rsidP="00FF35EA">
            <w:pPr>
              <w:keepNext/>
              <w:keepLines/>
              <w:spacing w:line="480" w:lineRule="auto"/>
              <w:jc w:val="center"/>
              <w:rPr>
                <w:rFonts w:ascii="Times New Roman" w:eastAsia="Times New Roman" w:hAnsi="Times New Roman"/>
                <w:sz w:val="20"/>
                <w:szCs w:val="20"/>
              </w:rPr>
            </w:pPr>
            <w:r w:rsidRPr="004D2A2D">
              <w:rPr>
                <w:rFonts w:ascii="Times New Roman" w:eastAsia="Times New Roman" w:hAnsi="Times New Roman"/>
                <w:sz w:val="20"/>
                <w:szCs w:val="20"/>
              </w:rPr>
              <w:t>3,158.12±3,615.92</w:t>
            </w:r>
          </w:p>
        </w:tc>
        <w:tc>
          <w:tcPr>
            <w:tcW w:w="920" w:type="pct"/>
            <w:tcBorders>
              <w:top w:val="single" w:sz="4" w:space="0" w:color="auto"/>
              <w:left w:val="single" w:sz="4" w:space="0" w:color="auto"/>
              <w:bottom w:val="single" w:sz="4" w:space="0" w:color="auto"/>
              <w:right w:val="single" w:sz="4" w:space="0" w:color="auto"/>
            </w:tcBorders>
            <w:hideMark/>
          </w:tcPr>
          <w:p w:rsidR="00FF35EA" w:rsidRPr="004D2A2D" w:rsidRDefault="00FF35EA" w:rsidP="00FF35EA">
            <w:pPr>
              <w:keepNext/>
              <w:keepLines/>
              <w:spacing w:line="480" w:lineRule="auto"/>
              <w:jc w:val="center"/>
              <w:rPr>
                <w:rFonts w:ascii="Times New Roman" w:eastAsia="Times New Roman" w:hAnsi="Times New Roman"/>
                <w:sz w:val="20"/>
                <w:szCs w:val="20"/>
              </w:rPr>
            </w:pPr>
            <w:r w:rsidRPr="004D2A2D">
              <w:rPr>
                <w:rFonts w:ascii="Times New Roman" w:eastAsia="Times New Roman" w:hAnsi="Times New Roman"/>
                <w:sz w:val="20"/>
                <w:szCs w:val="20"/>
              </w:rPr>
              <w:t>4,238.32±5,242.10</w:t>
            </w:r>
          </w:p>
        </w:tc>
        <w:tc>
          <w:tcPr>
            <w:tcW w:w="1010" w:type="pct"/>
            <w:tcBorders>
              <w:top w:val="single" w:sz="4" w:space="0" w:color="auto"/>
              <w:left w:val="single" w:sz="4" w:space="0" w:color="auto"/>
              <w:bottom w:val="single" w:sz="4" w:space="0" w:color="auto"/>
              <w:right w:val="single" w:sz="4" w:space="0" w:color="auto"/>
            </w:tcBorders>
            <w:hideMark/>
          </w:tcPr>
          <w:p w:rsidR="00FF35EA" w:rsidRPr="004D2A2D" w:rsidRDefault="00FF35EA" w:rsidP="00FF35EA">
            <w:pPr>
              <w:keepNext/>
              <w:keepLines/>
              <w:spacing w:line="480" w:lineRule="auto"/>
              <w:jc w:val="center"/>
              <w:rPr>
                <w:rFonts w:ascii="Times New Roman" w:eastAsia="Times New Roman" w:hAnsi="Times New Roman"/>
                <w:b/>
                <w:sz w:val="20"/>
                <w:szCs w:val="20"/>
              </w:rPr>
            </w:pPr>
            <w:r w:rsidRPr="004D2A2D">
              <w:rPr>
                <w:rFonts w:ascii="Times New Roman" w:eastAsia="Times New Roman" w:hAnsi="Times New Roman"/>
                <w:b/>
                <w:sz w:val="20"/>
                <w:szCs w:val="20"/>
              </w:rPr>
              <w:t>1,384.79±2,731.71</w:t>
            </w:r>
          </w:p>
        </w:tc>
        <w:tc>
          <w:tcPr>
            <w:tcW w:w="899" w:type="pct"/>
            <w:tcBorders>
              <w:top w:val="single" w:sz="4" w:space="0" w:color="auto"/>
              <w:left w:val="single" w:sz="4" w:space="0" w:color="auto"/>
              <w:bottom w:val="single" w:sz="4" w:space="0" w:color="auto"/>
              <w:right w:val="single" w:sz="4" w:space="0" w:color="auto"/>
            </w:tcBorders>
            <w:hideMark/>
          </w:tcPr>
          <w:p w:rsidR="00FF35EA" w:rsidRPr="004D2A2D" w:rsidRDefault="00FF35EA" w:rsidP="00FF35EA">
            <w:pPr>
              <w:keepNext/>
              <w:keepLines/>
              <w:spacing w:line="480" w:lineRule="auto"/>
              <w:jc w:val="center"/>
              <w:rPr>
                <w:rFonts w:ascii="Times New Roman" w:eastAsia="Times New Roman" w:hAnsi="Times New Roman"/>
                <w:b/>
                <w:sz w:val="20"/>
                <w:szCs w:val="20"/>
              </w:rPr>
            </w:pPr>
            <w:r w:rsidRPr="004D2A2D">
              <w:rPr>
                <w:rFonts w:ascii="Times New Roman" w:eastAsia="Times New Roman" w:hAnsi="Times New Roman"/>
                <w:b/>
                <w:sz w:val="20"/>
                <w:szCs w:val="20"/>
              </w:rPr>
              <w:t>2,319.85±3,741.74</w:t>
            </w:r>
          </w:p>
        </w:tc>
      </w:tr>
      <w:tr w:rsidR="00FF35EA" w:rsidRPr="004D2A2D" w:rsidTr="00C9050E">
        <w:trPr>
          <w:trHeight w:val="610"/>
        </w:trPr>
        <w:tc>
          <w:tcPr>
            <w:tcW w:w="1185" w:type="pct"/>
            <w:tcBorders>
              <w:top w:val="single" w:sz="4" w:space="0" w:color="auto"/>
              <w:left w:val="single" w:sz="4" w:space="0" w:color="auto"/>
              <w:bottom w:val="single" w:sz="4" w:space="0" w:color="auto"/>
              <w:right w:val="single" w:sz="4" w:space="0" w:color="auto"/>
            </w:tcBorders>
            <w:hideMark/>
          </w:tcPr>
          <w:p w:rsidR="00FF35EA" w:rsidRPr="004D2A2D" w:rsidRDefault="00FF35EA" w:rsidP="00FF35EA">
            <w:pPr>
              <w:keepNext/>
              <w:keepLines/>
              <w:spacing w:line="480" w:lineRule="auto"/>
              <w:rPr>
                <w:rFonts w:ascii="Times New Roman" w:eastAsia="Times New Roman" w:hAnsi="Times New Roman"/>
                <w:b/>
                <w:sz w:val="20"/>
                <w:szCs w:val="20"/>
              </w:rPr>
            </w:pPr>
            <w:r w:rsidRPr="004D2A2D">
              <w:rPr>
                <w:rFonts w:ascii="Times New Roman" w:eastAsia="Times New Roman" w:hAnsi="Times New Roman"/>
                <w:b/>
                <w:sz w:val="20"/>
                <w:szCs w:val="20"/>
              </w:rPr>
              <w:t xml:space="preserve">Laboratory/evaluation/radiology visit cost, $, </w:t>
            </w:r>
            <w:proofErr w:type="spellStart"/>
            <w:r w:rsidRPr="004D2A2D">
              <w:rPr>
                <w:rFonts w:ascii="Times New Roman" w:eastAsia="Times New Roman" w:hAnsi="Times New Roman"/>
                <w:b/>
                <w:sz w:val="20"/>
                <w:szCs w:val="20"/>
              </w:rPr>
              <w:t>mean±SD</w:t>
            </w:r>
            <w:proofErr w:type="spellEnd"/>
          </w:p>
        </w:tc>
        <w:tc>
          <w:tcPr>
            <w:tcW w:w="986" w:type="pct"/>
            <w:tcBorders>
              <w:top w:val="single" w:sz="4" w:space="0" w:color="auto"/>
              <w:left w:val="single" w:sz="4" w:space="0" w:color="auto"/>
              <w:bottom w:val="single" w:sz="4" w:space="0" w:color="auto"/>
              <w:right w:val="single" w:sz="4" w:space="0" w:color="auto"/>
            </w:tcBorders>
            <w:hideMark/>
          </w:tcPr>
          <w:p w:rsidR="00FF35EA" w:rsidRPr="004D2A2D" w:rsidRDefault="00FF35EA" w:rsidP="00FF35EA">
            <w:pPr>
              <w:keepNext/>
              <w:keepLines/>
              <w:spacing w:line="480" w:lineRule="auto"/>
              <w:jc w:val="center"/>
              <w:rPr>
                <w:rFonts w:ascii="Times New Roman" w:eastAsia="Times New Roman" w:hAnsi="Times New Roman"/>
                <w:b/>
                <w:sz w:val="20"/>
                <w:szCs w:val="20"/>
              </w:rPr>
            </w:pPr>
            <w:r w:rsidRPr="004D2A2D">
              <w:rPr>
                <w:rFonts w:ascii="Times New Roman" w:eastAsia="Times New Roman" w:hAnsi="Times New Roman"/>
                <w:b/>
                <w:sz w:val="20"/>
                <w:szCs w:val="20"/>
              </w:rPr>
              <w:t>192.48±129.55</w:t>
            </w:r>
          </w:p>
        </w:tc>
        <w:tc>
          <w:tcPr>
            <w:tcW w:w="920" w:type="pct"/>
            <w:tcBorders>
              <w:top w:val="single" w:sz="4" w:space="0" w:color="auto"/>
              <w:left w:val="single" w:sz="4" w:space="0" w:color="auto"/>
              <w:bottom w:val="single" w:sz="4" w:space="0" w:color="auto"/>
              <w:right w:val="single" w:sz="4" w:space="0" w:color="auto"/>
            </w:tcBorders>
            <w:hideMark/>
          </w:tcPr>
          <w:p w:rsidR="00FF35EA" w:rsidRPr="004D2A2D" w:rsidRDefault="00FF35EA" w:rsidP="00FF35EA">
            <w:pPr>
              <w:keepNext/>
              <w:keepLines/>
              <w:spacing w:line="480" w:lineRule="auto"/>
              <w:jc w:val="center"/>
              <w:rPr>
                <w:rFonts w:ascii="Times New Roman" w:eastAsia="Times New Roman" w:hAnsi="Times New Roman"/>
                <w:b/>
                <w:sz w:val="20"/>
                <w:szCs w:val="20"/>
              </w:rPr>
            </w:pPr>
            <w:r w:rsidRPr="004D2A2D">
              <w:rPr>
                <w:rFonts w:ascii="Times New Roman" w:eastAsia="Times New Roman" w:hAnsi="Times New Roman"/>
                <w:b/>
                <w:sz w:val="20"/>
                <w:szCs w:val="20"/>
              </w:rPr>
              <w:t>161.20±126.16</w:t>
            </w:r>
          </w:p>
        </w:tc>
        <w:tc>
          <w:tcPr>
            <w:tcW w:w="1010" w:type="pct"/>
            <w:tcBorders>
              <w:top w:val="single" w:sz="4" w:space="0" w:color="auto"/>
              <w:left w:val="single" w:sz="4" w:space="0" w:color="auto"/>
              <w:bottom w:val="single" w:sz="4" w:space="0" w:color="auto"/>
              <w:right w:val="single" w:sz="4" w:space="0" w:color="auto"/>
            </w:tcBorders>
            <w:hideMark/>
          </w:tcPr>
          <w:p w:rsidR="00FF35EA" w:rsidRPr="004D2A2D" w:rsidRDefault="00FF35EA" w:rsidP="00FF35EA">
            <w:pPr>
              <w:keepNext/>
              <w:keepLines/>
              <w:spacing w:line="480" w:lineRule="auto"/>
              <w:jc w:val="center"/>
              <w:rPr>
                <w:rFonts w:ascii="Times New Roman" w:eastAsia="Times New Roman" w:hAnsi="Times New Roman"/>
                <w:b/>
                <w:sz w:val="20"/>
                <w:szCs w:val="20"/>
              </w:rPr>
            </w:pPr>
            <w:r w:rsidRPr="004D2A2D">
              <w:rPr>
                <w:rFonts w:ascii="Times New Roman" w:eastAsia="Times New Roman" w:hAnsi="Times New Roman"/>
                <w:b/>
                <w:sz w:val="20"/>
                <w:szCs w:val="20"/>
              </w:rPr>
              <w:t>120.59±125.09</w:t>
            </w:r>
          </w:p>
        </w:tc>
        <w:tc>
          <w:tcPr>
            <w:tcW w:w="899" w:type="pct"/>
            <w:tcBorders>
              <w:top w:val="single" w:sz="4" w:space="0" w:color="auto"/>
              <w:left w:val="single" w:sz="4" w:space="0" w:color="auto"/>
              <w:bottom w:val="single" w:sz="4" w:space="0" w:color="auto"/>
              <w:right w:val="single" w:sz="4" w:space="0" w:color="auto"/>
            </w:tcBorders>
            <w:hideMark/>
          </w:tcPr>
          <w:p w:rsidR="00FF35EA" w:rsidRPr="004D2A2D" w:rsidRDefault="00FF35EA" w:rsidP="00FF35EA">
            <w:pPr>
              <w:keepNext/>
              <w:keepLines/>
              <w:spacing w:line="480" w:lineRule="auto"/>
              <w:jc w:val="center"/>
              <w:rPr>
                <w:rFonts w:ascii="Times New Roman" w:eastAsia="Times New Roman" w:hAnsi="Times New Roman"/>
                <w:b/>
                <w:sz w:val="20"/>
                <w:szCs w:val="20"/>
              </w:rPr>
            </w:pPr>
            <w:r w:rsidRPr="004D2A2D">
              <w:rPr>
                <w:rFonts w:ascii="Times New Roman" w:eastAsia="Times New Roman" w:hAnsi="Times New Roman"/>
                <w:b/>
                <w:sz w:val="20"/>
                <w:szCs w:val="20"/>
              </w:rPr>
              <w:t>95.24±121.25</w:t>
            </w:r>
          </w:p>
        </w:tc>
      </w:tr>
      <w:tr w:rsidR="00FF35EA" w:rsidRPr="004D2A2D" w:rsidTr="00C9050E">
        <w:trPr>
          <w:trHeight w:val="610"/>
        </w:trPr>
        <w:tc>
          <w:tcPr>
            <w:tcW w:w="1185" w:type="pct"/>
            <w:tcBorders>
              <w:top w:val="single" w:sz="4" w:space="0" w:color="auto"/>
              <w:left w:val="single" w:sz="4" w:space="0" w:color="auto"/>
              <w:bottom w:val="single" w:sz="4" w:space="0" w:color="auto"/>
              <w:right w:val="single" w:sz="4" w:space="0" w:color="auto"/>
            </w:tcBorders>
            <w:hideMark/>
          </w:tcPr>
          <w:p w:rsidR="00FF35EA" w:rsidRPr="004D2A2D" w:rsidRDefault="00FF35EA" w:rsidP="00FF35EA">
            <w:pPr>
              <w:keepNext/>
              <w:keepLines/>
              <w:spacing w:line="480" w:lineRule="auto"/>
              <w:rPr>
                <w:rFonts w:ascii="Times New Roman" w:eastAsia="Times New Roman" w:hAnsi="Times New Roman"/>
                <w:b/>
                <w:sz w:val="20"/>
                <w:szCs w:val="20"/>
              </w:rPr>
            </w:pPr>
            <w:r w:rsidRPr="004D2A2D">
              <w:rPr>
                <w:rFonts w:ascii="Times New Roman" w:eastAsia="Times New Roman" w:hAnsi="Times New Roman"/>
                <w:b/>
                <w:sz w:val="20"/>
                <w:szCs w:val="20"/>
              </w:rPr>
              <w:t xml:space="preserve">Blood products cost, $, </w:t>
            </w:r>
            <w:proofErr w:type="spellStart"/>
            <w:r w:rsidRPr="004D2A2D">
              <w:rPr>
                <w:rFonts w:ascii="Times New Roman" w:eastAsia="Times New Roman" w:hAnsi="Times New Roman"/>
                <w:b/>
                <w:sz w:val="20"/>
                <w:szCs w:val="20"/>
              </w:rPr>
              <w:t>mean±SD</w:t>
            </w:r>
            <w:proofErr w:type="spellEnd"/>
          </w:p>
        </w:tc>
        <w:tc>
          <w:tcPr>
            <w:tcW w:w="986" w:type="pct"/>
            <w:tcBorders>
              <w:top w:val="single" w:sz="4" w:space="0" w:color="auto"/>
              <w:left w:val="single" w:sz="4" w:space="0" w:color="auto"/>
              <w:bottom w:val="single" w:sz="4" w:space="0" w:color="auto"/>
              <w:right w:val="single" w:sz="4" w:space="0" w:color="auto"/>
            </w:tcBorders>
            <w:hideMark/>
          </w:tcPr>
          <w:p w:rsidR="00FF35EA" w:rsidRPr="004D2A2D" w:rsidRDefault="00FF35EA" w:rsidP="00FF35EA">
            <w:pPr>
              <w:keepNext/>
              <w:keepLines/>
              <w:spacing w:line="480" w:lineRule="auto"/>
              <w:jc w:val="center"/>
              <w:rPr>
                <w:rFonts w:ascii="Times New Roman" w:eastAsia="Times New Roman" w:hAnsi="Times New Roman"/>
                <w:sz w:val="20"/>
                <w:szCs w:val="20"/>
              </w:rPr>
            </w:pPr>
            <w:r w:rsidRPr="004D2A2D">
              <w:rPr>
                <w:rFonts w:ascii="Times New Roman" w:eastAsia="Times New Roman" w:hAnsi="Times New Roman"/>
                <w:sz w:val="20"/>
                <w:szCs w:val="20"/>
              </w:rPr>
              <w:t>157.31±373.15</w:t>
            </w:r>
          </w:p>
        </w:tc>
        <w:tc>
          <w:tcPr>
            <w:tcW w:w="920" w:type="pct"/>
            <w:tcBorders>
              <w:top w:val="single" w:sz="4" w:space="0" w:color="auto"/>
              <w:left w:val="single" w:sz="4" w:space="0" w:color="auto"/>
              <w:bottom w:val="single" w:sz="4" w:space="0" w:color="auto"/>
              <w:right w:val="single" w:sz="4" w:space="0" w:color="auto"/>
            </w:tcBorders>
            <w:hideMark/>
          </w:tcPr>
          <w:p w:rsidR="00FF35EA" w:rsidRPr="004D2A2D" w:rsidRDefault="00FF35EA" w:rsidP="00FF35EA">
            <w:pPr>
              <w:keepNext/>
              <w:keepLines/>
              <w:spacing w:line="480" w:lineRule="auto"/>
              <w:jc w:val="center"/>
              <w:rPr>
                <w:rFonts w:ascii="Times New Roman" w:eastAsia="Times New Roman" w:hAnsi="Times New Roman"/>
                <w:sz w:val="20"/>
                <w:szCs w:val="20"/>
              </w:rPr>
            </w:pPr>
            <w:r w:rsidRPr="004D2A2D">
              <w:rPr>
                <w:rFonts w:ascii="Times New Roman" w:eastAsia="Times New Roman" w:hAnsi="Times New Roman"/>
                <w:sz w:val="20"/>
                <w:szCs w:val="20"/>
              </w:rPr>
              <w:t>145.89±325.66</w:t>
            </w:r>
          </w:p>
        </w:tc>
        <w:tc>
          <w:tcPr>
            <w:tcW w:w="1010" w:type="pct"/>
            <w:tcBorders>
              <w:top w:val="single" w:sz="4" w:space="0" w:color="auto"/>
              <w:left w:val="single" w:sz="4" w:space="0" w:color="auto"/>
              <w:bottom w:val="single" w:sz="4" w:space="0" w:color="auto"/>
              <w:right w:val="single" w:sz="4" w:space="0" w:color="auto"/>
            </w:tcBorders>
            <w:hideMark/>
          </w:tcPr>
          <w:p w:rsidR="00FF35EA" w:rsidRPr="004D2A2D" w:rsidRDefault="00FF35EA" w:rsidP="00FF35EA">
            <w:pPr>
              <w:keepNext/>
              <w:keepLines/>
              <w:spacing w:line="480" w:lineRule="auto"/>
              <w:jc w:val="center"/>
              <w:rPr>
                <w:rFonts w:ascii="Times New Roman" w:eastAsia="Times New Roman" w:hAnsi="Times New Roman"/>
                <w:sz w:val="20"/>
                <w:szCs w:val="20"/>
              </w:rPr>
            </w:pPr>
            <w:r w:rsidRPr="004D2A2D">
              <w:rPr>
                <w:rFonts w:ascii="Times New Roman" w:eastAsia="Times New Roman" w:hAnsi="Times New Roman"/>
                <w:sz w:val="20"/>
                <w:szCs w:val="20"/>
              </w:rPr>
              <w:t>95.21±239.88</w:t>
            </w:r>
          </w:p>
        </w:tc>
        <w:tc>
          <w:tcPr>
            <w:tcW w:w="899" w:type="pct"/>
            <w:tcBorders>
              <w:top w:val="single" w:sz="4" w:space="0" w:color="auto"/>
              <w:left w:val="single" w:sz="4" w:space="0" w:color="auto"/>
              <w:bottom w:val="single" w:sz="4" w:space="0" w:color="auto"/>
              <w:right w:val="single" w:sz="4" w:space="0" w:color="auto"/>
            </w:tcBorders>
            <w:hideMark/>
          </w:tcPr>
          <w:p w:rsidR="00FF35EA" w:rsidRPr="004D2A2D" w:rsidRDefault="00FF35EA" w:rsidP="00FF35EA">
            <w:pPr>
              <w:keepNext/>
              <w:keepLines/>
              <w:spacing w:line="480" w:lineRule="auto"/>
              <w:jc w:val="center"/>
              <w:rPr>
                <w:rFonts w:ascii="Times New Roman" w:eastAsia="Times New Roman" w:hAnsi="Times New Roman"/>
                <w:sz w:val="20"/>
                <w:szCs w:val="20"/>
              </w:rPr>
            </w:pPr>
            <w:r w:rsidRPr="004D2A2D">
              <w:rPr>
                <w:rFonts w:ascii="Times New Roman" w:eastAsia="Times New Roman" w:hAnsi="Times New Roman"/>
                <w:sz w:val="20"/>
                <w:szCs w:val="20"/>
              </w:rPr>
              <w:t>84.27±204.48</w:t>
            </w:r>
          </w:p>
        </w:tc>
      </w:tr>
    </w:tbl>
    <w:p w:rsidR="00FF35EA" w:rsidRPr="004D2A2D" w:rsidRDefault="00FF35EA" w:rsidP="00FF35EA">
      <w:pPr>
        <w:keepNext/>
        <w:keepLines/>
        <w:spacing w:after="0"/>
        <w:rPr>
          <w:rFonts w:ascii="Times New Roman" w:eastAsia="Times New Roman" w:hAnsi="Times New Roman"/>
          <w:color w:val="000000" w:themeColor="text1"/>
          <w:kern w:val="24"/>
          <w:sz w:val="20"/>
          <w:szCs w:val="20"/>
        </w:rPr>
      </w:pPr>
      <w:proofErr w:type="spellStart"/>
      <w:r w:rsidRPr="004D2A2D">
        <w:rPr>
          <w:rFonts w:ascii="Times New Roman" w:eastAsia="Times New Roman" w:hAnsi="Times New Roman"/>
          <w:color w:val="000000" w:themeColor="text1"/>
          <w:kern w:val="24"/>
          <w:sz w:val="20"/>
          <w:szCs w:val="20"/>
        </w:rPr>
        <w:t>EtoCis</w:t>
      </w:r>
      <w:proofErr w:type="spellEnd"/>
      <w:r w:rsidRPr="004D2A2D">
        <w:rPr>
          <w:rFonts w:ascii="Times New Roman" w:eastAsia="Times New Roman" w:hAnsi="Times New Roman"/>
          <w:color w:val="000000" w:themeColor="text1"/>
          <w:kern w:val="24"/>
          <w:sz w:val="20"/>
          <w:szCs w:val="20"/>
        </w:rPr>
        <w:t xml:space="preserve">, etoposide, cisplatin, and concurrent thoracic radiation therapy, followed by consolidation with cytotoxic chemotherapy of choice; </w:t>
      </w:r>
      <w:proofErr w:type="spellStart"/>
      <w:r w:rsidRPr="004D2A2D">
        <w:rPr>
          <w:rFonts w:ascii="Times New Roman" w:eastAsia="Times New Roman" w:hAnsi="Times New Roman"/>
          <w:color w:val="000000" w:themeColor="text1"/>
          <w:kern w:val="24"/>
          <w:sz w:val="20"/>
          <w:szCs w:val="20"/>
        </w:rPr>
        <w:t>PemCis</w:t>
      </w:r>
      <w:proofErr w:type="spellEnd"/>
      <w:r w:rsidRPr="004D2A2D">
        <w:rPr>
          <w:rFonts w:ascii="Times New Roman" w:eastAsia="Times New Roman" w:hAnsi="Times New Roman"/>
          <w:color w:val="000000" w:themeColor="text1"/>
          <w:kern w:val="24"/>
          <w:sz w:val="20"/>
          <w:szCs w:val="20"/>
        </w:rPr>
        <w:t xml:space="preserve">, </w:t>
      </w:r>
      <w:proofErr w:type="spellStart"/>
      <w:r w:rsidRPr="004D2A2D">
        <w:rPr>
          <w:rFonts w:ascii="Times New Roman" w:eastAsia="Times New Roman" w:hAnsi="Times New Roman"/>
          <w:color w:val="000000" w:themeColor="text1"/>
          <w:kern w:val="24"/>
          <w:sz w:val="20"/>
          <w:szCs w:val="20"/>
        </w:rPr>
        <w:t>pemetrexed</w:t>
      </w:r>
      <w:proofErr w:type="spellEnd"/>
      <w:r w:rsidRPr="004D2A2D">
        <w:rPr>
          <w:rFonts w:ascii="Times New Roman" w:eastAsia="Times New Roman" w:hAnsi="Times New Roman"/>
          <w:color w:val="000000" w:themeColor="text1"/>
          <w:kern w:val="24"/>
          <w:sz w:val="20"/>
          <w:szCs w:val="20"/>
        </w:rPr>
        <w:t xml:space="preserve">, cisplatin, and concurrent thoracic radiation therapy followed by consolidation </w:t>
      </w:r>
      <w:proofErr w:type="spellStart"/>
      <w:r w:rsidRPr="004D2A2D">
        <w:rPr>
          <w:rFonts w:ascii="Times New Roman" w:eastAsia="Times New Roman" w:hAnsi="Times New Roman"/>
          <w:color w:val="000000" w:themeColor="text1"/>
          <w:kern w:val="24"/>
          <w:sz w:val="20"/>
          <w:szCs w:val="20"/>
        </w:rPr>
        <w:t>pemetrexed</w:t>
      </w:r>
      <w:proofErr w:type="spellEnd"/>
      <w:proofErr w:type="gramStart"/>
      <w:r w:rsidRPr="004D2A2D">
        <w:rPr>
          <w:rFonts w:ascii="Times New Roman" w:eastAsia="Times New Roman" w:hAnsi="Times New Roman"/>
          <w:color w:val="000000" w:themeColor="text1"/>
          <w:kern w:val="24"/>
          <w:sz w:val="20"/>
          <w:szCs w:val="20"/>
        </w:rPr>
        <w:t>;</w:t>
      </w:r>
      <w:proofErr w:type="gramEnd"/>
      <w:r w:rsidRPr="004D2A2D">
        <w:rPr>
          <w:rFonts w:ascii="Times New Roman" w:eastAsia="Times New Roman" w:hAnsi="Times New Roman"/>
          <w:color w:val="000000" w:themeColor="text1"/>
          <w:kern w:val="24"/>
          <w:sz w:val="20"/>
          <w:szCs w:val="20"/>
        </w:rPr>
        <w:t xml:space="preserve"> SD, standard deviation.</w:t>
      </w:r>
    </w:p>
    <w:p w:rsidR="00FF35EA" w:rsidRPr="004D2A2D" w:rsidRDefault="00FF35EA" w:rsidP="00FF35EA">
      <w:pPr>
        <w:keepNext/>
        <w:keepLines/>
        <w:spacing w:after="0" w:line="240" w:lineRule="auto"/>
        <w:rPr>
          <w:rFonts w:ascii="Times New Roman" w:eastAsia="Times New Roman" w:hAnsi="Times New Roman"/>
          <w:color w:val="000000" w:themeColor="text1"/>
          <w:kern w:val="24"/>
          <w:sz w:val="20"/>
          <w:szCs w:val="20"/>
        </w:rPr>
      </w:pPr>
      <w:r w:rsidRPr="004D2A2D">
        <w:rPr>
          <w:rFonts w:ascii="Times New Roman" w:eastAsia="Times New Roman" w:hAnsi="Times New Roman"/>
          <w:color w:val="000000" w:themeColor="text1"/>
          <w:kern w:val="24"/>
          <w:sz w:val="20"/>
          <w:szCs w:val="20"/>
        </w:rPr>
        <w:t>Statistically significant differences are shown in bold text and are based on p - value (&lt;0.05) determined by Wilcoxon rank sum test.</w:t>
      </w:r>
    </w:p>
    <w:p w:rsidR="00FF35EA" w:rsidRPr="004D2A2D" w:rsidRDefault="00FF35EA" w:rsidP="00FF35EA">
      <w:pPr>
        <w:keepNext/>
        <w:keepLines/>
        <w:spacing w:after="0" w:line="240" w:lineRule="auto"/>
        <w:rPr>
          <w:rFonts w:ascii="Times New Roman" w:eastAsia="Times New Roman" w:hAnsi="Times New Roman"/>
          <w:color w:val="000000" w:themeColor="text1"/>
          <w:kern w:val="24"/>
          <w:sz w:val="20"/>
          <w:szCs w:val="20"/>
        </w:rPr>
      </w:pPr>
      <w:proofErr w:type="spellStart"/>
      <w:proofErr w:type="gramStart"/>
      <w:r w:rsidRPr="004D2A2D">
        <w:rPr>
          <w:rFonts w:ascii="Times New Roman" w:eastAsia="Times New Roman" w:hAnsi="Times New Roman"/>
          <w:color w:val="000000" w:themeColor="text1"/>
          <w:kern w:val="24"/>
          <w:sz w:val="20"/>
          <w:szCs w:val="20"/>
          <w:vertAlign w:val="superscript"/>
        </w:rPr>
        <w:t>a</w:t>
      </w:r>
      <w:r w:rsidRPr="004D2A2D">
        <w:rPr>
          <w:rFonts w:ascii="Times New Roman" w:eastAsia="Times New Roman" w:hAnsi="Times New Roman"/>
          <w:color w:val="000000" w:themeColor="text1"/>
          <w:kern w:val="24"/>
          <w:sz w:val="20"/>
          <w:szCs w:val="20"/>
        </w:rPr>
        <w:t>Include</w:t>
      </w:r>
      <w:proofErr w:type="spellEnd"/>
      <w:proofErr w:type="gramEnd"/>
      <w:r w:rsidRPr="004D2A2D">
        <w:rPr>
          <w:rFonts w:ascii="Times New Roman" w:eastAsia="Times New Roman" w:hAnsi="Times New Roman"/>
          <w:color w:val="000000" w:themeColor="text1"/>
          <w:kern w:val="24"/>
          <w:sz w:val="20"/>
          <w:szCs w:val="20"/>
        </w:rPr>
        <w:t xml:space="preserve"> hospitalizations, radiotherapy, supportive care, concomitant medications, laboratory/evaluation/radiology visits, and blood products.</w:t>
      </w:r>
    </w:p>
    <w:p w:rsidR="00FF35EA" w:rsidRPr="004D2A2D" w:rsidRDefault="00FF35EA" w:rsidP="00FF35EA">
      <w:pPr>
        <w:keepNext/>
        <w:keepLines/>
        <w:spacing w:after="0" w:line="240" w:lineRule="auto"/>
        <w:rPr>
          <w:rFonts w:ascii="Times New Roman" w:eastAsia="Times New Roman" w:hAnsi="Times New Roman"/>
          <w:color w:val="000000" w:themeColor="text1"/>
          <w:kern w:val="24"/>
          <w:sz w:val="20"/>
          <w:szCs w:val="20"/>
        </w:rPr>
      </w:pPr>
      <w:proofErr w:type="spellStart"/>
      <w:proofErr w:type="gramStart"/>
      <w:r w:rsidRPr="004D2A2D">
        <w:rPr>
          <w:rFonts w:ascii="Times New Roman" w:eastAsia="Times New Roman" w:hAnsi="Times New Roman"/>
          <w:color w:val="000000" w:themeColor="text1"/>
          <w:kern w:val="24"/>
          <w:sz w:val="20"/>
          <w:szCs w:val="20"/>
          <w:vertAlign w:val="superscript"/>
        </w:rPr>
        <w:t>b</w:t>
      </w:r>
      <w:r w:rsidRPr="004D2A2D">
        <w:rPr>
          <w:rFonts w:ascii="Times New Roman" w:eastAsia="Times New Roman" w:hAnsi="Times New Roman"/>
          <w:color w:val="000000" w:themeColor="text1"/>
          <w:kern w:val="24"/>
          <w:sz w:val="20"/>
          <w:szCs w:val="20"/>
        </w:rPr>
        <w:t>Calculated</w:t>
      </w:r>
      <w:proofErr w:type="spellEnd"/>
      <w:proofErr w:type="gramEnd"/>
      <w:r w:rsidRPr="004D2A2D">
        <w:rPr>
          <w:rFonts w:ascii="Times New Roman" w:eastAsia="Times New Roman" w:hAnsi="Times New Roman"/>
          <w:color w:val="000000" w:themeColor="text1"/>
          <w:kern w:val="24"/>
          <w:sz w:val="20"/>
          <w:szCs w:val="20"/>
        </w:rPr>
        <w:t xml:space="preserve"> by the total other costs divided by the difference in start and end dates for a period per 30.5 days.</w:t>
      </w:r>
    </w:p>
    <w:p w:rsidR="00FF35EA" w:rsidRPr="004D2A2D" w:rsidRDefault="00FF35EA" w:rsidP="00FF35EA">
      <w:pPr>
        <w:keepNext/>
        <w:keepLines/>
        <w:autoSpaceDE w:val="0"/>
        <w:autoSpaceDN w:val="0"/>
        <w:adjustRightInd w:val="0"/>
        <w:spacing w:after="0" w:line="240" w:lineRule="auto"/>
        <w:rPr>
          <w:rFonts w:ascii="Times New Roman" w:eastAsia="Times New Roman" w:hAnsi="Times New Roman"/>
          <w:color w:val="000000" w:themeColor="text1"/>
          <w:kern w:val="24"/>
          <w:sz w:val="20"/>
          <w:szCs w:val="20"/>
        </w:rPr>
      </w:pPr>
      <w:proofErr w:type="spellStart"/>
      <w:proofErr w:type="gramStart"/>
      <w:r w:rsidRPr="004D2A2D">
        <w:rPr>
          <w:rFonts w:ascii="Times New Roman" w:eastAsia="Times New Roman" w:hAnsi="Times New Roman"/>
          <w:color w:val="000000" w:themeColor="text1"/>
          <w:kern w:val="24"/>
          <w:sz w:val="20"/>
          <w:szCs w:val="20"/>
          <w:vertAlign w:val="superscript"/>
        </w:rPr>
        <w:t>c</w:t>
      </w:r>
      <w:r w:rsidRPr="004D2A2D">
        <w:rPr>
          <w:rFonts w:ascii="Times New Roman" w:eastAsia="Times New Roman" w:hAnsi="Times New Roman"/>
          <w:color w:val="000000" w:themeColor="text1"/>
          <w:kern w:val="24"/>
          <w:sz w:val="20"/>
          <w:szCs w:val="20"/>
        </w:rPr>
        <w:t>Include</w:t>
      </w:r>
      <w:proofErr w:type="spellEnd"/>
      <w:proofErr w:type="gramEnd"/>
      <w:r w:rsidRPr="004D2A2D">
        <w:rPr>
          <w:rFonts w:ascii="Times New Roman" w:eastAsia="Times New Roman" w:hAnsi="Times New Roman"/>
          <w:color w:val="000000" w:themeColor="text1"/>
          <w:kern w:val="24"/>
          <w:sz w:val="20"/>
          <w:szCs w:val="20"/>
        </w:rPr>
        <w:t xml:space="preserve"> concomitant medications, hospitalizations, and blood products associated with an adverse event and these costs may also appear in other categories.</w:t>
      </w:r>
    </w:p>
    <w:p w:rsidR="00FF35EA" w:rsidRPr="004D2A2D" w:rsidRDefault="00FF35EA" w:rsidP="00FF35EA">
      <w:pPr>
        <w:keepNext/>
        <w:keepLines/>
        <w:autoSpaceDE w:val="0"/>
        <w:autoSpaceDN w:val="0"/>
        <w:adjustRightInd w:val="0"/>
        <w:spacing w:after="0" w:line="240" w:lineRule="auto"/>
        <w:rPr>
          <w:rFonts w:ascii="Times New Roman" w:hAnsi="Times New Roman"/>
          <w:sz w:val="24"/>
          <w:szCs w:val="24"/>
        </w:rPr>
      </w:pPr>
      <w:proofErr w:type="spellStart"/>
      <w:proofErr w:type="gramStart"/>
      <w:r w:rsidRPr="004D2A2D">
        <w:rPr>
          <w:rFonts w:ascii="Times New Roman" w:eastAsia="Times New Roman" w:hAnsi="Times New Roman"/>
          <w:color w:val="000000" w:themeColor="text1"/>
          <w:kern w:val="24"/>
          <w:sz w:val="20"/>
          <w:szCs w:val="20"/>
          <w:vertAlign w:val="superscript"/>
        </w:rPr>
        <w:t>d</w:t>
      </w:r>
      <w:r w:rsidRPr="004D2A2D">
        <w:rPr>
          <w:rFonts w:ascii="Times New Roman" w:eastAsia="Times New Roman" w:hAnsi="Times New Roman"/>
          <w:color w:val="000000" w:themeColor="text1"/>
          <w:kern w:val="24"/>
          <w:sz w:val="20"/>
          <w:szCs w:val="20"/>
        </w:rPr>
        <w:t>Supportive</w:t>
      </w:r>
      <w:proofErr w:type="spellEnd"/>
      <w:proofErr w:type="gramEnd"/>
      <w:r w:rsidRPr="004D2A2D">
        <w:rPr>
          <w:rFonts w:ascii="Times New Roman" w:eastAsia="Times New Roman" w:hAnsi="Times New Roman"/>
          <w:color w:val="000000" w:themeColor="text1"/>
          <w:kern w:val="24"/>
          <w:sz w:val="20"/>
          <w:szCs w:val="20"/>
        </w:rPr>
        <w:t xml:space="preserve"> care comprised administrations for pulmonary function tests, administration of oxygen (intermittent or continuous), insertion of a gastric feeding tube, administration of intravenous fluid, esophageal dilation, and endoscopy.</w:t>
      </w:r>
    </w:p>
    <w:p w:rsidR="00FF35EA" w:rsidRPr="004D2A2D" w:rsidRDefault="00FF35EA" w:rsidP="00FF35EA">
      <w:pPr>
        <w:rPr>
          <w:rFonts w:ascii="Times New Roman" w:eastAsia="Times New Roman" w:hAnsi="Times New Roman"/>
          <w:color w:val="000000" w:themeColor="text1"/>
          <w:kern w:val="24"/>
          <w:sz w:val="20"/>
          <w:szCs w:val="20"/>
        </w:rPr>
      </w:pPr>
      <w:r w:rsidRPr="004D2A2D">
        <w:rPr>
          <w:rFonts w:ascii="Times New Roman" w:eastAsia="Times New Roman" w:hAnsi="Times New Roman"/>
          <w:color w:val="000000" w:themeColor="text1"/>
          <w:kern w:val="24"/>
          <w:sz w:val="20"/>
          <w:szCs w:val="20"/>
        </w:rPr>
        <w:t>Note: Study treatment cost includes hospital visits and other procedural costs associated with study drug administration. Overall study results include costs incurred during the concurrent phase and the consolidation phase. Costs incurred during the recovery phase or follow-up are not included in this analysis.</w:t>
      </w:r>
    </w:p>
    <w:p w:rsidR="00FF35EA" w:rsidRPr="004D2A2D" w:rsidRDefault="00FF35EA" w:rsidP="00FF35EA"/>
    <w:p w:rsidR="00FF35EA" w:rsidRDefault="00FF35EA" w:rsidP="00FF35EA"/>
    <w:p w:rsidR="001A06F1" w:rsidRDefault="00CA1903"/>
    <w:sectPr w:rsidR="001A06F1" w:rsidSect="007A2CF4">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903" w:rsidRDefault="00CA1903" w:rsidP="00CA1903">
      <w:pPr>
        <w:spacing w:after="0" w:line="240" w:lineRule="auto"/>
      </w:pPr>
      <w:r>
        <w:separator/>
      </w:r>
    </w:p>
  </w:endnote>
  <w:endnote w:type="continuationSeparator" w:id="0">
    <w:p w:rsidR="00CA1903" w:rsidRDefault="00CA1903" w:rsidP="00CA1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903" w:rsidRDefault="00CA1903" w:rsidP="00CA1903">
      <w:pPr>
        <w:spacing w:after="0" w:line="240" w:lineRule="auto"/>
      </w:pPr>
      <w:r>
        <w:separator/>
      </w:r>
    </w:p>
  </w:footnote>
  <w:footnote w:type="continuationSeparator" w:id="0">
    <w:p w:rsidR="00CA1903" w:rsidRDefault="00CA1903" w:rsidP="00CA1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903" w:rsidRPr="00CA1903" w:rsidRDefault="00CA1903" w:rsidP="00CA1903">
    <w:pPr>
      <w:pStyle w:val="Header"/>
      <w:jc w:val="center"/>
      <w:rPr>
        <w:b/>
      </w:rPr>
    </w:pPr>
    <w:r w:rsidRPr="00CA1903">
      <w:rPr>
        <w:rFonts w:ascii="Times New Roman" w:eastAsia="Times New Roman" w:hAnsi="Times New Roman"/>
        <w:b/>
        <w:bCs/>
        <w:sz w:val="24"/>
        <w:szCs w:val="24"/>
      </w:rPr>
      <w:t>Healthcare Resource Utilization and Associated Cost Analysis of the PROCLAIM Study in Patients With Stage III Non-Small Cell Lung Cancer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0C2"/>
    <w:rsid w:val="001C3F19"/>
    <w:rsid w:val="002C3236"/>
    <w:rsid w:val="00A530C2"/>
    <w:rsid w:val="00CA1903"/>
    <w:rsid w:val="00FF3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4E4B6-826A-45E4-97EF-6D7B46A6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1">
    <w:name w:val="Table Grid11"/>
    <w:basedOn w:val="TableNormal"/>
    <w:uiPriority w:val="59"/>
    <w:rsid w:val="00FF35E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1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903"/>
  </w:style>
  <w:style w:type="paragraph" w:styleId="Footer">
    <w:name w:val="footer"/>
    <w:basedOn w:val="Normal"/>
    <w:link w:val="FooterChar"/>
    <w:uiPriority w:val="99"/>
    <w:unhideWhenUsed/>
    <w:rsid w:val="00CA1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409</Words>
  <Characters>2335</Characters>
  <Application>Microsoft Office Word</Application>
  <DocSecurity>0</DocSecurity>
  <Lines>19</Lines>
  <Paragraphs>5</Paragraphs>
  <ScaleCrop>false</ScaleCrop>
  <Company>Eli Lilly and Company</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Samba</dc:creator>
  <cp:keywords/>
  <dc:description/>
  <cp:lastModifiedBy>Samba</cp:lastModifiedBy>
  <cp:revision>3</cp:revision>
  <dcterms:created xsi:type="dcterms:W3CDTF">2018-10-04T13:05:00Z</dcterms:created>
  <dcterms:modified xsi:type="dcterms:W3CDTF">2018-10-04T13:47:00Z</dcterms:modified>
</cp:coreProperties>
</file>