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1549D3" w:rsidRDefault="00654E8F" w:rsidP="0001436A">
      <w:pPr>
        <w:pStyle w:val="SupplementaryMaterial"/>
        <w:rPr>
          <w:b w:val="0"/>
        </w:rPr>
      </w:pPr>
      <w:r w:rsidRPr="001549D3">
        <w:t>Supplementary Material</w:t>
      </w:r>
    </w:p>
    <w:p w14:paraId="6970909A" w14:textId="77777777" w:rsidR="00614B9D" w:rsidRDefault="00614B9D" w:rsidP="00614B9D">
      <w:pPr>
        <w:jc w:val="center"/>
      </w:pPr>
      <w:bookmarkStart w:id="0" w:name="_gjdgxs" w:colFirst="0" w:colLast="0"/>
      <w:bookmarkEnd w:id="0"/>
      <w:r>
        <w:rPr>
          <w:rFonts w:eastAsia="Times New Roman" w:cs="Times New Roman"/>
          <w:sz w:val="36"/>
          <w:szCs w:val="36"/>
        </w:rPr>
        <w:t>Source environments of the microbiome in perennially ice-covered Lake Untersee, Antarctica</w:t>
      </w:r>
    </w:p>
    <w:p w14:paraId="00E92DC7" w14:textId="2AC8A9D4" w:rsidR="002868E2" w:rsidRPr="00960905" w:rsidRDefault="00960905" w:rsidP="0001436A">
      <w:pPr>
        <w:pStyle w:val="AuthorList"/>
        <w:rPr>
          <w:lang w:val="de-AT"/>
        </w:rPr>
      </w:pPr>
      <w:r w:rsidRPr="00960905">
        <w:rPr>
          <w:lang w:val="de-AT"/>
        </w:rPr>
        <w:t>Klemens Weisleitner</w:t>
      </w:r>
      <w:r w:rsidR="002868E2" w:rsidRPr="00960905">
        <w:rPr>
          <w:lang w:val="de-AT"/>
        </w:rPr>
        <w:t xml:space="preserve">*, </w:t>
      </w:r>
      <w:r w:rsidRPr="00960905">
        <w:rPr>
          <w:lang w:val="de-AT"/>
        </w:rPr>
        <w:t>Alexandra Perras</w:t>
      </w:r>
      <w:r w:rsidR="002868E2" w:rsidRPr="00960905">
        <w:rPr>
          <w:lang w:val="de-AT"/>
        </w:rPr>
        <w:t xml:space="preserve">, </w:t>
      </w:r>
      <w:r w:rsidRPr="00960905">
        <w:rPr>
          <w:lang w:val="de-AT"/>
        </w:rPr>
        <w:t>D</w:t>
      </w:r>
      <w:r>
        <w:rPr>
          <w:lang w:val="de-AT"/>
        </w:rPr>
        <w:t>ale T. Andersen, Christine Moissl-Eichinger, Birgit Sattler</w:t>
      </w:r>
    </w:p>
    <w:p w14:paraId="1DE96975" w14:textId="36C3B172" w:rsidR="00960905" w:rsidRDefault="002868E2" w:rsidP="00960905">
      <w:pPr>
        <w:spacing w:before="240" w:after="0"/>
        <w:rPr>
          <w:rFonts w:cs="Times New Roman"/>
        </w:rPr>
      </w:pPr>
      <w:r w:rsidRPr="00994A3D">
        <w:rPr>
          <w:rFonts w:cs="Times New Roman"/>
          <w:b/>
        </w:rPr>
        <w:t xml:space="preserve">* Correspondence: </w:t>
      </w:r>
      <w:r w:rsidR="00960905">
        <w:rPr>
          <w:rFonts w:cs="Times New Roman"/>
        </w:rPr>
        <w:t>Birgit Sattler</w:t>
      </w:r>
      <w:r w:rsidR="00994A3D" w:rsidRPr="00994A3D">
        <w:rPr>
          <w:rFonts w:cs="Times New Roman"/>
        </w:rPr>
        <w:t xml:space="preserve">: </w:t>
      </w:r>
      <w:hyperlink r:id="rId9" w:history="1">
        <w:r w:rsidR="00960905" w:rsidRPr="00113132">
          <w:rPr>
            <w:rStyle w:val="Hyperlink"/>
            <w:rFonts w:cs="Times New Roman"/>
          </w:rPr>
          <w:t>Birgit.Sattler@uibk.ac.at</w:t>
        </w:r>
      </w:hyperlink>
    </w:p>
    <w:p w14:paraId="6EA3BCB5" w14:textId="77777777" w:rsidR="00960905" w:rsidRDefault="00960905" w:rsidP="00960905">
      <w:pPr>
        <w:spacing w:before="240" w:after="0"/>
        <w:rPr>
          <w:b/>
        </w:rPr>
      </w:pPr>
    </w:p>
    <w:p w14:paraId="6754D378" w14:textId="14BA0AB3" w:rsidR="00206976" w:rsidRDefault="00887A59" w:rsidP="00960905">
      <w:pPr>
        <w:spacing w:before="240" w:after="0"/>
        <w:rPr>
          <w:b/>
        </w:rPr>
      </w:pPr>
      <w:r>
        <w:rPr>
          <w:b/>
        </w:rPr>
        <w:t>5</w:t>
      </w:r>
      <w:r w:rsidR="00960905">
        <w:rPr>
          <w:b/>
        </w:rPr>
        <w:t xml:space="preserve"> s</w:t>
      </w:r>
      <w:r w:rsidR="00994A3D" w:rsidRPr="00960905">
        <w:rPr>
          <w:b/>
        </w:rPr>
        <w:t>upplementary</w:t>
      </w:r>
      <w:r w:rsidR="00960905">
        <w:rPr>
          <w:b/>
        </w:rPr>
        <w:t xml:space="preserve"> f</w:t>
      </w:r>
      <w:r w:rsidR="00994A3D" w:rsidRPr="00960905">
        <w:rPr>
          <w:b/>
        </w:rPr>
        <w:t>igures</w:t>
      </w:r>
      <w:r w:rsidR="00960905">
        <w:rPr>
          <w:b/>
        </w:rPr>
        <w:t>:</w:t>
      </w:r>
    </w:p>
    <w:p w14:paraId="1DE84025" w14:textId="77777777" w:rsidR="00206976" w:rsidRDefault="00206976">
      <w:pPr>
        <w:spacing w:before="0" w:after="200" w:line="276" w:lineRule="auto"/>
        <w:rPr>
          <w:b/>
        </w:rPr>
      </w:pPr>
      <w:r>
        <w:rPr>
          <w:b/>
        </w:rPr>
        <w:br w:type="page"/>
      </w:r>
      <w:bookmarkStart w:id="1" w:name="_GoBack"/>
      <w:bookmarkEnd w:id="1"/>
    </w:p>
    <w:p w14:paraId="0F967708" w14:textId="77777777" w:rsidR="00994A3D" w:rsidRPr="00960905" w:rsidRDefault="00994A3D" w:rsidP="00960905">
      <w:pPr>
        <w:spacing w:before="240" w:after="0"/>
        <w:rPr>
          <w:rFonts w:cs="Times New Roman"/>
          <w:b/>
        </w:rPr>
      </w:pPr>
    </w:p>
    <w:p w14:paraId="25B0E138" w14:textId="77777777" w:rsidR="00206976" w:rsidRDefault="006B13B4" w:rsidP="00206976">
      <w:pPr>
        <w:keepNext/>
        <w:jc w:val="center"/>
      </w:pPr>
      <w:r>
        <w:rPr>
          <w:rFonts w:cs="Times New Roman"/>
          <w:noProof/>
          <w:szCs w:val="24"/>
          <w:lang w:val="de-AT" w:eastAsia="de-AT"/>
        </w:rPr>
        <w:drawing>
          <wp:inline distT="0" distB="0" distL="0" distR="0" wp14:anchorId="0308A14B" wp14:editId="1935E6F8">
            <wp:extent cx="5862252" cy="6329238"/>
            <wp:effectExtent l="0" t="0" r="5715" b="0"/>
            <wp:docPr id="8" name="Grafik 8" descr="I:\Alex Ant\Manuscript 1\Alex_Plots MS1\final AI\Supplementary_Drill_Gui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Alex Ant\Manuscript 1\Alex_Plots MS1\final AI\Supplementary_Drill_Guida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1361" cy="6360666"/>
                    </a:xfrm>
                    <a:prstGeom prst="rect">
                      <a:avLst/>
                    </a:prstGeom>
                    <a:noFill/>
                    <a:ln>
                      <a:noFill/>
                    </a:ln>
                  </pic:spPr>
                </pic:pic>
              </a:graphicData>
            </a:graphic>
          </wp:inline>
        </w:drawing>
      </w:r>
    </w:p>
    <w:p w14:paraId="475F0C83" w14:textId="50F282F4" w:rsidR="00206976" w:rsidRDefault="00206976" w:rsidP="00206976">
      <w:pPr>
        <w:keepNext/>
        <w:jc w:val="both"/>
        <w:rPr>
          <w:rFonts w:cs="Times New Roman"/>
          <w:szCs w:val="24"/>
        </w:rPr>
      </w:pPr>
      <w:r w:rsidRPr="00206976">
        <w:rPr>
          <w:b/>
        </w:rPr>
        <w:t xml:space="preserve">Supplementary Figure </w:t>
      </w:r>
      <w:r w:rsidRPr="00206976">
        <w:rPr>
          <w:b/>
        </w:rPr>
        <w:fldChar w:fldCharType="begin"/>
      </w:r>
      <w:r w:rsidRPr="00206976">
        <w:rPr>
          <w:b/>
        </w:rPr>
        <w:instrText xml:space="preserve"> SEQ Supplementary_Figure \* ARABIC </w:instrText>
      </w:r>
      <w:r w:rsidRPr="00206976">
        <w:rPr>
          <w:b/>
        </w:rPr>
        <w:fldChar w:fldCharType="separate"/>
      </w:r>
      <w:r w:rsidR="00887A59">
        <w:rPr>
          <w:b/>
          <w:noProof/>
        </w:rPr>
        <w:t>1</w:t>
      </w:r>
      <w:r w:rsidRPr="00206976">
        <w:rPr>
          <w:b/>
        </w:rPr>
        <w:fldChar w:fldCharType="end"/>
      </w:r>
      <w:r>
        <w:rPr>
          <w:rFonts w:cs="Times New Roman"/>
          <w:b/>
          <w:szCs w:val="24"/>
        </w:rPr>
        <w:t xml:space="preserve">: </w:t>
      </w:r>
      <w:r w:rsidRPr="00960905">
        <w:rPr>
          <w:rFonts w:cs="Times New Roman"/>
          <w:szCs w:val="24"/>
        </w:rPr>
        <w:t>TOP: Procedure of standardized ice core replicate retrieval and dimensions of the drill guidance system designed for Kovacs Mark III core barrels. The distance of the center of the ice cores to each other is 53.7 cm. BOTTOM: In-situ picture of the system. Even on</w:t>
      </w:r>
      <w:r>
        <w:rPr>
          <w:rFonts w:cs="Times New Roman"/>
          <w:szCs w:val="24"/>
        </w:rPr>
        <w:t xml:space="preserve"> ro</w:t>
      </w:r>
      <w:r w:rsidRPr="00960905">
        <w:rPr>
          <w:rFonts w:cs="Times New Roman"/>
          <w:szCs w:val="24"/>
        </w:rPr>
        <w:t>ugh slopes vertical coring instead of a perpendicular angle to the slope is possible. The guidance-system was also used to target</w:t>
      </w:r>
      <w:r>
        <w:rPr>
          <w:rFonts w:cs="Times New Roman"/>
          <w:szCs w:val="24"/>
        </w:rPr>
        <w:t xml:space="preserve"> for</w:t>
      </w:r>
      <w:r w:rsidRPr="00960905">
        <w:rPr>
          <w:rFonts w:cs="Times New Roman"/>
          <w:szCs w:val="24"/>
        </w:rPr>
        <w:t xml:space="preserve"> cryoconite holes.</w:t>
      </w:r>
    </w:p>
    <w:p w14:paraId="6D95007C" w14:textId="53610B65" w:rsidR="00960905" w:rsidRDefault="00960905" w:rsidP="00206976">
      <w:pPr>
        <w:pStyle w:val="Beschriftung"/>
        <w:jc w:val="center"/>
      </w:pPr>
    </w:p>
    <w:p w14:paraId="4CFEFDB4" w14:textId="77777777" w:rsidR="00206976" w:rsidRPr="00206976" w:rsidRDefault="00206976" w:rsidP="00206976">
      <w:pPr>
        <w:pStyle w:val="KeinLeerraum"/>
      </w:pPr>
    </w:p>
    <w:p w14:paraId="5021CF96" w14:textId="77777777" w:rsidR="00206976" w:rsidRPr="002B4A57" w:rsidRDefault="00206976" w:rsidP="00960905">
      <w:pPr>
        <w:keepNext/>
        <w:rPr>
          <w:rFonts w:cs="Times New Roman"/>
          <w:b/>
          <w:szCs w:val="24"/>
        </w:rPr>
      </w:pPr>
    </w:p>
    <w:p w14:paraId="7D477F17" w14:textId="77777777" w:rsidR="00206976" w:rsidRDefault="00960905" w:rsidP="00206976">
      <w:pPr>
        <w:keepNext/>
        <w:spacing w:before="240"/>
      </w:pPr>
      <w:r>
        <w:rPr>
          <w:noProof/>
          <w:lang w:val="de-AT" w:eastAsia="de-AT"/>
        </w:rPr>
        <w:drawing>
          <wp:inline distT="0" distB="0" distL="0" distR="0" wp14:anchorId="491B63F3" wp14:editId="1BB9F8F6">
            <wp:extent cx="6200775" cy="5214730"/>
            <wp:effectExtent l="0" t="0" r="0" b="5080"/>
            <wp:docPr id="4" name="Grafik 4" descr="I:\Alex Ant\Manuscript 1\Alex_Plots MS1\final AI\Supplementary Wind_direction_over time in percent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lex Ant\Manuscript 1\Alex_Plots MS1\final AI\Supplementary Wind_direction_over time in percent_V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36"/>
                    <a:stretch/>
                  </pic:blipFill>
                  <pic:spPr bwMode="auto">
                    <a:xfrm>
                      <a:off x="0" y="0"/>
                      <a:ext cx="6200775" cy="5214730"/>
                    </a:xfrm>
                    <a:prstGeom prst="rect">
                      <a:avLst/>
                    </a:prstGeom>
                    <a:noFill/>
                    <a:ln>
                      <a:noFill/>
                    </a:ln>
                    <a:extLst>
                      <a:ext uri="{53640926-AAD7-44D8-BBD7-CCE9431645EC}">
                        <a14:shadowObscured xmlns:a14="http://schemas.microsoft.com/office/drawing/2010/main"/>
                      </a:ext>
                    </a:extLst>
                  </pic:spPr>
                </pic:pic>
              </a:graphicData>
            </a:graphic>
          </wp:inline>
        </w:drawing>
      </w:r>
    </w:p>
    <w:p w14:paraId="4CAF4266" w14:textId="27095CF4" w:rsidR="00206976" w:rsidRDefault="00206976" w:rsidP="00206976">
      <w:pPr>
        <w:spacing w:before="240"/>
        <w:jc w:val="both"/>
      </w:pPr>
      <w:r w:rsidRPr="00206976">
        <w:rPr>
          <w:b/>
        </w:rPr>
        <w:t xml:space="preserve">Supplementary Figure </w:t>
      </w:r>
      <w:r w:rsidRPr="00206976">
        <w:rPr>
          <w:b/>
        </w:rPr>
        <w:fldChar w:fldCharType="begin"/>
      </w:r>
      <w:r w:rsidRPr="00206976">
        <w:rPr>
          <w:b/>
        </w:rPr>
        <w:instrText xml:space="preserve"> SEQ Supplementary_Figure \* ARABIC </w:instrText>
      </w:r>
      <w:r w:rsidRPr="00206976">
        <w:rPr>
          <w:b/>
        </w:rPr>
        <w:fldChar w:fldCharType="separate"/>
      </w:r>
      <w:r w:rsidR="00887A59">
        <w:rPr>
          <w:b/>
          <w:noProof/>
        </w:rPr>
        <w:t>2</w:t>
      </w:r>
      <w:r w:rsidRPr="00206976">
        <w:rPr>
          <w:b/>
        </w:rPr>
        <w:fldChar w:fldCharType="end"/>
      </w:r>
      <w:r w:rsidRPr="00206976">
        <w:rPr>
          <w:b/>
        </w:rPr>
        <w:t>:</w:t>
      </w:r>
      <w:r>
        <w:t xml:space="preserve"> </w:t>
      </w:r>
      <w:r w:rsidRPr="00960905">
        <w:t xml:space="preserve">Data from a custom-built weather station is plotted on an aerial image (© </w:t>
      </w:r>
      <w:proofErr w:type="spellStart"/>
      <w:r w:rsidRPr="00960905">
        <w:t>Bundesamt</w:t>
      </w:r>
      <w:proofErr w:type="spellEnd"/>
      <w:r w:rsidRPr="00960905">
        <w:t xml:space="preserve"> </w:t>
      </w:r>
      <w:proofErr w:type="spellStart"/>
      <w:r w:rsidRPr="00960905">
        <w:t>für</w:t>
      </w:r>
      <w:proofErr w:type="spellEnd"/>
      <w:r w:rsidRPr="00960905">
        <w:t xml:space="preserve"> </w:t>
      </w:r>
      <w:proofErr w:type="spellStart"/>
      <w:r w:rsidRPr="00960905">
        <w:t>Kartographie</w:t>
      </w:r>
      <w:proofErr w:type="spellEnd"/>
      <w:r w:rsidRPr="00960905">
        <w:t xml:space="preserve"> und </w:t>
      </w:r>
      <w:proofErr w:type="spellStart"/>
      <w:r w:rsidRPr="00960905">
        <w:t>Geodäsie</w:t>
      </w:r>
      <w:proofErr w:type="spellEnd"/>
      <w:r w:rsidRPr="00960905">
        <w:t xml:space="preserve">, Frankfurt am Main, Germany). Each line indicates the wind direction and the corresponding average wind speed (color code). The relative duration of each wind direction is displayed </w:t>
      </w:r>
      <w:r>
        <w:t>as the magnitude of the vectors.</w:t>
      </w:r>
    </w:p>
    <w:p w14:paraId="44F69368" w14:textId="11CAF4B2" w:rsidR="00960905" w:rsidRDefault="00960905" w:rsidP="00206976">
      <w:pPr>
        <w:pStyle w:val="Beschriftung"/>
      </w:pPr>
    </w:p>
    <w:p w14:paraId="28E6E81A" w14:textId="77777777" w:rsidR="00960905" w:rsidRDefault="00960905" w:rsidP="00960905">
      <w:pPr>
        <w:spacing w:before="240"/>
      </w:pPr>
    </w:p>
    <w:p w14:paraId="4837F87B" w14:textId="6AB0A45D" w:rsidR="00960905" w:rsidRDefault="00960905" w:rsidP="00960905">
      <w:pPr>
        <w:spacing w:before="240"/>
      </w:pPr>
    </w:p>
    <w:p w14:paraId="159E7F7F" w14:textId="6D15B2C9" w:rsidR="00960905" w:rsidRDefault="00960905" w:rsidP="00960905">
      <w:pPr>
        <w:spacing w:before="240"/>
      </w:pPr>
    </w:p>
    <w:p w14:paraId="7478AEEB" w14:textId="1407BFE8" w:rsidR="00960905" w:rsidRDefault="00960905" w:rsidP="00960905">
      <w:pPr>
        <w:spacing w:before="240"/>
      </w:pPr>
    </w:p>
    <w:p w14:paraId="0859F270" w14:textId="041C7BCA" w:rsidR="00960905" w:rsidRDefault="00960905" w:rsidP="00960905">
      <w:pPr>
        <w:spacing w:before="240"/>
      </w:pPr>
    </w:p>
    <w:p w14:paraId="59E68998" w14:textId="59F348C7" w:rsidR="006B13B4" w:rsidRDefault="006B13B4" w:rsidP="00960905">
      <w:pPr>
        <w:spacing w:before="240"/>
      </w:pPr>
    </w:p>
    <w:p w14:paraId="453737A6" w14:textId="5F1C6AE7" w:rsidR="00887A59" w:rsidRDefault="00887A59" w:rsidP="00887A59">
      <w:pPr>
        <w:keepNext/>
      </w:pPr>
    </w:p>
    <w:p w14:paraId="4E9339DF" w14:textId="49D33E08" w:rsidR="005B3B2D" w:rsidRDefault="005B3B2D" w:rsidP="00887A59">
      <w:pPr>
        <w:keepNext/>
      </w:pPr>
      <w:r>
        <w:rPr>
          <w:noProof/>
          <w:lang w:val="de-AT" w:eastAsia="de-AT"/>
        </w:rPr>
        <w:drawing>
          <wp:inline distT="0" distB="0" distL="0" distR="0" wp14:anchorId="47FF984A" wp14:editId="45E436F0">
            <wp:extent cx="6208395" cy="3887470"/>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08395" cy="3887470"/>
                    </a:xfrm>
                    <a:prstGeom prst="rect">
                      <a:avLst/>
                    </a:prstGeom>
                  </pic:spPr>
                </pic:pic>
              </a:graphicData>
            </a:graphic>
          </wp:inline>
        </w:drawing>
      </w:r>
    </w:p>
    <w:p w14:paraId="725EC4A7" w14:textId="4895B786" w:rsidR="00887A59" w:rsidRDefault="00887A59" w:rsidP="00887A59">
      <w:pPr>
        <w:pStyle w:val="Beschriftung"/>
      </w:pPr>
      <w:r>
        <w:t xml:space="preserve">Supplementary Figure 3: </w:t>
      </w:r>
      <w:r w:rsidRPr="005B3B2D">
        <w:rPr>
          <w:b w:val="0"/>
        </w:rPr>
        <w:t>Number of amplicon read counts per sample.</w:t>
      </w:r>
      <w:r w:rsidR="005B3B2D" w:rsidRPr="005B3B2D">
        <w:rPr>
          <w:b w:val="0"/>
        </w:rPr>
        <w:t xml:space="preserve"> The dashed line indicates the lowest number of sequences from all samples (3545 counts, CRY5).</w:t>
      </w:r>
      <w:r w:rsidR="005B3B2D">
        <w:t xml:space="preserve">  </w:t>
      </w:r>
      <w:r>
        <w:t xml:space="preserve">  </w:t>
      </w:r>
    </w:p>
    <w:p w14:paraId="653BE118" w14:textId="77777777" w:rsidR="00887A59" w:rsidRDefault="00887A59" w:rsidP="00960905">
      <w:pPr>
        <w:spacing w:before="240"/>
      </w:pPr>
    </w:p>
    <w:p w14:paraId="3C1668E2" w14:textId="77777777" w:rsidR="00206976" w:rsidRDefault="006B13B4" w:rsidP="00206976">
      <w:pPr>
        <w:keepNext/>
        <w:spacing w:before="240"/>
      </w:pPr>
      <w:r>
        <w:rPr>
          <w:rFonts w:ascii="Arial" w:hAnsi="Arial" w:cs="Arial"/>
          <w:noProof/>
          <w:color w:val="000000"/>
          <w:lang w:val="de-AT" w:eastAsia="de-AT"/>
        </w:rPr>
        <w:lastRenderedPageBreak/>
        <w:drawing>
          <wp:inline distT="0" distB="0" distL="0" distR="0" wp14:anchorId="4D11D7FF" wp14:editId="119A79DC">
            <wp:extent cx="5732780" cy="5788660"/>
            <wp:effectExtent l="0" t="0" r="1270" b="2540"/>
            <wp:docPr id="5" name="Grafik 5" descr="https://lh4.googleusercontent.com/Io7J7B-UJcMWNUijNBK9teb9Xhb7540ZE7BrHa9VnjH_3moaP1PEi0adDkUmB2M6Mw9G6O1EB4lydIpcEGT4sW0t7_u09gU-TxN_nJSzHjTnxO_30KyEqFT93ifxOCTkwdyGjv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Io7J7B-UJcMWNUijNBK9teb9Xhb7540ZE7BrHa9VnjH_3moaP1PEi0adDkUmB2M6Mw9G6O1EB4lydIpcEGT4sW0t7_u09gU-TxN_nJSzHjTnxO_30KyEqFT93ifxOCTkwdyGjvt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780" cy="5788660"/>
                    </a:xfrm>
                    <a:prstGeom prst="rect">
                      <a:avLst/>
                    </a:prstGeom>
                    <a:noFill/>
                    <a:ln>
                      <a:noFill/>
                    </a:ln>
                  </pic:spPr>
                </pic:pic>
              </a:graphicData>
            </a:graphic>
          </wp:inline>
        </w:drawing>
      </w:r>
    </w:p>
    <w:p w14:paraId="1D2F6A02" w14:textId="639FC72E" w:rsidR="00206976" w:rsidRPr="006B13B4" w:rsidRDefault="00206976" w:rsidP="00206976">
      <w:pPr>
        <w:pStyle w:val="StandardWeb"/>
        <w:spacing w:before="0" w:beforeAutospacing="0" w:after="0" w:afterAutospacing="0"/>
        <w:jc w:val="both"/>
      </w:pPr>
      <w:r w:rsidRPr="00206976">
        <w:rPr>
          <w:b/>
        </w:rPr>
        <w:t>Supplementary Figure</w:t>
      </w:r>
      <w:r w:rsidR="00887A59">
        <w:rPr>
          <w:b/>
        </w:rPr>
        <w:t xml:space="preserve"> 4</w:t>
      </w:r>
      <w:r w:rsidRPr="00206976">
        <w:rPr>
          <w:b/>
        </w:rPr>
        <w:t>:</w:t>
      </w:r>
      <w:r w:rsidRPr="00206976">
        <w:rPr>
          <w:bCs/>
          <w:color w:val="000000"/>
        </w:rPr>
        <w:t xml:space="preserve"> </w:t>
      </w:r>
      <w:r w:rsidRPr="006B13B4">
        <w:rPr>
          <w:bCs/>
          <w:color w:val="000000"/>
        </w:rPr>
        <w:t xml:space="preserve">The archaeal alpha diversity is shown for the indices </w:t>
      </w:r>
      <w:r>
        <w:rPr>
          <w:bCs/>
          <w:color w:val="000000"/>
        </w:rPr>
        <w:t>“</w:t>
      </w:r>
      <w:r w:rsidRPr="006B13B4">
        <w:rPr>
          <w:bCs/>
          <w:color w:val="000000"/>
        </w:rPr>
        <w:t>Observed</w:t>
      </w:r>
      <w:r>
        <w:rPr>
          <w:bCs/>
          <w:color w:val="000000"/>
        </w:rPr>
        <w:t>”,</w:t>
      </w:r>
      <w:r w:rsidRPr="006B13B4">
        <w:rPr>
          <w:bCs/>
          <w:color w:val="000000"/>
        </w:rPr>
        <w:t xml:space="preserve"> </w:t>
      </w:r>
      <w:r>
        <w:rPr>
          <w:bCs/>
          <w:color w:val="000000"/>
        </w:rPr>
        <w:t>“</w:t>
      </w:r>
      <w:r w:rsidRPr="006B13B4">
        <w:rPr>
          <w:bCs/>
          <w:color w:val="000000"/>
        </w:rPr>
        <w:t>Shannon</w:t>
      </w:r>
      <w:r>
        <w:rPr>
          <w:bCs/>
          <w:color w:val="000000"/>
        </w:rPr>
        <w:t>”</w:t>
      </w:r>
      <w:r w:rsidRPr="006B13B4">
        <w:rPr>
          <w:bCs/>
          <w:color w:val="000000"/>
        </w:rPr>
        <w:t xml:space="preserve"> and </w:t>
      </w:r>
      <w:r>
        <w:rPr>
          <w:bCs/>
          <w:color w:val="000000"/>
        </w:rPr>
        <w:t>“</w:t>
      </w:r>
      <w:proofErr w:type="spellStart"/>
      <w:r w:rsidRPr="006B13B4">
        <w:rPr>
          <w:bCs/>
          <w:color w:val="000000"/>
        </w:rPr>
        <w:t>InvSimpson</w:t>
      </w:r>
      <w:proofErr w:type="spellEnd"/>
      <w:r>
        <w:rPr>
          <w:bCs/>
          <w:color w:val="000000"/>
        </w:rPr>
        <w:t>”</w:t>
      </w:r>
      <w:r w:rsidRPr="006B13B4">
        <w:rPr>
          <w:bCs/>
          <w:color w:val="000000"/>
        </w:rPr>
        <w:t>.</w:t>
      </w:r>
    </w:p>
    <w:p w14:paraId="3F02813B" w14:textId="77777777" w:rsidR="00206976" w:rsidRPr="006B13B4" w:rsidRDefault="00206976" w:rsidP="00206976">
      <w:pPr>
        <w:spacing w:before="240"/>
        <w:rPr>
          <w:rFonts w:cs="Times New Roman"/>
          <w:szCs w:val="24"/>
        </w:rPr>
      </w:pPr>
    </w:p>
    <w:p w14:paraId="70F03305" w14:textId="2CCC74D1" w:rsidR="006B13B4" w:rsidRDefault="006B13B4" w:rsidP="00206976">
      <w:pPr>
        <w:pStyle w:val="Beschriftung"/>
      </w:pPr>
    </w:p>
    <w:p w14:paraId="589E6A5A" w14:textId="68DCA26A" w:rsidR="006B13B4" w:rsidRDefault="006B13B4" w:rsidP="00960905">
      <w:pPr>
        <w:spacing w:before="240"/>
      </w:pPr>
    </w:p>
    <w:p w14:paraId="65A482E8" w14:textId="40C73D8E" w:rsidR="006B13B4" w:rsidRPr="006B13B4" w:rsidRDefault="006B13B4" w:rsidP="00206976">
      <w:pPr>
        <w:pStyle w:val="StandardWeb"/>
        <w:spacing w:before="0" w:beforeAutospacing="0" w:after="0" w:afterAutospacing="0"/>
        <w:jc w:val="both"/>
      </w:pPr>
    </w:p>
    <w:p w14:paraId="5A84F301" w14:textId="5D081023" w:rsidR="006B13B4" w:rsidRDefault="006B13B4" w:rsidP="00960905">
      <w:pPr>
        <w:spacing w:before="240"/>
      </w:pPr>
    </w:p>
    <w:p w14:paraId="4B6C69DC" w14:textId="0C580037" w:rsidR="00206976" w:rsidRDefault="005B3B2D" w:rsidP="00206976">
      <w:pPr>
        <w:keepNext/>
      </w:pPr>
      <w:r>
        <w:rPr>
          <w:rFonts w:ascii="Arial" w:hAnsi="Arial" w:cs="Arial"/>
          <w:b/>
          <w:bCs/>
          <w:noProof/>
          <w:color w:val="000000"/>
          <w:sz w:val="46"/>
          <w:szCs w:val="46"/>
          <w:lang w:val="de-AT" w:eastAsia="de-AT"/>
        </w:rPr>
        <w:lastRenderedPageBreak/>
        <w:drawing>
          <wp:inline distT="0" distB="0" distL="0" distR="0" wp14:anchorId="348864FF" wp14:editId="77F85168">
            <wp:extent cx="6210935" cy="3873500"/>
            <wp:effectExtent l="0" t="0" r="0" b="0"/>
            <wp:docPr id="10" name="Grafik 10" descr="D:\Alex Ant\Manuscript 1\Revision_2\MS1_LANDSAT 8_20_10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ex Ant\Manuscript 1\Revision_2\MS1_LANDSAT 8_20_10_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935" cy="3873500"/>
                    </a:xfrm>
                    <a:prstGeom prst="rect">
                      <a:avLst/>
                    </a:prstGeom>
                    <a:noFill/>
                    <a:ln>
                      <a:noFill/>
                    </a:ln>
                  </pic:spPr>
                </pic:pic>
              </a:graphicData>
            </a:graphic>
          </wp:inline>
        </w:drawing>
      </w:r>
    </w:p>
    <w:p w14:paraId="3C419443" w14:textId="61F7CEDE" w:rsidR="00994A3D" w:rsidRDefault="00206976" w:rsidP="00206976">
      <w:pPr>
        <w:pStyle w:val="Beschriftung"/>
        <w:jc w:val="both"/>
        <w:rPr>
          <w:b w:val="0"/>
        </w:rPr>
      </w:pPr>
      <w:r>
        <w:t xml:space="preserve">Supplementary Figure </w:t>
      </w:r>
      <w:r w:rsidR="00887A59">
        <w:rPr>
          <w:noProof/>
        </w:rPr>
        <w:t>5</w:t>
      </w:r>
      <w:r>
        <w:t xml:space="preserve">: </w:t>
      </w:r>
      <w:r w:rsidRPr="00206976">
        <w:rPr>
          <w:b w:val="0"/>
        </w:rPr>
        <w:t>Landsat 8 scene showing relative surface temperatures, captured on 20.10.2017. The black and white infrared channel was color mapped in a range of 50 to 130 units. Sun-exposed mountains appear as warmest and the</w:t>
      </w:r>
      <w:r w:rsidR="00CA5B6B">
        <w:rPr>
          <w:b w:val="0"/>
        </w:rPr>
        <w:t xml:space="preserve"> Wegener</w:t>
      </w:r>
      <w:r w:rsidRPr="00206976">
        <w:rPr>
          <w:b w:val="0"/>
        </w:rPr>
        <w:t xml:space="preserve"> </w:t>
      </w:r>
      <w:r w:rsidR="00CA5B6B">
        <w:rPr>
          <w:b w:val="0"/>
        </w:rPr>
        <w:t>I</w:t>
      </w:r>
      <w:r w:rsidRPr="00206976">
        <w:rPr>
          <w:b w:val="0"/>
        </w:rPr>
        <w:t xml:space="preserve">ce </w:t>
      </w:r>
      <w:r w:rsidR="00CA5B6B">
        <w:rPr>
          <w:b w:val="0"/>
        </w:rPr>
        <w:t>S</w:t>
      </w:r>
      <w:r w:rsidRPr="00206976">
        <w:rPr>
          <w:b w:val="0"/>
        </w:rPr>
        <w:t xml:space="preserve">heet south of the </w:t>
      </w:r>
      <w:r w:rsidR="00CD68FB">
        <w:rPr>
          <w:b w:val="0"/>
        </w:rPr>
        <w:t>o</w:t>
      </w:r>
      <w:r w:rsidRPr="00206976">
        <w:rPr>
          <w:b w:val="0"/>
        </w:rPr>
        <w:t>asis</w:t>
      </w:r>
      <w:r w:rsidR="00B4107F">
        <w:rPr>
          <w:b w:val="0"/>
        </w:rPr>
        <w:t xml:space="preserve"> (below the horizontal dashed line)</w:t>
      </w:r>
      <w:r w:rsidRPr="00206976">
        <w:rPr>
          <w:b w:val="0"/>
        </w:rPr>
        <w:t xml:space="preserve"> as coldest areas while the lake ice cover appears as warmest ice, respectively</w:t>
      </w:r>
      <w:r w:rsidR="00CA5B6B">
        <w:rPr>
          <w:b w:val="0"/>
        </w:rPr>
        <w:t>.</w:t>
      </w:r>
      <w:r w:rsidR="00B4107F">
        <w:rPr>
          <w:b w:val="0"/>
        </w:rPr>
        <w:t xml:space="preserve"> </w:t>
      </w:r>
    </w:p>
    <w:p w14:paraId="5CB3C2CC" w14:textId="77777777" w:rsidR="00887A59" w:rsidRPr="00887A59" w:rsidRDefault="00887A59" w:rsidP="00887A59">
      <w:pPr>
        <w:pStyle w:val="KeinLeerraum"/>
      </w:pPr>
    </w:p>
    <w:p w14:paraId="3E193679" w14:textId="3EA246DD" w:rsidR="00960905" w:rsidRDefault="00960905" w:rsidP="00960905">
      <w:pPr>
        <w:keepNext/>
        <w:rPr>
          <w:rFonts w:cs="Times New Roman"/>
          <w:szCs w:val="24"/>
        </w:rPr>
      </w:pPr>
    </w:p>
    <w:p w14:paraId="6DC5923D" w14:textId="77777777" w:rsidR="00887A59" w:rsidRPr="00960905" w:rsidRDefault="00887A59" w:rsidP="00960905">
      <w:pPr>
        <w:keepNext/>
        <w:rPr>
          <w:rFonts w:cs="Times New Roman"/>
          <w:szCs w:val="24"/>
        </w:rPr>
      </w:pPr>
    </w:p>
    <w:sectPr w:rsidR="00887A59" w:rsidRPr="00960905"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9F475E" w14:textId="77777777" w:rsidR="00AA4D24" w:rsidRDefault="00AA4D24" w:rsidP="00117666">
      <w:pPr>
        <w:spacing w:after="0"/>
      </w:pPr>
      <w:r>
        <w:separator/>
      </w:r>
    </w:p>
  </w:endnote>
  <w:endnote w:type="continuationSeparator" w:id="0">
    <w:p w14:paraId="2F15DC79" w14:textId="77777777" w:rsidR="00AA4D24" w:rsidRDefault="00AA4D2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995F6A" w:rsidRPr="00577C4C" w:rsidRDefault="00C52A7B">
    <w:pPr>
      <w:rPr>
        <w:color w:val="C00000"/>
        <w:szCs w:val="24"/>
      </w:rPr>
    </w:pPr>
    <w:r>
      <w:rPr>
        <w:noProof/>
        <w:lang w:val="de-AT" w:eastAsia="de-AT"/>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4897754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C1066">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4897754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C1066">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995F6A" w:rsidRPr="00577C4C" w:rsidRDefault="00C52A7B">
    <w:pPr>
      <w:rPr>
        <w:b/>
        <w:sz w:val="20"/>
        <w:szCs w:val="24"/>
      </w:rPr>
    </w:pPr>
    <w:r>
      <w:rPr>
        <w:noProof/>
        <w:lang w:val="de-AT" w:eastAsia="de-AT"/>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1EBA72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C1066">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1EBA72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C1066">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172D6" w14:textId="77777777" w:rsidR="00AA4D24" w:rsidRDefault="00AA4D24" w:rsidP="00117666">
      <w:pPr>
        <w:spacing w:after="0"/>
      </w:pPr>
      <w:r>
        <w:separator/>
      </w:r>
    </w:p>
  </w:footnote>
  <w:footnote w:type="continuationSeparator" w:id="0">
    <w:p w14:paraId="4C99E068" w14:textId="77777777" w:rsidR="00AA4D24" w:rsidRDefault="00AA4D24"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995F6A" w:rsidRDefault="0093429D" w:rsidP="0093429D">
    <w:r w:rsidRPr="005A1D84">
      <w:rPr>
        <w:b/>
        <w:noProof/>
        <w:color w:val="A6A6A6" w:themeColor="background1" w:themeShade="A6"/>
        <w:lang w:val="de-AT" w:eastAsia="de-AT"/>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34304"/>
    <w:rsid w:val="00035434"/>
    <w:rsid w:val="00052A14"/>
    <w:rsid w:val="00077D53"/>
    <w:rsid w:val="00105FD9"/>
    <w:rsid w:val="00117666"/>
    <w:rsid w:val="0012676E"/>
    <w:rsid w:val="001549D3"/>
    <w:rsid w:val="00160065"/>
    <w:rsid w:val="00177D84"/>
    <w:rsid w:val="00206976"/>
    <w:rsid w:val="00267D18"/>
    <w:rsid w:val="002868E2"/>
    <w:rsid w:val="002869C3"/>
    <w:rsid w:val="002936E4"/>
    <w:rsid w:val="00294524"/>
    <w:rsid w:val="002B4A57"/>
    <w:rsid w:val="002C74CA"/>
    <w:rsid w:val="003544FB"/>
    <w:rsid w:val="003D2F2D"/>
    <w:rsid w:val="00401590"/>
    <w:rsid w:val="00447801"/>
    <w:rsid w:val="00452E9C"/>
    <w:rsid w:val="004735C8"/>
    <w:rsid w:val="004947A6"/>
    <w:rsid w:val="004961FF"/>
    <w:rsid w:val="00517A89"/>
    <w:rsid w:val="005250F2"/>
    <w:rsid w:val="00593EEA"/>
    <w:rsid w:val="005A5EEE"/>
    <w:rsid w:val="005B3B2D"/>
    <w:rsid w:val="00614B9D"/>
    <w:rsid w:val="006375C7"/>
    <w:rsid w:val="00654E8F"/>
    <w:rsid w:val="00660D05"/>
    <w:rsid w:val="006820B1"/>
    <w:rsid w:val="006B13B4"/>
    <w:rsid w:val="006B7D14"/>
    <w:rsid w:val="00701727"/>
    <w:rsid w:val="0070566C"/>
    <w:rsid w:val="00714C50"/>
    <w:rsid w:val="00725A7D"/>
    <w:rsid w:val="007501BE"/>
    <w:rsid w:val="00790BB3"/>
    <w:rsid w:val="007C206C"/>
    <w:rsid w:val="00817DD6"/>
    <w:rsid w:val="0083759F"/>
    <w:rsid w:val="00885156"/>
    <w:rsid w:val="00887176"/>
    <w:rsid w:val="00887A59"/>
    <w:rsid w:val="008D2C5E"/>
    <w:rsid w:val="009151AA"/>
    <w:rsid w:val="0093429D"/>
    <w:rsid w:val="00943573"/>
    <w:rsid w:val="00960905"/>
    <w:rsid w:val="00970F7D"/>
    <w:rsid w:val="00994A3D"/>
    <w:rsid w:val="009C2B12"/>
    <w:rsid w:val="00A174D9"/>
    <w:rsid w:val="00AA4D24"/>
    <w:rsid w:val="00AB6715"/>
    <w:rsid w:val="00B1671E"/>
    <w:rsid w:val="00B25EB8"/>
    <w:rsid w:val="00B37F4D"/>
    <w:rsid w:val="00B4107F"/>
    <w:rsid w:val="00BC1066"/>
    <w:rsid w:val="00C52A7B"/>
    <w:rsid w:val="00C56BAF"/>
    <w:rsid w:val="00C679AA"/>
    <w:rsid w:val="00C75972"/>
    <w:rsid w:val="00CA5B6B"/>
    <w:rsid w:val="00CD066B"/>
    <w:rsid w:val="00CD68FB"/>
    <w:rsid w:val="00CE4FEE"/>
    <w:rsid w:val="00DB59C3"/>
    <w:rsid w:val="00DC259A"/>
    <w:rsid w:val="00DE23E8"/>
    <w:rsid w:val="00E52377"/>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Hyp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character" w:customStyle="1" w:styleId="UnresolvedMention">
    <w:name w:val="Unresolved Mention"/>
    <w:basedOn w:val="Absatz-Standardschriftart"/>
    <w:uiPriority w:val="99"/>
    <w:semiHidden/>
    <w:unhideWhenUsed/>
    <w:rsid w:val="00960905"/>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Hyp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character" w:customStyle="1" w:styleId="UnresolvedMention">
    <w:name w:val="Unresolved Mention"/>
    <w:basedOn w:val="Absatz-Standardschriftart"/>
    <w:uiPriority w:val="99"/>
    <w:semiHidden/>
    <w:unhideWhenUsed/>
    <w:rsid w:val="0096090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816148247">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12056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Birgit.Sattler@uibk.ac.at" TargetMode="External"/><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63235-60D3-4E19-9482-A3B4BFC8E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6</Pages>
  <Words>264</Words>
  <Characters>1665</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Weisleitner Klemens</dc:creator>
  <cp:lastModifiedBy>Klemens Weisleitner</cp:lastModifiedBy>
  <cp:revision>8</cp:revision>
  <cp:lastPrinted>2013-10-03T12:51:00Z</cp:lastPrinted>
  <dcterms:created xsi:type="dcterms:W3CDTF">2018-12-07T13:56:00Z</dcterms:created>
  <dcterms:modified xsi:type="dcterms:W3CDTF">2019-04-04T10:18:00Z</dcterms:modified>
</cp:coreProperties>
</file>