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1" w:rsidRDefault="009B7FE5">
      <w:pPr>
        <w:spacing w:line="48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>Table S</w:t>
      </w:r>
      <w:r>
        <w:rPr>
          <w:rFonts w:ascii="Times New Roman" w:eastAsia="SimSun" w:hAnsi="Times New Roman" w:cs="Times New Roman" w:hint="eastAsia"/>
          <w:b/>
          <w:sz w:val="20"/>
          <w:szCs w:val="20"/>
          <w:lang w:bidi="ar"/>
        </w:rPr>
        <w:t>4</w:t>
      </w: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 xml:space="preserve">. </w:t>
      </w:r>
      <w:r>
        <w:rPr>
          <w:rFonts w:ascii="Times New Roman" w:eastAsia="SimSun" w:hAnsi="Times New Roman" w:cs="Times New Roman" w:hint="eastAsia"/>
          <w:sz w:val="20"/>
          <w:szCs w:val="20"/>
          <w:lang w:bidi="ar"/>
        </w:rPr>
        <w:t xml:space="preserve">DNA sequences of oligonucleotide primers used in the </w:t>
      </w:r>
      <w:r>
        <w:rPr>
          <w:rFonts w:ascii="Times New Roman" w:eastAsia="SimSun" w:hAnsi="Times New Roman" w:cs="Times New Roman" w:hint="eastAsia"/>
          <w:i/>
          <w:iCs/>
          <w:sz w:val="20"/>
          <w:szCs w:val="20"/>
          <w:lang w:bidi="ar"/>
        </w:rPr>
        <w:t xml:space="preserve">MdMYB1 </w:t>
      </w:r>
      <w:r>
        <w:rPr>
          <w:rFonts w:ascii="Times New Roman" w:eastAsia="SimSun" w:hAnsi="Times New Roman" w:cs="Times New Roman" w:hint="eastAsia"/>
          <w:sz w:val="20"/>
          <w:szCs w:val="20"/>
          <w:lang w:bidi="ar"/>
        </w:rPr>
        <w:t>promoter sequence analysis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.</w:t>
      </w:r>
    </w:p>
    <w:tbl>
      <w:tblPr>
        <w:tblpPr w:leftFromText="180" w:rightFromText="180" w:vertAnchor="text" w:horzAnchor="page" w:tblpX="1768" w:tblpY="106"/>
        <w:tblW w:w="9179" w:type="dxa"/>
        <w:tblLayout w:type="fixed"/>
        <w:tblLook w:val="04A0" w:firstRow="1" w:lastRow="0" w:firstColumn="1" w:lastColumn="0" w:noHBand="0" w:noVBand="1"/>
      </w:tblPr>
      <w:tblGrid>
        <w:gridCol w:w="1370"/>
        <w:gridCol w:w="1418"/>
        <w:gridCol w:w="3260"/>
        <w:gridCol w:w="3131"/>
      </w:tblGrid>
      <w:tr w:rsidR="00CE1851">
        <w:trPr>
          <w:trHeight w:val="330"/>
        </w:trPr>
        <w:tc>
          <w:tcPr>
            <w:tcW w:w="13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Primer position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Sense primer (5ʹ–3ʹ)</w:t>
            </w:r>
          </w:p>
        </w:tc>
        <w:tc>
          <w:tcPr>
            <w:tcW w:w="31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Anti-sense primer (5ʹ–3ʹ)</w:t>
            </w:r>
          </w:p>
        </w:tc>
      </w:tr>
      <w:tr w:rsidR="00CE1851">
        <w:trPr>
          <w:trHeight w:val="222"/>
        </w:trPr>
        <w:tc>
          <w:tcPr>
            <w:tcW w:w="13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bidi="ar"/>
              </w:rPr>
              <w:t xml:space="preserve">2026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i/>
                <w:kern w:val="0"/>
                <w:sz w:val="18"/>
                <w:szCs w:val="18"/>
                <w:lang w:bidi="ar"/>
              </w:rPr>
              <w:t>MdMYB1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CTCTAGAGAAATCGTTCGAAGGTC</w:t>
            </w:r>
          </w:p>
        </w:tc>
        <w:tc>
          <w:tcPr>
            <w:tcW w:w="31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CCCATGGCTCTTATCTGCTAGC</w:t>
            </w:r>
          </w:p>
        </w:tc>
      </w:tr>
      <w:tr w:rsidR="00CE1851">
        <w:trPr>
          <w:trHeight w:val="285"/>
        </w:trPr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-1870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bidi="ar"/>
              </w:rPr>
              <w:t>, -1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bidi="ar"/>
              </w:rPr>
              <w:t>MdMYB1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-a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CTCTAGATGCCATTTTTGAACACA</w:t>
            </w:r>
          </w:p>
        </w:tc>
        <w:tc>
          <w:tcPr>
            <w:tcW w:w="31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bidi="ar"/>
              </w:rPr>
              <w:t>CCCATGGCTCTTATCTGC</w:t>
            </w:r>
          </w:p>
        </w:tc>
      </w:tr>
      <w:tr w:rsidR="00CE1851">
        <w:trPr>
          <w:trHeight w:val="325"/>
        </w:trPr>
        <w:tc>
          <w:tcPr>
            <w:tcW w:w="1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 xml:space="preserve">-964, </w:t>
            </w:r>
            <w:r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bidi="ar"/>
              </w:rPr>
              <w:t xml:space="preserve">-1 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bidi="ar"/>
              </w:rPr>
              <w:t>MdMYB1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-b1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CTCTAGAGAAATCGTTCGAAGGTC</w:t>
            </w:r>
          </w:p>
        </w:tc>
        <w:tc>
          <w:tcPr>
            <w:tcW w:w="31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TCAGGCTTGTCCTACTTGGTTATCT</w:t>
            </w:r>
          </w:p>
        </w:tc>
      </w:tr>
      <w:tr w:rsidR="00CE1851">
        <w:trPr>
          <w:trHeight w:val="285"/>
        </w:trPr>
        <w:tc>
          <w:tcPr>
            <w:tcW w:w="1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kern w:val="0"/>
                <w:sz w:val="18"/>
                <w:szCs w:val="18"/>
                <w:lang w:bidi="ar"/>
              </w:rPr>
              <w:t>2026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, -1062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i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  <w:lang w:bidi="ar"/>
              </w:rPr>
              <w:t>MdMYB1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-b2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GTAGGACAAGCCTGAAATCTTAGGA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CCCATGGCTCTTATCTGCTAGC</w:t>
            </w:r>
          </w:p>
        </w:tc>
      </w:tr>
    </w:tbl>
    <w:p w:rsidR="00CE1851" w:rsidRDefault="009B7FE5">
      <w:pPr>
        <w:pStyle w:val="MDPI22heading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SimSun" w:hAnsi="Times New Roman" w:cs="Times New Roman"/>
          <w:szCs w:val="20"/>
          <w:lang w:bidi="ar"/>
        </w:rPr>
        <w:br w:type="page"/>
      </w:r>
    </w:p>
    <w:p w:rsidR="00CE1851" w:rsidRDefault="009B7FE5">
      <w:pPr>
        <w:spacing w:line="48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lastRenderedPageBreak/>
        <w:t>Table S</w:t>
      </w:r>
      <w:r>
        <w:rPr>
          <w:rFonts w:ascii="Times New Roman" w:eastAsia="SimSun" w:hAnsi="Times New Roman" w:cs="Times New Roman" w:hint="eastAsia"/>
          <w:b/>
          <w:sz w:val="20"/>
          <w:szCs w:val="20"/>
          <w:lang w:bidi="ar"/>
        </w:rPr>
        <w:t>5</w:t>
      </w: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 xml:space="preserve">. </w:t>
      </w:r>
      <w:r>
        <w:rPr>
          <w:rFonts w:ascii="Times New Roman" w:eastAsia="SimSun" w:hAnsi="Times New Roman" w:cs="Times New Roman" w:hint="eastAsia"/>
          <w:sz w:val="20"/>
          <w:szCs w:val="20"/>
          <w:lang w:bidi="ar"/>
        </w:rPr>
        <w:t xml:space="preserve">DNA sequences of oligonucleotide primers used in the </w:t>
      </w:r>
      <w:r>
        <w:rPr>
          <w:rFonts w:ascii="Times New Roman" w:eastAsia="SimSun" w:hAnsi="Times New Roman" w:cs="Times New Roman" w:hint="eastAsia"/>
          <w:sz w:val="20"/>
          <w:szCs w:val="20"/>
          <w:lang w:bidi="ar"/>
        </w:rPr>
        <w:t>overlap extension PCR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.</w:t>
      </w:r>
    </w:p>
    <w:tbl>
      <w:tblPr>
        <w:tblW w:w="8038" w:type="dxa"/>
        <w:tblBorders>
          <w:top w:val="single" w:sz="8" w:space="0" w:color="5B9BD5"/>
          <w:left w:val="none" w:sz="6" w:space="0" w:color="auto"/>
          <w:bottom w:val="single" w:sz="8" w:space="0" w:color="5B9BD5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887"/>
        <w:gridCol w:w="1558"/>
        <w:gridCol w:w="3506"/>
      </w:tblGrid>
      <w:tr w:rsidR="00CE1851">
        <w:trPr>
          <w:trHeight w:val="301"/>
        </w:trPr>
        <w:tc>
          <w:tcPr>
            <w:tcW w:w="2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Recombinant promoter</w:t>
            </w:r>
          </w:p>
        </w:tc>
        <w:tc>
          <w:tcPr>
            <w:tcW w:w="8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Length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Name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Primer (5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ʹ–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ʹ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CE1851">
        <w:trPr>
          <w:trHeight w:val="362"/>
        </w:trPr>
        <w:tc>
          <w:tcPr>
            <w:tcW w:w="208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bidi="ar"/>
              </w:rPr>
              <w:t>MdMYB1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-b (b1+b2)</w:t>
            </w:r>
          </w:p>
        </w:tc>
        <w:tc>
          <w:tcPr>
            <w:tcW w:w="88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1927 </w:t>
            </w:r>
            <w:proofErr w:type="spellStart"/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bp</w:t>
            </w:r>
            <w:proofErr w:type="spellEnd"/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bidi="ar"/>
              </w:rPr>
              <w:t>MdMYB1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-b1F</w:t>
            </w:r>
          </w:p>
        </w:tc>
        <w:tc>
          <w:tcPr>
            <w:tcW w:w="350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CTCTAGAGAAATCGTTCGAAGGTC</w:t>
            </w:r>
          </w:p>
        </w:tc>
      </w:tr>
      <w:tr w:rsidR="00CE1851">
        <w:trPr>
          <w:trHeight w:val="94"/>
        </w:trPr>
        <w:tc>
          <w:tcPr>
            <w:tcW w:w="208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CE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CE1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kern w:val="0"/>
                <w:sz w:val="20"/>
                <w:szCs w:val="20"/>
                <w:lang w:bidi="ar"/>
              </w:rPr>
              <w:t>MdMYB1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-b2R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E1851" w:rsidRDefault="009B7FE5"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CCCATGGCTCTTATCTGCTAGC</w:t>
            </w:r>
          </w:p>
        </w:tc>
      </w:tr>
    </w:tbl>
    <w:p w:rsidR="00CE1851" w:rsidRDefault="00CE1851">
      <w:pPr>
        <w:spacing w:line="480" w:lineRule="auto"/>
        <w:rPr>
          <w:rFonts w:ascii="Times New Roman" w:hAnsi="Times New Roman" w:cs="Times New Roman"/>
          <w:szCs w:val="21"/>
        </w:rPr>
      </w:pPr>
    </w:p>
    <w:p w:rsidR="00CE1851" w:rsidRDefault="009B7FE5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szCs w:val="21"/>
          <w:lang w:bidi="ar"/>
        </w:rPr>
        <w:br w:type="page"/>
      </w:r>
    </w:p>
    <w:p w:rsidR="00CE1851" w:rsidRDefault="009B7FE5">
      <w:pPr>
        <w:spacing w:line="48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lastRenderedPageBreak/>
        <w:t>Table S</w:t>
      </w:r>
      <w:r>
        <w:rPr>
          <w:rFonts w:ascii="Times New Roman" w:eastAsia="SimSun" w:hAnsi="Times New Roman" w:cs="Times New Roman" w:hint="eastAsia"/>
          <w:b/>
          <w:sz w:val="20"/>
          <w:szCs w:val="20"/>
          <w:lang w:bidi="ar"/>
        </w:rPr>
        <w:t>6</w:t>
      </w: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 xml:space="preserve">. </w:t>
      </w:r>
      <w:proofErr w:type="gramStart"/>
      <w:r>
        <w:rPr>
          <w:rFonts w:ascii="Times New Roman" w:eastAsia="SimSun" w:hAnsi="Times New Roman" w:cs="Times New Roman" w:hint="eastAsia"/>
          <w:sz w:val="20"/>
          <w:szCs w:val="20"/>
          <w:lang w:bidi="ar"/>
        </w:rPr>
        <w:t>Primer sequences used in the quantitative real-time PCR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.</w:t>
      </w:r>
      <w:proofErr w:type="gramEnd"/>
    </w:p>
    <w:tbl>
      <w:tblPr>
        <w:tblW w:w="8729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2977"/>
        <w:gridCol w:w="3469"/>
      </w:tblGrid>
      <w:tr w:rsidR="00CE1851">
        <w:trPr>
          <w:trHeight w:val="330"/>
          <w:jc w:val="center"/>
        </w:trPr>
        <w:tc>
          <w:tcPr>
            <w:tcW w:w="14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Gene ID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Name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Sense primer (5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ʹ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–3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ʹ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Anti-sense primer (5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ʹ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–3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ʹ</w:t>
            </w: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103447714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ACTIN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CTGAACCCAAAGGCTAATCG</w:t>
            </w:r>
          </w:p>
        </w:tc>
        <w:tc>
          <w:tcPr>
            <w:tcW w:w="34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ACTGGCGTAGAGGGAAAGAA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103450046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PAL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AGGAACACCGTAAAGAACA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ACATACTCCCTATCGACAAC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103443513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CHS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AGTGACACCCACCTTGATAG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CTGTCGGGGAGAATGGTTTG 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103450464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DFR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ATTTATCTTTACGAGCATCC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CCCTATCTCCCTCAACTTCT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103437326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ANS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GTTCCAAATTCCATCGTCAT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TCACCTTTTCCTTGTTCACC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103444202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MYB1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GTCGTCGTCAACAAAGAATGG 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GGTCCGTGCTAAAGGAGAAT 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103454421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CHI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GTTACAGGTCCGTTTGAGAA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AACTTTTCAATGGCTTTGCCTTCTG 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103417897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UFGT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TCGTAGCCTTCCCTTTCACT 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 xml:space="preserve">TTATCAATGCTGTTGTTGGAAAAGA 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103437875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F3H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CTGCTACTACGCTGACATCC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AATACCCCAGTCCTCACAAG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103436762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GST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ATGGGAGTGAAAGTGC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GGAAGACAATGGGAGA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103423002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ARF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GAGGTGGTTTATTATCCG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TGGTGGTGAGAAGGGT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103425598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SOD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GGCTGGGTTTGGCTTGT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CAGGGATGTTAGGTTCGTTT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103446759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COP1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GAGGACATTACTGCCGTTGA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AAACTGCGAATGGACACG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103433816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PHYA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TGAGGAGTCGGGTAGTTC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CTTGCCTTTCTGTATGTGA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103436481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CRY</w:t>
            </w:r>
          </w:p>
        </w:tc>
        <w:tc>
          <w:tcPr>
            <w:tcW w:w="2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TGGTCCCAAGCATTACTA</w:t>
            </w:r>
          </w:p>
        </w:tc>
        <w:tc>
          <w:tcPr>
            <w:tcW w:w="34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CTACACCTCCATCCCTCT</w:t>
            </w:r>
          </w:p>
        </w:tc>
      </w:tr>
      <w:tr w:rsidR="00CE1851">
        <w:trPr>
          <w:trHeight w:val="285"/>
          <w:jc w:val="center"/>
        </w:trPr>
        <w:tc>
          <w:tcPr>
            <w:tcW w:w="14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LOC 103416646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PKS1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CAGCAGTAGCAGCACGAA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E1851" w:rsidRDefault="009B7FE5">
            <w:pPr>
              <w:widowControl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0"/>
                <w:sz w:val="20"/>
                <w:szCs w:val="20"/>
                <w:lang w:bidi="ar"/>
              </w:rPr>
              <w:t>CATCCACATCAACCGAAT</w:t>
            </w:r>
          </w:p>
        </w:tc>
      </w:tr>
    </w:tbl>
    <w:p w:rsidR="00CE1851" w:rsidRDefault="009B7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1851" w:rsidRDefault="009B7F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lastRenderedPageBreak/>
        <w:t>Figure S1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. Clusters</w:t>
      </w:r>
      <w:r>
        <w:rPr>
          <w:rStyle w:val="CommentReference"/>
          <w:rFonts w:ascii="Times New Roman" w:eastAsia="SimSun" w:hAnsi="Times New Roman" w:cs="Times New Roman"/>
          <w:sz w:val="20"/>
          <w:szCs w:val="20"/>
          <w:lang w:bidi="ar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 xml:space="preserve">of differentially expressed transcripts with expression profile changes based on the number of genes and the significance of expression profiles. 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bidi="ar"/>
        </w:rPr>
        <w:t>(</w:t>
      </w: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>a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), (</w:t>
      </w: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>b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) and (</w:t>
      </w:r>
      <w:r>
        <w:rPr>
          <w:rFonts w:ascii="Times New Roman" w:eastAsia="SimSun" w:hAnsi="Times New Roman" w:cs="Times New Roman"/>
          <w:b/>
          <w:sz w:val="20"/>
          <w:szCs w:val="20"/>
          <w:lang w:bidi="ar"/>
        </w:rPr>
        <w:t>c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 xml:space="preserve">) Changes in gene expression profiles in bag-removed,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bidi="ar"/>
        </w:rPr>
        <w:t>unbagged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bidi="ar"/>
        </w:rPr>
        <w:t>, and bagged treatment groups, respectively.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bidi="ar"/>
        </w:rPr>
        <w:t xml:space="preserve"> The transcripts were divided into eight clusters in each treatment group, representing distinct expression patterns, and three clusters of each group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 xml:space="preserve"> with significant differential expression at </w:t>
      </w:r>
      <w:r>
        <w:rPr>
          <w:rFonts w:ascii="Times New Roman" w:eastAsia="SimSun" w:hAnsi="Times New Roman" w:cs="Times New Roman"/>
          <w:i/>
          <w:sz w:val="20"/>
          <w:szCs w:val="20"/>
          <w:lang w:bidi="ar"/>
        </w:rPr>
        <w:t>p</w:t>
      </w:r>
      <w:r>
        <w:rPr>
          <w:rFonts w:ascii="Times New Roman" w:eastAsia="SimSun" w:hAnsi="Times New Roman" w:cs="Times New Roman"/>
          <w:sz w:val="20"/>
          <w:szCs w:val="20"/>
          <w:lang w:bidi="ar"/>
        </w:rPr>
        <w:t>-value &lt; 0.05.</w:t>
      </w:r>
    </w:p>
    <w:p w:rsidR="00CE1851" w:rsidRDefault="00CE1851">
      <w:pPr>
        <w:rPr>
          <w:rFonts w:ascii="Times New Roman" w:hAnsi="Times New Roman" w:cs="Times New Roman"/>
        </w:rPr>
      </w:pPr>
    </w:p>
    <w:p w:rsidR="00CE1851" w:rsidRDefault="009B7FE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noProof/>
          <w:lang w:eastAsia="en-US"/>
        </w:rPr>
        <w:drawing>
          <wp:inline distT="0" distB="0" distL="114300" distR="114300">
            <wp:extent cx="3714750" cy="4895850"/>
            <wp:effectExtent l="0" t="0" r="0" b="0"/>
            <wp:docPr id="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851" w:rsidSect="009B7FE5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4"/>
  </w:docVars>
  <w:rsids>
    <w:rsidRoot w:val="001B6AB0"/>
    <w:rsid w:val="00151B7D"/>
    <w:rsid w:val="001B6AB0"/>
    <w:rsid w:val="001D369C"/>
    <w:rsid w:val="007B665C"/>
    <w:rsid w:val="007D3485"/>
    <w:rsid w:val="009B7FE5"/>
    <w:rsid w:val="00B12A7E"/>
    <w:rsid w:val="00CE1851"/>
    <w:rsid w:val="00FD6393"/>
    <w:rsid w:val="08667E2F"/>
    <w:rsid w:val="0E6B34ED"/>
    <w:rsid w:val="296927D7"/>
    <w:rsid w:val="4453725D"/>
    <w:rsid w:val="715C5217"/>
    <w:rsid w:val="79E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paragraph" w:customStyle="1" w:styleId="MDPI22heading2">
    <w:name w:val="MDPI_2.2_heading2"/>
    <w:basedOn w:val="Normal"/>
    <w:qFormat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snapToGrid w:val="0"/>
      <w:sz w:val="20"/>
      <w:szCs w:val="22"/>
      <w:lang w:bidi="en-US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neNumber">
    <w:name w:val="line number"/>
    <w:basedOn w:val="DefaultParagraphFont"/>
    <w:qFormat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paragraph" w:customStyle="1" w:styleId="MDPI22heading2">
    <w:name w:val="MDPI_2.2_heading2"/>
    <w:basedOn w:val="Normal"/>
    <w:qFormat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snapToGrid w:val="0"/>
      <w:sz w:val="20"/>
      <w:szCs w:val="22"/>
      <w:lang w:bidi="en-US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246</Words>
  <Characters>2032</Characters>
  <Application>Microsoft Office Word</Application>
  <DocSecurity>0</DocSecurity>
  <Lines>119</Lines>
  <Paragraphs>113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马长青</dc:creator>
  <cp:lastModifiedBy>GSABORDO</cp:lastModifiedBy>
  <cp:revision>5</cp:revision>
  <dcterms:created xsi:type="dcterms:W3CDTF">2014-10-29T12:08:00Z</dcterms:created>
  <dcterms:modified xsi:type="dcterms:W3CDTF">2019-04-29T13:17:00Z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