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06" w:rsidRPr="00CC5CE5" w:rsidRDefault="00CE20BD" w:rsidP="00492206">
      <w:pPr>
        <w:pStyle w:val="Heading1"/>
        <w:rPr>
          <w:rFonts w:cs="Arial"/>
          <w:lang w:val="en-US"/>
        </w:rPr>
      </w:pPr>
      <w:r>
        <w:rPr>
          <w:rFonts w:cs="Arial"/>
          <w:lang w:val="en-US"/>
        </w:rPr>
        <w:t>Additional file 1</w:t>
      </w:r>
      <w:bookmarkStart w:id="0" w:name="_GoBack"/>
      <w:bookmarkEnd w:id="0"/>
    </w:p>
    <w:p w:rsidR="00492206" w:rsidRPr="00CC5CE5" w:rsidRDefault="00492206" w:rsidP="00492206">
      <w:pPr>
        <w:rPr>
          <w:lang w:val="en-US"/>
        </w:rPr>
      </w:pPr>
    </w:p>
    <w:p w:rsidR="00492206" w:rsidRPr="00CC5CE5" w:rsidRDefault="00492206" w:rsidP="00492206">
      <w:pPr>
        <w:rPr>
          <w:b/>
          <w:lang w:val="en-US"/>
        </w:rPr>
      </w:pPr>
      <w:r w:rsidRPr="00CC5CE5">
        <w:rPr>
          <w:b/>
          <w:lang w:val="en-US"/>
        </w:rPr>
        <w:t xml:space="preserve">Information on the </w:t>
      </w:r>
      <w:r w:rsidRPr="00CC5CE5">
        <w:rPr>
          <w:rStyle w:val="Heading2Char"/>
        </w:rPr>
        <w:t>International Sarcoma Kindred Study</w:t>
      </w:r>
      <w:r w:rsidRPr="00CC5CE5">
        <w:rPr>
          <w:b/>
          <w:lang w:val="en-US"/>
        </w:rPr>
        <w:t xml:space="preserve"> an</w:t>
      </w:r>
      <w:r w:rsidRPr="00CC5CE5">
        <w:rPr>
          <w:rStyle w:val="Heading2Char"/>
        </w:rPr>
        <w:t>d the Medical Genome Reference Bank</w:t>
      </w:r>
    </w:p>
    <w:p w:rsidR="00492206" w:rsidRPr="00CC5CE5" w:rsidRDefault="00492206" w:rsidP="00492206">
      <w:pPr>
        <w:rPr>
          <w:lang w:val="en-US"/>
        </w:rPr>
      </w:pPr>
      <w:r w:rsidRPr="00CC5CE5">
        <w:rPr>
          <w:lang w:val="en-US"/>
        </w:rPr>
        <w:t xml:space="preserve">The </w:t>
      </w:r>
      <w:r w:rsidRPr="00CC5CE5">
        <w:t>International Sarcoma Kindred Study</w:t>
      </w:r>
      <w:r w:rsidRPr="00CC5CE5">
        <w:rPr>
          <w:lang w:val="en-US"/>
        </w:rPr>
        <w:t xml:space="preserve"> was initiated in 2008 to investigate the prevalence and nature of heritable risk in sarcoma populations</w:t>
      </w:r>
      <w:r w:rsidR="008932D8">
        <w:rPr>
          <w:lang w:val="en-US"/>
        </w:rPr>
        <w:t xml:space="preserve"> </w:t>
      </w:r>
      <w:r w:rsidRPr="00CC5CE5">
        <w:rPr>
          <w:lang w:val="en-US"/>
        </w:rPr>
        <w:fldChar w:fldCharType="begin"/>
      </w:r>
      <w:r w:rsidR="008932D8">
        <w:rPr>
          <w:lang w:val="en-US"/>
        </w:rPr>
        <w:instrText xml:space="preserve"> ADDIN EN.CITE &lt;EndNote&gt;&lt;Cite&gt;&lt;Author&gt;Australasian Sarcoma Study Group&lt;/Author&gt;&lt;Year&gt;2013&lt;/Year&gt;&lt;RecNum&gt;31&lt;/RecNum&gt;&lt;DisplayText&gt;(1)&lt;/DisplayText&gt;&lt;record&gt;&lt;rec-number&gt;31&lt;/rec-number&gt;&lt;foreign-keys&gt;&lt;key app="EN" db-id="dr059dzz3ppzrdeatv4pseexx5099fvvrxvw" timestamp="1533883796"&gt;31&lt;/key&gt;&lt;/foreign-keys&gt;&lt;ref-type name="Web Page"&gt;12&lt;/ref-type&gt;&lt;contributors&gt;&lt;authors&gt;&lt;author&gt;Australasian Sarcoma Study Group,&lt;/author&gt;&lt;/authors&gt;&lt;/contributors&gt;&lt;titles&gt;&lt;title&gt;International Sarcoma Kindred Study&lt;/title&gt;&lt;/titles&gt;&lt;volume&gt;2014&lt;/volume&gt;&lt;dates&gt;&lt;year&gt;2013&lt;/year&gt;&lt;/dates&gt;&lt;pub-location&gt;Melbourne&lt;/pub-location&gt;&lt;publisher&gt;Australasian Sarcoma Study Group&lt;/publisher&gt;&lt;urls&gt;&lt;related-urls&gt;&lt;url&gt;http://www.australiansarcomagroup.org/sarcomakindredstudy&lt;/url&gt;&lt;/related-urls&gt;&lt;/urls&gt;&lt;/record&gt;&lt;/Cite&gt;&lt;/EndNote&gt;</w:instrText>
      </w:r>
      <w:r w:rsidRPr="00CC5CE5">
        <w:rPr>
          <w:lang w:val="en-US"/>
        </w:rPr>
        <w:fldChar w:fldCharType="separate"/>
      </w:r>
      <w:r w:rsidR="008932D8">
        <w:rPr>
          <w:noProof/>
          <w:lang w:val="en-US"/>
        </w:rPr>
        <w:t>(1)</w:t>
      </w:r>
      <w:r w:rsidRPr="00CC5CE5">
        <w:rPr>
          <w:lang w:val="en-US"/>
        </w:rPr>
        <w:fldChar w:fldCharType="end"/>
      </w:r>
      <w:r w:rsidR="008932D8">
        <w:rPr>
          <w:lang w:val="en-US"/>
        </w:rPr>
        <w:t>.</w:t>
      </w:r>
      <w:r w:rsidRPr="00CC5CE5">
        <w:rPr>
          <w:rFonts w:ascii="LMRoman8-Regular" w:hAnsi="LMRoman8-Regular" w:cs="LMRoman8-Regular"/>
          <w:sz w:val="16"/>
          <w:szCs w:val="16"/>
          <w:lang w:val="en-US"/>
        </w:rPr>
        <w:t xml:space="preserve"> </w:t>
      </w:r>
      <w:r w:rsidRPr="00CC5CE5">
        <w:rPr>
          <w:lang w:val="en-US"/>
        </w:rPr>
        <w:t xml:space="preserve">The </w:t>
      </w:r>
      <w:r w:rsidRPr="00CC5CE5">
        <w:t>International Sarcoma Kindred Study</w:t>
      </w:r>
      <w:r w:rsidRPr="00CC5CE5">
        <w:rPr>
          <w:lang w:val="en-US"/>
        </w:rPr>
        <w:t xml:space="preserve"> is a global genetic, biological, epidemiological, and clinical resource for researchers to investigate the hereditary characteristics of sarcoma. Patients were recruited from several sites across Australia, France, New Zealand, India, the United States of America and the United Kingdom.</w:t>
      </w:r>
    </w:p>
    <w:p w:rsidR="00492206" w:rsidRPr="00CC5CE5" w:rsidRDefault="00492206" w:rsidP="00492206">
      <w:pPr>
        <w:rPr>
          <w:lang w:val="en-US"/>
        </w:rPr>
      </w:pPr>
    </w:p>
    <w:p w:rsidR="00492206" w:rsidRPr="00CC5CE5" w:rsidRDefault="00492206" w:rsidP="00492206">
      <w:pPr>
        <w:rPr>
          <w:lang w:val="en-US"/>
        </w:rPr>
      </w:pPr>
      <w:r w:rsidRPr="00CC5CE5">
        <w:rPr>
          <w:lang w:val="en-US"/>
        </w:rPr>
        <w:t xml:space="preserve">Patients with sarcoma (probands) were recruited from major sarcoma treatment centers, regardless of their family history of cancer. Individuals with adult-onset sarcoma (&gt; 15 years old) were eligible for the </w:t>
      </w:r>
      <w:r w:rsidRPr="00CC5CE5">
        <w:t>International Sarcoma Kindred Study</w:t>
      </w:r>
      <w:r w:rsidRPr="00CC5CE5">
        <w:rPr>
          <w:lang w:val="en-US"/>
        </w:rPr>
        <w:t>. Family members were also invited to participate if the patient with sarcoma was &lt; 45 years of age, or there was a significant family history of cancer</w:t>
      </w:r>
      <w:r w:rsidR="008932D8">
        <w:rPr>
          <w:lang w:val="en-US"/>
        </w:rPr>
        <w:t xml:space="preserve"> </w:t>
      </w:r>
      <w:r w:rsidRPr="00CC5CE5">
        <w:rPr>
          <w:lang w:val="en-US"/>
        </w:rPr>
        <w:fldChar w:fldCharType="begin"/>
      </w:r>
      <w:r w:rsidR="008932D8">
        <w:rPr>
          <w:lang w:val="en-US"/>
        </w:rPr>
        <w:instrText xml:space="preserve"> ADDIN EN.CITE &lt;EndNote&gt;&lt;Cite&gt;&lt;Author&gt;Australasian Sarcoma Study Group&lt;/Author&gt;&lt;Year&gt;2013&lt;/Year&gt;&lt;RecNum&gt;31&lt;/RecNum&gt;&lt;DisplayText&gt;(1)&lt;/DisplayText&gt;&lt;record&gt;&lt;rec-number&gt;31&lt;/rec-number&gt;&lt;foreign-keys&gt;&lt;key app="EN" db-id="dr059dzz3ppzrdeatv4pseexx5099fvvrxvw" timestamp="1533883796"&gt;31&lt;/key&gt;&lt;/foreign-keys&gt;&lt;ref-type name="Web Page"&gt;12&lt;/ref-type&gt;&lt;contributors&gt;&lt;authors&gt;&lt;author&gt;Australasian Sarcoma Study Group,&lt;/author&gt;&lt;/authors&gt;&lt;/contributors&gt;&lt;titles&gt;&lt;title&gt;International Sarcoma Kindred Study&lt;/title&gt;&lt;/titles&gt;&lt;volume&gt;2014&lt;/volume&gt;&lt;dates&gt;&lt;year&gt;2013&lt;/year&gt;&lt;/dates&gt;&lt;pub-location&gt;Melbourne&lt;/pub-location&gt;&lt;publisher&gt;Australasian Sarcoma Study Group&lt;/publisher&gt;&lt;urls&gt;&lt;related-urls&gt;&lt;url&gt;http://www.australiansarcomagroup.org/sarcomakindredstudy&lt;/url&gt;&lt;/related-urls&gt;&lt;/urls&gt;&lt;/record&gt;&lt;/Cite&gt;&lt;/EndNote&gt;</w:instrText>
      </w:r>
      <w:r w:rsidRPr="00CC5CE5">
        <w:rPr>
          <w:lang w:val="en-US"/>
        </w:rPr>
        <w:fldChar w:fldCharType="separate"/>
      </w:r>
      <w:r w:rsidR="008932D8">
        <w:rPr>
          <w:noProof/>
          <w:lang w:val="en-US"/>
        </w:rPr>
        <w:t>(1)</w:t>
      </w:r>
      <w:r w:rsidRPr="00CC5CE5">
        <w:rPr>
          <w:lang w:val="en-US"/>
        </w:rPr>
        <w:fldChar w:fldCharType="end"/>
      </w:r>
      <w:r w:rsidR="008932D8">
        <w:rPr>
          <w:lang w:val="en-US"/>
        </w:rPr>
        <w:t>.</w:t>
      </w:r>
      <w:r w:rsidRPr="00CC5CE5">
        <w:rPr>
          <w:rFonts w:ascii="LMRoman8-Regular" w:hAnsi="LMRoman8-Regular" w:cs="LMRoman8-Regular"/>
          <w:sz w:val="16"/>
          <w:szCs w:val="16"/>
          <w:lang w:val="en-US"/>
        </w:rPr>
        <w:t xml:space="preserve"> </w:t>
      </w:r>
      <w:r w:rsidRPr="00CC5CE5">
        <w:rPr>
          <w:lang w:val="en-US"/>
        </w:rPr>
        <w:t>Study questionnaires containing demographic, medical, epidemiological and psychosocial information were completed, including personal history of cancer or exposure to known risk factors for sarcoma</w:t>
      </w:r>
      <w:r w:rsidR="008932D8">
        <w:rPr>
          <w:lang w:val="en-US"/>
        </w:rPr>
        <w:t xml:space="preserve"> </w:t>
      </w:r>
      <w:r w:rsidRPr="00CC5CE5">
        <w:rPr>
          <w:lang w:val="en-US"/>
        </w:rPr>
        <w:fldChar w:fldCharType="begin">
          <w:fldData xml:space="preserve">PEVuZE5vdGU+PENpdGU+PEF1dGhvcj5NaXRjaGVsbDwvQXV0aG9yPjxZZWFyPjIwMTM8L1llYXI+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==
</w:fldData>
        </w:fldChar>
      </w:r>
      <w:r w:rsidR="008932D8">
        <w:rPr>
          <w:lang w:val="en-US"/>
        </w:rPr>
        <w:instrText xml:space="preserve"> ADDIN EN.CITE </w:instrText>
      </w:r>
      <w:r w:rsidR="008932D8">
        <w:rPr>
          <w:lang w:val="en-US"/>
        </w:rPr>
        <w:fldChar w:fldCharType="begin">
          <w:fldData xml:space="preserve">PEVuZE5vdGU+PENpdGU+PEF1dGhvcj5NaXRjaGVsbDwvQXV0aG9yPjxZZWFyPjIwMTM8L1llYXI+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==
</w:fldData>
        </w:fldChar>
      </w:r>
      <w:r w:rsidR="008932D8">
        <w:rPr>
          <w:lang w:val="en-US"/>
        </w:rPr>
        <w:instrText xml:space="preserve"> ADDIN EN.CITE.DATA </w:instrText>
      </w:r>
      <w:r w:rsidR="008932D8">
        <w:rPr>
          <w:lang w:val="en-US"/>
        </w:rPr>
      </w:r>
      <w:r w:rsidR="008932D8">
        <w:rPr>
          <w:lang w:val="en-US"/>
        </w:rPr>
        <w:fldChar w:fldCharType="end"/>
      </w:r>
      <w:r w:rsidRPr="00CC5CE5">
        <w:rPr>
          <w:lang w:val="en-US"/>
        </w:rPr>
      </w:r>
      <w:r w:rsidRPr="00CC5CE5">
        <w:rPr>
          <w:lang w:val="en-US"/>
        </w:rPr>
        <w:fldChar w:fldCharType="separate"/>
      </w:r>
      <w:r w:rsidR="008932D8">
        <w:rPr>
          <w:noProof/>
          <w:lang w:val="en-US"/>
        </w:rPr>
        <w:t>(2)</w:t>
      </w:r>
      <w:r w:rsidRPr="00CC5CE5">
        <w:rPr>
          <w:lang w:val="en-US"/>
        </w:rPr>
        <w:fldChar w:fldCharType="end"/>
      </w:r>
      <w:r w:rsidR="008932D8">
        <w:rPr>
          <w:lang w:val="en-US"/>
        </w:rPr>
        <w:t>.</w:t>
      </w:r>
      <w:r w:rsidRPr="00CC5CE5">
        <w:rPr>
          <w:lang w:val="en-US"/>
        </w:rPr>
        <w:t xml:space="preserve"> Patients were also asked to donate a venous blood sample and tumor sample, as well as provide access to medical information and access to information about deceased relatives (collected from cancer registries and other health organizations). Medical history and treatment records were obtained for each proband where possible</w:t>
      </w:r>
      <w:r w:rsidR="008932D8">
        <w:rPr>
          <w:lang w:val="en-US"/>
        </w:rPr>
        <w:t xml:space="preserve"> </w:t>
      </w:r>
      <w:r w:rsidRPr="00CC5CE5">
        <w:rPr>
          <w:lang w:val="en-US"/>
        </w:rPr>
        <w:fldChar w:fldCharType="begin">
          <w:fldData xml:space="preserve">PEVuZE5vdGU+PENpdGU+PEF1dGhvcj5NaXRjaGVsbDwvQXV0aG9yPjxZZWFyPjIwMTM8L1llYXI+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==
</w:fldData>
        </w:fldChar>
      </w:r>
      <w:r w:rsidR="008932D8">
        <w:rPr>
          <w:lang w:val="en-US"/>
        </w:rPr>
        <w:instrText xml:space="preserve"> ADDIN EN.CITE </w:instrText>
      </w:r>
      <w:r w:rsidR="008932D8">
        <w:rPr>
          <w:lang w:val="en-US"/>
        </w:rPr>
        <w:fldChar w:fldCharType="begin">
          <w:fldData xml:space="preserve">PEVuZE5vdGU+PENpdGU+PEF1dGhvcj5NaXRjaGVsbDwvQXV0aG9yPjxZZWFyPjIwMTM8L1llYXI+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==
</w:fldData>
        </w:fldChar>
      </w:r>
      <w:r w:rsidR="008932D8">
        <w:rPr>
          <w:lang w:val="en-US"/>
        </w:rPr>
        <w:instrText xml:space="preserve"> ADDIN EN.CITE.DATA </w:instrText>
      </w:r>
      <w:r w:rsidR="008932D8">
        <w:rPr>
          <w:lang w:val="en-US"/>
        </w:rPr>
      </w:r>
      <w:r w:rsidR="008932D8">
        <w:rPr>
          <w:lang w:val="en-US"/>
        </w:rPr>
        <w:fldChar w:fldCharType="end"/>
      </w:r>
      <w:r w:rsidRPr="00CC5CE5">
        <w:rPr>
          <w:lang w:val="en-US"/>
        </w:rPr>
      </w:r>
      <w:r w:rsidRPr="00CC5CE5">
        <w:rPr>
          <w:lang w:val="en-US"/>
        </w:rPr>
        <w:fldChar w:fldCharType="separate"/>
      </w:r>
      <w:r w:rsidR="008932D8">
        <w:rPr>
          <w:noProof/>
          <w:lang w:val="en-US"/>
        </w:rPr>
        <w:t>(2)</w:t>
      </w:r>
      <w:r w:rsidRPr="00CC5CE5">
        <w:rPr>
          <w:lang w:val="en-US"/>
        </w:rPr>
        <w:fldChar w:fldCharType="end"/>
      </w:r>
      <w:r w:rsidR="008932D8">
        <w:rPr>
          <w:lang w:val="en-US"/>
        </w:rPr>
        <w:t>.</w:t>
      </w:r>
      <w:r w:rsidRPr="00CC5CE5">
        <w:rPr>
          <w:rFonts w:ascii="LMRoman8-Regular" w:hAnsi="LMRoman8-Regular" w:cs="LMRoman8-Regular"/>
          <w:sz w:val="16"/>
          <w:szCs w:val="16"/>
          <w:lang w:val="en-US"/>
        </w:rPr>
        <w:t xml:space="preserve"> </w:t>
      </w:r>
      <w:r w:rsidRPr="00CC5CE5">
        <w:rPr>
          <w:lang w:val="en-US"/>
        </w:rPr>
        <w:t>All reported cancer diagnoses were independently verified by medical records, Australian and New Zealand cancer registries or death certificates.</w:t>
      </w:r>
    </w:p>
    <w:p w:rsidR="00492206" w:rsidRPr="00CC5CE5" w:rsidRDefault="00492206" w:rsidP="00492206">
      <w:pPr>
        <w:rPr>
          <w:lang w:val="en-US"/>
        </w:rPr>
      </w:pPr>
    </w:p>
    <w:p w:rsidR="00492206" w:rsidRPr="00CC5CE5" w:rsidRDefault="00492206" w:rsidP="00492206">
      <w:pPr>
        <w:rPr>
          <w:lang w:val="en-US"/>
        </w:rPr>
      </w:pPr>
      <w:r w:rsidRPr="00CC5CE5">
        <w:rPr>
          <w:lang w:val="en-US"/>
        </w:rPr>
        <w:t xml:space="preserve">The </w:t>
      </w:r>
      <w:r w:rsidRPr="00CC5CE5">
        <w:rPr>
          <w:rFonts w:cs="Arial"/>
          <w:lang w:val="en-US"/>
        </w:rPr>
        <w:t>Medical Genome Reference Bank</w:t>
      </w:r>
      <w:r w:rsidRPr="00CC5CE5">
        <w:rPr>
          <w:lang w:val="en-US"/>
        </w:rPr>
        <w:t xml:space="preserve">, funded by the NSW Office of Health and Medical Research, sequenced healthy, older individuals to create a high quality database depleted of </w:t>
      </w:r>
      <w:r w:rsidRPr="00CC5CE5">
        <w:rPr>
          <w:lang w:val="en-US"/>
        </w:rPr>
        <w:lastRenderedPageBreak/>
        <w:t>damaging genetic variants</w:t>
      </w:r>
      <w:r w:rsidR="008932D8">
        <w:rPr>
          <w:lang w:val="en-US"/>
        </w:rPr>
        <w:t xml:space="preserve"> </w:t>
      </w:r>
      <w:r w:rsidRPr="00CC5CE5">
        <w:rPr>
          <w:lang w:val="en-US"/>
        </w:rPr>
        <w:fldChar w:fldCharType="begin"/>
      </w:r>
      <w:r w:rsidR="008932D8">
        <w:rPr>
          <w:lang w:val="en-US"/>
        </w:rPr>
        <w:instrText xml:space="preserve"> ADDIN EN.CITE &lt;EndNote&gt;&lt;Cite&gt;&lt;Author&gt;Garvan Institute of Medical Research&lt;/Author&gt;&lt;Year&gt;2017&lt;/Year&gt;&lt;RecNum&gt;24&lt;/RecNum&gt;&lt;DisplayText&gt;(3)&lt;/DisplayText&gt;&lt;record&gt;&lt;rec-number&gt;24&lt;/rec-number&gt;&lt;foreign-keys&gt;&lt;key app="EN" db-id="dr059dzz3ppzrdeatv4pseexx5099fvvrxvw" timestamp="1533883789"&gt;24&lt;/key&gt;&lt;/foreign-keys&gt;&lt;ref-type name="Web Page"&gt;12&lt;/ref-type&gt;&lt;contributors&gt;&lt;authors&gt;&lt;author&gt;Garvan Institute of Medical Research,&lt;/author&gt;&lt;/authors&gt;&lt;/contributors&gt;&lt;titles&gt;&lt;title&gt;Medical genome reference bank&lt;/title&gt;&lt;/titles&gt;&lt;volume&gt;2017&lt;/volume&gt;&lt;dates&gt;&lt;year&gt;2017&lt;/year&gt;&lt;/dates&gt;&lt;pub-location&gt;Garvan Institute of Medical Research&lt;/pub-location&gt;&lt;urls&gt;&lt;related-urls&gt;&lt;url&gt;https://www.garvan.org.au/research/kinghorn-centre-for-clinical-genomics/clinical-genomics/sydney-genomics-collaborative/mgrb&lt;/url&gt;&lt;/related-urls&gt;&lt;/urls&gt;&lt;/record&gt;&lt;/Cite&gt;&lt;/EndNote&gt;</w:instrText>
      </w:r>
      <w:r w:rsidRPr="00CC5CE5">
        <w:rPr>
          <w:lang w:val="en-US"/>
        </w:rPr>
        <w:fldChar w:fldCharType="separate"/>
      </w:r>
      <w:r w:rsidR="008932D8">
        <w:rPr>
          <w:noProof/>
          <w:lang w:val="en-US"/>
        </w:rPr>
        <w:t>(3)</w:t>
      </w:r>
      <w:r w:rsidRPr="00CC5CE5">
        <w:rPr>
          <w:lang w:val="en-US"/>
        </w:rPr>
        <w:fldChar w:fldCharType="end"/>
      </w:r>
      <w:r w:rsidR="008932D8">
        <w:rPr>
          <w:lang w:val="en-US"/>
        </w:rPr>
        <w:t>.</w:t>
      </w:r>
      <w:r w:rsidRPr="00CC5CE5">
        <w:rPr>
          <w:lang w:val="en-US"/>
        </w:rPr>
        <w:t xml:space="preserve"> The </w:t>
      </w:r>
      <w:r w:rsidRPr="00CC5CE5">
        <w:rPr>
          <w:rFonts w:cs="Arial"/>
          <w:lang w:val="en-US"/>
        </w:rPr>
        <w:t>Medical Genome Reference Bank</w:t>
      </w:r>
      <w:r w:rsidRPr="00CC5CE5">
        <w:rPr>
          <w:lang w:val="en-US"/>
        </w:rPr>
        <w:t xml:space="preserve"> program utilizes participants from two existing cohorts, the ASPirin in Reducing Events in the Elderly Study</w:t>
      </w:r>
      <w:r w:rsidR="008932D8">
        <w:rPr>
          <w:lang w:val="en-US"/>
        </w:rPr>
        <w:t xml:space="preserve"> </w:t>
      </w:r>
      <w:r w:rsidRPr="00CC5CE5">
        <w:rPr>
          <w:lang w:val="en-US"/>
        </w:rPr>
        <w:fldChar w:fldCharType="begin"/>
      </w:r>
      <w:r w:rsidR="008932D8">
        <w:rPr>
          <w:lang w:val="en-US"/>
        </w:rPr>
        <w:instrText xml:space="preserve"> ADDIN EN.CITE &lt;EndNote&gt;&lt;Cite&gt;&lt;Author&gt;McNeil&lt;/Author&gt;&lt;Year&gt;2017&lt;/Year&gt;&lt;RecNum&gt;53&lt;/RecNum&gt;&lt;DisplayText&gt;(4)&lt;/DisplayText&gt;&lt;record&gt;&lt;rec-number&gt;53&lt;/rec-number&gt;&lt;foreign-keys&gt;&lt;key app="EN" db-id="dr059dzz3ppzrdeatv4pseexx5099fvvrxvw" timestamp="1533883819"&gt;53&lt;/key&gt;&lt;/foreign-keys&gt;&lt;ref-type name="Journal Article"&gt;17&lt;/ref-type&gt;&lt;contributors&gt;&lt;authors&gt;&lt;author&gt;McNeil, John J.&lt;/author&gt;&lt;author&gt;Woods, Robyn L.&lt;/author&gt;&lt;author&gt;Nelson, Mark R.&lt;/author&gt;&lt;author&gt;Murray, Anne M.&lt;/author&gt;&lt;author&gt;Reid, Christopher M.&lt;/author&gt;&lt;author&gt;Kirpach, Brenda&lt;/author&gt;&lt;author&gt;et al,&lt;/author&gt;&lt;/authors&gt;&lt;/contributors&gt;&lt;titles&gt;&lt;title&gt;Baseline characteristics of participants in the ASPREE (ASPirin in Reducing Events in the Elderly) study&lt;/title&gt;&lt;secondary-title&gt;The Journals of Gerontology&lt;/secondary-title&gt;&lt;/titles&gt;&lt;periodical&gt;&lt;full-title&gt;The Journals of Gerontology&lt;/full-title&gt;&lt;/periodical&gt;&lt;dates&gt;&lt;year&gt;2017&lt;/year&gt;&lt;/dates&gt;&lt;isbn&gt;1758-535X&lt;/isbn&gt;&lt;urls&gt;&lt;/urls&gt;&lt;/record&gt;&lt;/Cite&gt;&lt;/EndNote&gt;</w:instrText>
      </w:r>
      <w:r w:rsidRPr="00CC5CE5">
        <w:rPr>
          <w:lang w:val="en-US"/>
        </w:rPr>
        <w:fldChar w:fldCharType="separate"/>
      </w:r>
      <w:r w:rsidR="008932D8">
        <w:rPr>
          <w:noProof/>
          <w:lang w:val="en-US"/>
        </w:rPr>
        <w:t>(4)</w:t>
      </w:r>
      <w:r w:rsidRPr="00CC5CE5">
        <w:rPr>
          <w:lang w:val="en-US"/>
        </w:rPr>
        <w:fldChar w:fldCharType="end"/>
      </w:r>
      <w:r w:rsidRPr="00CC5CE5">
        <w:rPr>
          <w:lang w:val="en-US"/>
        </w:rPr>
        <w:t xml:space="preserve"> and </w:t>
      </w:r>
      <w:r w:rsidRPr="00CC5CE5">
        <w:rPr>
          <w:rFonts w:cs="Arial"/>
          <w:lang w:val="en-US"/>
        </w:rPr>
        <w:t>the 45 and Up study</w:t>
      </w:r>
      <w:r w:rsidR="008932D8">
        <w:rPr>
          <w:rFonts w:cs="Arial"/>
          <w:lang w:val="en-US"/>
        </w:rPr>
        <w:t xml:space="preserve"> </w:t>
      </w:r>
      <w:r w:rsidRPr="00CC5CE5">
        <w:rPr>
          <w:rFonts w:cs="Arial"/>
          <w:lang w:val="en-US"/>
        </w:rPr>
        <w:fldChar w:fldCharType="begin"/>
      </w:r>
      <w:r w:rsidR="008932D8">
        <w:rPr>
          <w:rFonts w:cs="Arial"/>
          <w:lang w:val="en-US"/>
        </w:rPr>
        <w:instrText xml:space="preserve"> ADDIN EN.CITE &lt;EndNote&gt;&lt;Cite&gt;&lt;Author&gt;45 and Up Study Collaborators&lt;/Author&gt;&lt;Year&gt;2008&lt;/Year&gt;&lt;RecNum&gt;54&lt;/RecNum&gt;&lt;DisplayText&gt;(5)&lt;/DisplayText&gt;&lt;record&gt;&lt;rec-number&gt;54&lt;/rec-number&gt;&lt;foreign-keys&gt;&lt;key app="EN" db-id="dr059dzz3ppzrdeatv4pseexx5099fvvrxvw" timestamp="1533883820"&gt;54&lt;/key&gt;&lt;/foreign-keys&gt;&lt;ref-type name="Journal Article"&gt;17&lt;/ref-type&gt;&lt;contributors&gt;&lt;authors&gt;&lt;author&gt;45 and Up Study Collaborators,&lt;/author&gt;&lt;/authors&gt;&lt;/contributors&gt;&lt;titles&gt;&lt;title&gt;Cohort Profile: the 45 and Up Study&lt;/title&gt;&lt;secondary-title&gt;International Journal of Epidemiology&lt;/secondary-title&gt;&lt;/titles&gt;&lt;periodical&gt;&lt;full-title&gt;International Journal of Epidemiology&lt;/full-title&gt;&lt;/periodical&gt;&lt;pages&gt;941-947&lt;/pages&gt;&lt;volume&gt;37&lt;/volume&gt;&lt;number&gt;5&lt;/number&gt;&lt;dates&gt;&lt;year&gt;2008&lt;/year&gt;&lt;pub-dates&gt;&lt;date&gt;09/19&lt;/date&gt;&lt;/pub-dates&gt;&lt;/dates&gt;&lt;publisher&gt;Oxford University Press&lt;/publisher&gt;&lt;isbn&gt;0300-5771&amp;#xD;1464-3685&lt;/isbn&gt;&lt;accession-num&gt;PMC2557061&lt;/accession-num&gt;&lt;urls&gt;&lt;related-urls&gt;&lt;url&gt;http://www.ncbi.nlm.nih.gov/pmc/articles/PMC2557061/&lt;/url&gt;&lt;/related-urls&gt;&lt;/urls&gt;&lt;electronic-resource-num&gt;10.1093/ije/dym184&lt;/electronic-resource-num&gt;&lt;remote-database-name&gt;PMC&lt;/remote-database-name&gt;&lt;/record&gt;&lt;/Cite&gt;&lt;/EndNote&gt;</w:instrText>
      </w:r>
      <w:r w:rsidRPr="00CC5CE5">
        <w:rPr>
          <w:rFonts w:cs="Arial"/>
          <w:lang w:val="en-US"/>
        </w:rPr>
        <w:fldChar w:fldCharType="separate"/>
      </w:r>
      <w:r w:rsidR="008932D8">
        <w:rPr>
          <w:rFonts w:cs="Arial"/>
          <w:noProof/>
          <w:lang w:val="en-US"/>
        </w:rPr>
        <w:t>(5)</w:t>
      </w:r>
      <w:r w:rsidRPr="00CC5CE5">
        <w:rPr>
          <w:rFonts w:cs="Arial"/>
          <w:lang w:val="en-US"/>
        </w:rPr>
        <w:fldChar w:fldCharType="end"/>
      </w:r>
      <w:r w:rsidR="008932D8">
        <w:rPr>
          <w:rFonts w:cs="Arial"/>
          <w:lang w:val="en-US"/>
        </w:rPr>
        <w:t>.</w:t>
      </w:r>
      <w:r w:rsidRPr="00CC5CE5">
        <w:rPr>
          <w:rFonts w:ascii="LMRoman8-Regular" w:hAnsi="LMRoman8-Regular" w:cs="LMRoman8-Regular"/>
          <w:sz w:val="16"/>
          <w:szCs w:val="16"/>
          <w:lang w:val="en-US"/>
        </w:rPr>
        <w:t xml:space="preserve"> </w:t>
      </w:r>
      <w:r w:rsidRPr="00CC5CE5">
        <w:rPr>
          <w:lang w:val="en-US"/>
        </w:rPr>
        <w:t>The ASPirin in Reducing Events in the Elderly Study is an international clinical trial to determine whether daily low-dose aspirin improves the quality of life for 19,000 older people in Australia and the USA.</w:t>
      </w:r>
      <w:r w:rsidRPr="00CC5CE5">
        <w:rPr>
          <w:lang w:val="en-US"/>
        </w:rPr>
        <w:fldChar w:fldCharType="begin"/>
      </w:r>
      <w:r w:rsidRPr="00CC5CE5">
        <w:rPr>
          <w:lang w:val="en-US"/>
        </w:rPr>
        <w:instrText xml:space="preserve"> </w:instrText>
      </w:r>
      <w:r w:rsidRPr="00CC5CE5">
        <w:rPr>
          <w:lang w:val="en-US"/>
        </w:rPr>
        <w:fldChar w:fldCharType="separate"/>
      </w:r>
      <w:r w:rsidRPr="0048662C">
        <w:rPr>
          <w:vertAlign w:val="superscript"/>
          <w:lang w:val="en-US"/>
        </w:rPr>
        <w:t>58</w:t>
      </w:r>
      <w:r w:rsidRPr="00CC5CE5">
        <w:rPr>
          <w:lang w:val="en-US"/>
        </w:rPr>
        <w:fldChar w:fldCharType="end"/>
      </w:r>
      <w:r w:rsidRPr="00CC5CE5">
        <w:rPr>
          <w:lang w:val="en-US"/>
        </w:rPr>
        <w:t xml:space="preserve"> </w:t>
      </w:r>
      <w:r w:rsidRPr="00CC5CE5">
        <w:rPr>
          <w:rFonts w:cs="Arial"/>
          <w:lang w:val="en-US"/>
        </w:rPr>
        <w:t>No participants from the 45 and Up study were included in the current study.</w:t>
      </w:r>
    </w:p>
    <w:p w:rsidR="00492206" w:rsidRPr="00CC5CE5" w:rsidRDefault="00492206" w:rsidP="00492206">
      <w:pPr>
        <w:spacing w:after="160" w:line="259" w:lineRule="auto"/>
        <w:rPr>
          <w:lang w:val="en-US"/>
        </w:rPr>
      </w:pPr>
      <w:r w:rsidRPr="00CC5CE5">
        <w:rPr>
          <w:lang w:val="en-US"/>
        </w:rPr>
        <w:br w:type="page"/>
      </w:r>
    </w:p>
    <w:p w:rsidR="00492206" w:rsidRPr="00CC5CE5" w:rsidRDefault="00492206" w:rsidP="00492206">
      <w:pPr>
        <w:pStyle w:val="Caption"/>
        <w:keepNext/>
      </w:pPr>
      <w:bookmarkStart w:id="1" w:name="_Ref503963355"/>
      <w:r w:rsidRPr="00CC5CE5">
        <w:lastRenderedPageBreak/>
        <w:t>Supplementary Table S</w:t>
      </w:r>
      <w:bookmarkEnd w:id="1"/>
      <w:r w:rsidRPr="00CC5CE5">
        <w:rPr>
          <w:noProof/>
        </w:rPr>
        <w:t>1</w:t>
      </w:r>
      <w:r w:rsidRPr="00CC5CE5">
        <w:t xml:space="preserve">: </w:t>
      </w:r>
      <w:r>
        <w:t>118 known cancer risk genes selected for candidate analysis</w:t>
      </w:r>
    </w:p>
    <w:tbl>
      <w:tblPr>
        <w:tblW w:w="8080" w:type="dxa"/>
        <w:tblLook w:val="04A0" w:firstRow="1" w:lastRow="0" w:firstColumn="1" w:lastColumn="0" w:noHBand="0" w:noVBand="1"/>
      </w:tblPr>
      <w:tblGrid>
        <w:gridCol w:w="1476"/>
        <w:gridCol w:w="1634"/>
        <w:gridCol w:w="1360"/>
        <w:gridCol w:w="1318"/>
        <w:gridCol w:w="2292"/>
      </w:tblGrid>
      <w:tr w:rsidR="00492206" w:rsidRPr="00CC5CE5" w:rsidTr="003E6EDB">
        <w:trPr>
          <w:trHeight w:val="300"/>
        </w:trPr>
        <w:tc>
          <w:tcPr>
            <w:tcW w:w="1476"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val="en-US" w:eastAsia="en-AU"/>
              </w:rPr>
            </w:pPr>
            <w:r w:rsidRPr="00CC5CE5">
              <w:rPr>
                <w:rFonts w:eastAsia="Times New Roman" w:cs="Arial"/>
                <w:b/>
                <w:bCs/>
                <w:color w:val="000000"/>
                <w:lang w:val="en-US" w:eastAsia="en-AU"/>
              </w:rPr>
              <w:t>Gene name</w:t>
            </w:r>
          </w:p>
        </w:tc>
        <w:tc>
          <w:tcPr>
            <w:tcW w:w="1634"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val="en-US" w:eastAsia="en-AU"/>
              </w:rPr>
            </w:pPr>
            <w:r w:rsidRPr="00CC5CE5">
              <w:rPr>
                <w:rFonts w:eastAsia="Times New Roman" w:cs="Arial"/>
                <w:b/>
                <w:bCs/>
                <w:color w:val="000000"/>
                <w:lang w:val="en-US" w:eastAsia="en-AU"/>
              </w:rPr>
              <w:t>Chromosome</w:t>
            </w:r>
          </w:p>
        </w:tc>
        <w:tc>
          <w:tcPr>
            <w:tcW w:w="1360"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val="en-US" w:eastAsia="en-AU"/>
              </w:rPr>
            </w:pPr>
            <w:r w:rsidRPr="00CC5CE5">
              <w:rPr>
                <w:rFonts w:eastAsia="Times New Roman" w:cs="Arial"/>
                <w:b/>
                <w:bCs/>
                <w:color w:val="000000"/>
                <w:lang w:val="en-US" w:eastAsia="en-AU"/>
              </w:rPr>
              <w:t>Start</w:t>
            </w:r>
            <w:r w:rsidRPr="00CC5CE5">
              <w:rPr>
                <w:rFonts w:eastAsia="Times New Roman" w:cs="Arial"/>
                <w:b/>
                <w:bCs/>
                <w:color w:val="000000"/>
                <w:vertAlign w:val="superscript"/>
                <w:lang w:val="en-US" w:eastAsia="en-AU"/>
              </w:rPr>
              <w:t>a</w:t>
            </w:r>
          </w:p>
        </w:tc>
        <w:tc>
          <w:tcPr>
            <w:tcW w:w="1318"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val="en-US" w:eastAsia="en-AU"/>
              </w:rPr>
            </w:pPr>
            <w:r w:rsidRPr="00CC5CE5">
              <w:rPr>
                <w:rFonts w:eastAsia="Times New Roman" w:cs="Arial"/>
                <w:b/>
                <w:bCs/>
                <w:color w:val="000000"/>
                <w:lang w:val="en-US" w:eastAsia="en-AU"/>
              </w:rPr>
              <w:t>End</w:t>
            </w:r>
            <w:r w:rsidRPr="00CC5CE5">
              <w:rPr>
                <w:vertAlign w:val="superscript"/>
              </w:rPr>
              <w:t>a</w:t>
            </w:r>
          </w:p>
        </w:tc>
        <w:tc>
          <w:tcPr>
            <w:tcW w:w="2292"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val="en-US" w:eastAsia="en-AU"/>
              </w:rPr>
            </w:pPr>
            <w:r w:rsidRPr="00CC5CE5">
              <w:rPr>
                <w:rFonts w:eastAsia="Times New Roman" w:cs="Arial"/>
                <w:b/>
                <w:bCs/>
                <w:color w:val="000000"/>
                <w:lang w:val="en-US" w:eastAsia="en-AU"/>
              </w:rPr>
              <w:t>Number of Variants</w:t>
            </w:r>
          </w:p>
        </w:tc>
      </w:tr>
      <w:tr w:rsidR="00492206" w:rsidRPr="00CC5CE5" w:rsidTr="003E6EDB">
        <w:trPr>
          <w:trHeight w:val="300"/>
        </w:trPr>
        <w:tc>
          <w:tcPr>
            <w:tcW w:w="1476" w:type="dxa"/>
            <w:tcBorders>
              <w:top w:val="single" w:sz="4" w:space="0" w:color="auto"/>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APC</w:t>
            </w:r>
          </w:p>
        </w:tc>
        <w:tc>
          <w:tcPr>
            <w:tcW w:w="1634" w:type="dxa"/>
            <w:tcBorders>
              <w:top w:val="single" w:sz="4" w:space="0" w:color="auto"/>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1360" w:type="dxa"/>
            <w:tcBorders>
              <w:top w:val="single" w:sz="4" w:space="0" w:color="auto"/>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112018202</w:t>
            </w:r>
          </w:p>
        </w:tc>
        <w:tc>
          <w:tcPr>
            <w:tcW w:w="1318" w:type="dxa"/>
            <w:tcBorders>
              <w:top w:val="single" w:sz="4" w:space="0" w:color="auto"/>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112206936</w:t>
            </w:r>
          </w:p>
        </w:tc>
        <w:tc>
          <w:tcPr>
            <w:tcW w:w="2292" w:type="dxa"/>
            <w:tcBorders>
              <w:top w:val="single" w:sz="4" w:space="0" w:color="auto"/>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ARID1A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26997522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27133601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ATM</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108068559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108264826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ATR</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142143077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142322668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AXIN1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312440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427676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AXIN2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63499683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63582740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BARD1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215568275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215699428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BLM</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91235579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91383686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BRCA1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41171312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41302500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BRCA2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32864617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32998809</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BRIP1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59731547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59965920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BUB1B</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111370409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111460684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C17orf85</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3685045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3774545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CD99</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Y</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2534228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2634350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CDH1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68746195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68894444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CDKN2A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21942751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22000132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CHEK1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125471251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125552042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CHEK2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29058731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29162822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DDB2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47211493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47285769</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DICER1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95527565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95633085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DKC1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X</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153966031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154030964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DNA2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70148821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70256730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ELF3</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201954690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202011315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ELF5</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34475342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34560347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ERCC2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45829649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45898845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ERCC3</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127989866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128076752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ERCC4</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13989014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14071205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ERCC5</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103479468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103549748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ERF</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42726717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42784309</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ERG</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39726950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39895428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ETS1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128303656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128482453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ETS2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40152231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40221878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ETV-1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13905856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14054642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ETV2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36107647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36160773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ETV4</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41580211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41648305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ETV6</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11777788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12073325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EWSR1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29638998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29721515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EXT1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118786602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119149058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EXT2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44092747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44291980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FAM175A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84357094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84431290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89778959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89908065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FANCB</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X</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14836529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14916184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FANCC</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97836336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98104991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FANCD2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10043113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10166344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lastRenderedPageBreak/>
              <w:t>FANCE</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35395138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35459881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FANCF</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22619079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22672387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FANCG</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35048835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35105013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FANCI</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89762194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89885362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FANCL</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58361378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58493515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FANCM</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45580136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45695093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FH</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241635857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241708085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FLI1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128538811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128708162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HNF4A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20</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42959441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43061115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IDH1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209075953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209144806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IDH2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90602212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90670708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KIF1B</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10245764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10466661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KIT</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55499095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55631881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LIG1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48593703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48698560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LIG4</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108834792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108892882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MDM2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69176971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69264320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MEN1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64545986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64603188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MET</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116287459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116463440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MLH1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37009841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37117337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MLH3</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75455467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75543235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MRE11A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94125469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94252040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MSH2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47605206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47735367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MSH3</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79925467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80197634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MSH6</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47985221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48059092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MUTYH</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45769914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45831142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NBN</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90920564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91021899</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NEIL2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11602172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11669854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NF1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29396945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29729695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NF2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29974545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30119589</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PALB2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23589483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23677678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PMS1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190623811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190767355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PMS2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5987870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6073737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POLH</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43518878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43613260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PPARG</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12368001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12500855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PRKAR1A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66482921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66554570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PTCH1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98180264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98295831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PTEN</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89598195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89753532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PTPN11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112831536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112972717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RAD50</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131867616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132005313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RAD51C</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56744963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56836692</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RAD51D</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33401811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33458500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RB1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48852883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49081026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RECQL4</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145711667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145768210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RET</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43547517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43650797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RMI1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86570637</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86643987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RMI2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11414311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11470617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lastRenderedPageBreak/>
              <w:t>RPA1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1708273</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1827848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RPA3</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7651575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7783238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RPS19</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42338988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42400484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SDHA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193356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281814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SDHB</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17320225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17405665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SDHC</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161259166</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161359535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SDHD</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111932548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111991525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SMARCA4</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11046598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11197958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SMARCB1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24104150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24201705</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SPDEF</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34480579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34549110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SPI1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47351409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47425127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SQSTM1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179222842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179290077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STK11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1180798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1253434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TAF15</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34111459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34199246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TGFBR2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30622994</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30760633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TNFRSF11A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18</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59967520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60079943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TOP1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20</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39632462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39778126</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TOP3A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18152235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18243321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TP53</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7546720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7615868</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TP53BP1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43674412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43810354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TSC1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135741735</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135845020</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TSC2</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2072990</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2163713</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VHL</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10158319</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10220354</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WRN</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30865778</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31056277</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25</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WT1</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32384322</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32482081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1476"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XPA</w:t>
            </w:r>
          </w:p>
        </w:tc>
        <w:tc>
          <w:tcPr>
            <w:tcW w:w="1634" w:type="dxa"/>
            <w:tcBorders>
              <w:top w:val="nil"/>
              <w:left w:val="nil"/>
              <w:bottom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13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100412191</w:t>
            </w:r>
          </w:p>
        </w:tc>
        <w:tc>
          <w:tcPr>
            <w:tcW w:w="1318"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100484691</w:t>
            </w:r>
          </w:p>
        </w:tc>
        <w:tc>
          <w:tcPr>
            <w:tcW w:w="2292" w:type="dxa"/>
            <w:tcBorders>
              <w:top w:val="nil"/>
              <w:left w:val="nil"/>
              <w:bottom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1476" w:type="dxa"/>
            <w:tcBorders>
              <w:top w:val="nil"/>
              <w:left w:val="nil"/>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XPC</w:t>
            </w:r>
          </w:p>
        </w:tc>
        <w:tc>
          <w:tcPr>
            <w:tcW w:w="1634" w:type="dxa"/>
            <w:tcBorders>
              <w:top w:val="nil"/>
              <w:left w:val="nil"/>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360" w:type="dxa"/>
            <w:tcBorders>
              <w:top w:val="nil"/>
              <w:left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14161648</w:t>
            </w:r>
          </w:p>
        </w:tc>
        <w:tc>
          <w:tcPr>
            <w:tcW w:w="1318" w:type="dxa"/>
            <w:tcBorders>
              <w:top w:val="nil"/>
              <w:left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14245172</w:t>
            </w:r>
          </w:p>
        </w:tc>
        <w:tc>
          <w:tcPr>
            <w:tcW w:w="2292" w:type="dxa"/>
            <w:tcBorders>
              <w:top w:val="nil"/>
              <w:left w:val="nil"/>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r>
      <w:tr w:rsidR="00492206" w:rsidRPr="00CC5CE5" w:rsidTr="003E6EDB">
        <w:trPr>
          <w:trHeight w:val="300"/>
        </w:trPr>
        <w:tc>
          <w:tcPr>
            <w:tcW w:w="1476" w:type="dxa"/>
            <w:tcBorders>
              <w:top w:val="nil"/>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i/>
                <w:color w:val="000000"/>
                <w:lang w:val="en-US" w:eastAsia="en-AU"/>
              </w:rPr>
            </w:pPr>
            <w:r w:rsidRPr="00CC5CE5">
              <w:rPr>
                <w:rFonts w:eastAsia="Times New Roman" w:cs="Arial"/>
                <w:i/>
                <w:color w:val="000000"/>
                <w:lang w:val="en-US" w:eastAsia="en-AU"/>
              </w:rPr>
              <w:t>XRCC2</w:t>
            </w:r>
          </w:p>
        </w:tc>
        <w:tc>
          <w:tcPr>
            <w:tcW w:w="1634" w:type="dxa"/>
            <w:tcBorders>
              <w:top w:val="nil"/>
              <w:left w:val="nil"/>
              <w:bottom w:val="single" w:sz="4" w:space="0" w:color="auto"/>
              <w:right w:val="nil"/>
            </w:tcBorders>
            <w:shd w:val="clear" w:color="auto" w:fill="auto"/>
            <w:noWrap/>
            <w:vAlign w:val="bottom"/>
            <w:hideMark/>
          </w:tcPr>
          <w:p w:rsidR="00492206" w:rsidRPr="00CC5CE5" w:rsidRDefault="00492206" w:rsidP="003E6EDB">
            <w:pPr>
              <w:tabs>
                <w:tab w:val="decimal" w:pos="362"/>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1360" w:type="dxa"/>
            <w:tcBorders>
              <w:top w:val="nil"/>
              <w:left w:val="nil"/>
              <w:bottom w:val="single" w:sz="4" w:space="0" w:color="auto"/>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152318587</w:t>
            </w:r>
          </w:p>
        </w:tc>
        <w:tc>
          <w:tcPr>
            <w:tcW w:w="1318" w:type="dxa"/>
            <w:tcBorders>
              <w:top w:val="nil"/>
              <w:left w:val="nil"/>
              <w:bottom w:val="single" w:sz="4" w:space="0" w:color="auto"/>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val="en-US" w:eastAsia="en-AU"/>
              </w:rPr>
            </w:pPr>
            <w:r w:rsidRPr="00CC5CE5">
              <w:rPr>
                <w:rFonts w:eastAsia="Times New Roman" w:cs="Arial"/>
                <w:color w:val="000000"/>
                <w:lang w:val="en-US" w:eastAsia="en-AU"/>
              </w:rPr>
              <w:t>152398250</w:t>
            </w:r>
          </w:p>
        </w:tc>
        <w:tc>
          <w:tcPr>
            <w:tcW w:w="2292" w:type="dxa"/>
            <w:tcBorders>
              <w:top w:val="nil"/>
              <w:left w:val="nil"/>
              <w:bottom w:val="single" w:sz="4" w:space="0" w:color="auto"/>
              <w:right w:val="nil"/>
            </w:tcBorders>
            <w:shd w:val="clear" w:color="auto" w:fill="auto"/>
            <w:noWrap/>
            <w:vAlign w:val="bottom"/>
            <w:hideMark/>
          </w:tcPr>
          <w:p w:rsidR="00492206" w:rsidRPr="00CC5CE5" w:rsidRDefault="00492206" w:rsidP="003E6EDB">
            <w:pPr>
              <w:tabs>
                <w:tab w:val="decimal" w:pos="325"/>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bl>
    <w:p w:rsidR="00492206" w:rsidRPr="00CC5CE5" w:rsidRDefault="00492206" w:rsidP="00492206">
      <w:pPr>
        <w:spacing w:line="240" w:lineRule="auto"/>
        <w:rPr>
          <w:rFonts w:ascii="LMRoman12-Regular" w:hAnsi="LMRoman12-Regular"/>
          <w:sz w:val="20"/>
          <w:szCs w:val="20"/>
          <w:lang w:val="en-US"/>
        </w:rPr>
      </w:pPr>
      <w:r w:rsidRPr="00CC5CE5">
        <w:rPr>
          <w:rFonts w:ascii="LMRoman12-Regular" w:hAnsi="LMRoman12-Regular"/>
          <w:sz w:val="20"/>
          <w:szCs w:val="20"/>
          <w:vertAlign w:val="superscript"/>
          <w:lang w:val="en-US"/>
        </w:rPr>
        <w:t>a</w:t>
      </w:r>
      <w:r w:rsidRPr="00CC5CE5">
        <w:rPr>
          <w:rFonts w:ascii="LMRoman12-Regular" w:hAnsi="LMRoman12-Regular"/>
          <w:sz w:val="20"/>
          <w:szCs w:val="20"/>
          <w:lang w:val="en-US"/>
        </w:rPr>
        <w:t xml:space="preserve"> Start and End: the chromosome locations of the start and end of the gene (including </w:t>
      </w:r>
      <w:r w:rsidRPr="00CC5CE5">
        <w:rPr>
          <w:rFonts w:ascii="LMRoman12-Regular" w:hAnsi="LMRoman12-Regular" w:cs="LMMathSymbols10-Regular"/>
          <w:sz w:val="20"/>
          <w:szCs w:val="20"/>
          <w:lang w:val="en-US"/>
        </w:rPr>
        <w:t xml:space="preserve">± </w:t>
      </w:r>
      <w:r w:rsidRPr="00CC5CE5">
        <w:rPr>
          <w:rFonts w:ascii="LMRoman12-Regular" w:hAnsi="LMRoman12-Regular"/>
          <w:sz w:val="20"/>
          <w:szCs w:val="20"/>
          <w:lang w:val="en-US"/>
        </w:rPr>
        <w:t>25 kb)</w:t>
      </w: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spacing w:after="160" w:line="259" w:lineRule="auto"/>
        <w:rPr>
          <w:lang w:val="en-US"/>
        </w:rPr>
      </w:pPr>
    </w:p>
    <w:p w:rsidR="00492206" w:rsidRPr="00CC5CE5" w:rsidRDefault="00492206" w:rsidP="00492206">
      <w:pPr>
        <w:pStyle w:val="Caption"/>
        <w:keepNext/>
      </w:pPr>
      <w:r>
        <w:lastRenderedPageBreak/>
        <w:t>Supplementary Table S2</w:t>
      </w:r>
      <w:r w:rsidRPr="00B80251">
        <w:t xml:space="preserve">: </w:t>
      </w:r>
      <w:r>
        <w:t xml:space="preserve">Genes harbouring variants </w:t>
      </w:r>
      <w:r>
        <w:rPr>
          <w:rFonts w:cs="Arial"/>
        </w:rPr>
        <w:t>±</w:t>
      </w:r>
      <w:r>
        <w:t>25 kb of the 118 known cancer genes</w:t>
      </w:r>
      <w:r w:rsidRPr="00CC5CE5">
        <w:t xml:space="preserve"> </w:t>
      </w:r>
    </w:p>
    <w:tbl>
      <w:tblPr>
        <w:tblW w:w="5954" w:type="dxa"/>
        <w:tblLook w:val="04A0" w:firstRow="1" w:lastRow="0" w:firstColumn="1" w:lastColumn="0" w:noHBand="0" w:noVBand="1"/>
      </w:tblPr>
      <w:tblGrid>
        <w:gridCol w:w="2161"/>
        <w:gridCol w:w="1537"/>
        <w:gridCol w:w="2256"/>
      </w:tblGrid>
      <w:tr w:rsidR="00492206" w:rsidRPr="00CC5CE5" w:rsidTr="003E6EDB">
        <w:trPr>
          <w:trHeight w:val="300"/>
        </w:trPr>
        <w:tc>
          <w:tcPr>
            <w:tcW w:w="2161"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val="en-US" w:eastAsia="en-AU"/>
              </w:rPr>
            </w:pPr>
            <w:r w:rsidRPr="00CC5CE5">
              <w:rPr>
                <w:rFonts w:eastAsia="Times New Roman" w:cs="Arial"/>
                <w:color w:val="000000"/>
                <w:lang w:val="en-US" w:eastAsia="en-AU"/>
              </w:rPr>
              <w:t>Gene</w:t>
            </w:r>
          </w:p>
        </w:tc>
        <w:tc>
          <w:tcPr>
            <w:tcW w:w="1537"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val="en-US" w:eastAsia="en-AU"/>
              </w:rPr>
            </w:pPr>
            <w:r w:rsidRPr="00CC5CE5">
              <w:rPr>
                <w:rFonts w:eastAsia="Times New Roman" w:cs="Arial"/>
                <w:color w:val="000000"/>
                <w:lang w:val="en-US" w:eastAsia="en-AU"/>
              </w:rPr>
              <w:t>Chromosome</w:t>
            </w:r>
          </w:p>
        </w:tc>
        <w:tc>
          <w:tcPr>
            <w:tcW w:w="2256"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val="en-US" w:eastAsia="en-AU"/>
              </w:rPr>
            </w:pPr>
            <w:r w:rsidRPr="00CC5CE5">
              <w:rPr>
                <w:rFonts w:eastAsia="Times New Roman" w:cs="Arial"/>
                <w:color w:val="000000"/>
                <w:lang w:val="en-US" w:eastAsia="en-AU"/>
              </w:rPr>
              <w:t>Number of variants</w:t>
            </w:r>
          </w:p>
        </w:tc>
      </w:tr>
      <w:tr w:rsidR="00492206" w:rsidRPr="00CC5CE5" w:rsidTr="003E6EDB">
        <w:trPr>
          <w:trHeight w:val="300"/>
        </w:trPr>
        <w:tc>
          <w:tcPr>
            <w:tcW w:w="2161" w:type="dxa"/>
            <w:tcBorders>
              <w:top w:val="single" w:sz="4" w:space="0" w:color="auto"/>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ACCS</w:t>
            </w:r>
          </w:p>
        </w:tc>
        <w:tc>
          <w:tcPr>
            <w:tcW w:w="1537" w:type="dxa"/>
            <w:tcBorders>
              <w:top w:val="single" w:sz="4" w:space="0" w:color="auto"/>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single" w:sz="4" w:space="0" w:color="auto"/>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ACP2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ACRV1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ACYP1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AIMP2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ALX4</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ANKRD49</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ARHGAP39</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ARHGDIG</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ARHGEF1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ATP13A2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ATP1B2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ATP5D</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BRK1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C11orf57</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C11orf97</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C19orf26</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C22orf15</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C5orf45</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C9orf9</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CAMKK1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CAT</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CCDC127</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CDC42BPG</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CFAP126</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CHCHD10</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COX6B1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CPM</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DCTN5</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DERL3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DHFR</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DHX8</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DLAT</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DMRTC2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EIF2AK1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EIF2B2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EPCAM</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EPM2AIP1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EVI2A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FAM20A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FAM20A,PRKAR1A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FBXO11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FDFT1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FLII</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7</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lastRenderedPageBreak/>
              <w:t>FNDC8</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FRY</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GAS2L1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GATA4</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GPT</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GSK3A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GTPBP2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HAUS5</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HEATR9</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HELQ</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HNRNPK</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HSCB</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IL13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INTS2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IRAK2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ITFG3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ITGAE</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KLC3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LOC100507346</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LOC401052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LPAR6</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LRRC14</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LRRC14B</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LRRFIP2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LYPD4</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MAD2L1BP</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MAP3K2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MAP4K2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MFSD3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MIDN</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MIEF2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MIS18BP1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MMP11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MPZ</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MRPL28</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MRPS18C</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MYBPC3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NDUFAB1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NPAT</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NR1H3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ORMDL1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OSGIN2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PACSIN1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PADI2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PDIA2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PGD</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lastRenderedPageBreak/>
              <w:t>PIGO</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PIGV</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PIH1D2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PKD1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PLA2G4C</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PLCG1-AS1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POLG</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PPP1R16A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R3HDML</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20</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RBM42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RCBTB2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RGS11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RHBDD3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RNPEP</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RNU6-28P</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RPL10A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RUFY2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SHMT1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SLC2A11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SLC9A3R2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SMCR8</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SMYD4</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SRP19</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STOML2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STT3A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TANGO6</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TEAD3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TESK2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TMEM43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TMEM8A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TOE1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UPK1A</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VAT1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VCP</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9</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VPS9D1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VRK2</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WRAP53</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17</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XPO5</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XRN1</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ZAR1L</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ZC2HC1C</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300"/>
        </w:trPr>
        <w:tc>
          <w:tcPr>
            <w:tcW w:w="2161"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ZNF276</w:t>
            </w:r>
          </w:p>
        </w:tc>
        <w:tc>
          <w:tcPr>
            <w:tcW w:w="1537" w:type="dxa"/>
            <w:tcBorders>
              <w:top w:val="nil"/>
              <w:left w:val="nil"/>
              <w:bottom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16</w:t>
            </w:r>
          </w:p>
        </w:tc>
        <w:tc>
          <w:tcPr>
            <w:tcW w:w="2256" w:type="dxa"/>
            <w:tcBorders>
              <w:top w:val="nil"/>
              <w:left w:val="nil"/>
              <w:bottom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13</w:t>
            </w:r>
          </w:p>
        </w:tc>
      </w:tr>
      <w:tr w:rsidR="00492206" w:rsidRPr="00CC5CE5" w:rsidTr="003E6EDB">
        <w:trPr>
          <w:trHeight w:val="300"/>
        </w:trPr>
        <w:tc>
          <w:tcPr>
            <w:tcW w:w="2161" w:type="dxa"/>
            <w:tcBorders>
              <w:top w:val="nil"/>
              <w:left w:val="nil"/>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ZNF526</w:t>
            </w:r>
          </w:p>
        </w:tc>
        <w:tc>
          <w:tcPr>
            <w:tcW w:w="1537" w:type="dxa"/>
            <w:tcBorders>
              <w:top w:val="nil"/>
              <w:left w:val="nil"/>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2256" w:type="dxa"/>
            <w:tcBorders>
              <w:top w:val="nil"/>
              <w:left w:val="nil"/>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300"/>
        </w:trPr>
        <w:tc>
          <w:tcPr>
            <w:tcW w:w="2161" w:type="dxa"/>
            <w:tcBorders>
              <w:top w:val="nil"/>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i/>
                <w:iCs/>
                <w:color w:val="000000"/>
                <w:lang w:val="en-US" w:eastAsia="en-AU"/>
              </w:rPr>
            </w:pPr>
            <w:r w:rsidRPr="00CC5CE5">
              <w:rPr>
                <w:rFonts w:eastAsia="Times New Roman" w:cs="Arial"/>
                <w:i/>
                <w:iCs/>
                <w:color w:val="000000"/>
                <w:lang w:val="en-US" w:eastAsia="en-AU"/>
              </w:rPr>
              <w:t>ZNF710</w:t>
            </w:r>
          </w:p>
        </w:tc>
        <w:tc>
          <w:tcPr>
            <w:tcW w:w="1537" w:type="dxa"/>
            <w:tcBorders>
              <w:top w:val="nil"/>
              <w:left w:val="nil"/>
              <w:bottom w:val="single" w:sz="4" w:space="0" w:color="auto"/>
              <w:right w:val="nil"/>
            </w:tcBorders>
            <w:shd w:val="clear" w:color="auto" w:fill="auto"/>
            <w:noWrap/>
            <w:vAlign w:val="bottom"/>
            <w:hideMark/>
          </w:tcPr>
          <w:p w:rsidR="00492206" w:rsidRPr="00CC5CE5" w:rsidRDefault="00492206" w:rsidP="003E6EDB">
            <w:pPr>
              <w:tabs>
                <w:tab w:val="decimal" w:pos="351"/>
              </w:tabs>
              <w:spacing w:line="240" w:lineRule="auto"/>
              <w:rPr>
                <w:rFonts w:eastAsia="Times New Roman" w:cs="Arial"/>
                <w:color w:val="000000"/>
                <w:lang w:val="en-US" w:eastAsia="en-AU"/>
              </w:rPr>
            </w:pPr>
            <w:r w:rsidRPr="00CC5CE5">
              <w:rPr>
                <w:rFonts w:eastAsia="Times New Roman" w:cs="Arial"/>
                <w:color w:val="000000"/>
                <w:lang w:val="en-US" w:eastAsia="en-AU"/>
              </w:rPr>
              <w:t>15</w:t>
            </w:r>
          </w:p>
        </w:tc>
        <w:tc>
          <w:tcPr>
            <w:tcW w:w="2256" w:type="dxa"/>
            <w:tcBorders>
              <w:top w:val="nil"/>
              <w:left w:val="nil"/>
              <w:bottom w:val="single" w:sz="4" w:space="0" w:color="auto"/>
              <w:right w:val="nil"/>
            </w:tcBorders>
            <w:shd w:val="clear" w:color="auto" w:fill="auto"/>
            <w:noWrap/>
            <w:vAlign w:val="bottom"/>
            <w:hideMark/>
          </w:tcPr>
          <w:p w:rsidR="00492206" w:rsidRPr="00CC5CE5" w:rsidRDefault="00492206" w:rsidP="003E6EDB">
            <w:pPr>
              <w:tabs>
                <w:tab w:val="decimal" w:pos="363"/>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bl>
    <w:p w:rsidR="00492206" w:rsidRPr="00CC5CE5" w:rsidRDefault="00492206" w:rsidP="00492206">
      <w:pPr>
        <w:rPr>
          <w:lang w:val="en-US"/>
        </w:rPr>
      </w:pPr>
    </w:p>
    <w:p w:rsidR="00492206" w:rsidRPr="00CC5CE5" w:rsidRDefault="00492206" w:rsidP="00492206">
      <w:pPr>
        <w:rPr>
          <w:lang w:val="en-US"/>
        </w:rPr>
      </w:pPr>
    </w:p>
    <w:p w:rsidR="00492206" w:rsidRPr="00CC5CE5" w:rsidRDefault="00492206" w:rsidP="00492206">
      <w:pPr>
        <w:pStyle w:val="Caption"/>
        <w:keepNext/>
      </w:pPr>
      <w:r w:rsidRPr="00CC5CE5">
        <w:t>Supplementary Table S</w:t>
      </w:r>
      <w:r>
        <w:rPr>
          <w:noProof/>
        </w:rPr>
        <w:t>3</w:t>
      </w:r>
      <w:r w:rsidRPr="00CC5CE5">
        <w:t>: Summary of variant annotation using ANNOVAR and RegulomeD</w:t>
      </w:r>
      <w:r>
        <w:t>B</w:t>
      </w:r>
      <w:r w:rsidRPr="00CC5CE5">
        <w:t xml:space="preserve"> </w:t>
      </w:r>
    </w:p>
    <w:tbl>
      <w:tblPr>
        <w:tblW w:w="8731" w:type="dxa"/>
        <w:tblCellMar>
          <w:top w:w="15" w:type="dxa"/>
          <w:bottom w:w="15" w:type="dxa"/>
        </w:tblCellMar>
        <w:tblLook w:val="04A0" w:firstRow="1" w:lastRow="0" w:firstColumn="1" w:lastColumn="0" w:noHBand="0" w:noVBand="1"/>
      </w:tblPr>
      <w:tblGrid>
        <w:gridCol w:w="3515"/>
        <w:gridCol w:w="1701"/>
        <w:gridCol w:w="1701"/>
        <w:gridCol w:w="1814"/>
      </w:tblGrid>
      <w:tr w:rsidR="00492206" w:rsidRPr="00CC5CE5" w:rsidTr="003E6EDB">
        <w:trPr>
          <w:trHeight w:val="285"/>
        </w:trPr>
        <w:tc>
          <w:tcPr>
            <w:tcW w:w="3515" w:type="dxa"/>
            <w:tcBorders>
              <w:top w:val="single" w:sz="4" w:space="0" w:color="auto"/>
              <w:bottom w:val="single" w:sz="4" w:space="0" w:color="auto"/>
            </w:tcBorders>
            <w:noWrap/>
            <w:hideMark/>
          </w:tcPr>
          <w:p w:rsidR="00492206" w:rsidRPr="00CC5CE5" w:rsidRDefault="00492206" w:rsidP="003E6EDB">
            <w:pPr>
              <w:spacing w:line="240" w:lineRule="auto"/>
              <w:rPr>
                <w:rFonts w:eastAsia="Times New Roman" w:cs="Arial"/>
                <w:bCs/>
                <w:color w:val="000000"/>
                <w:lang w:val="en-US" w:eastAsia="en-AU"/>
              </w:rPr>
            </w:pPr>
            <w:r>
              <w:rPr>
                <w:rFonts w:eastAsia="Times New Roman" w:cs="Arial"/>
                <w:bCs/>
                <w:color w:val="000000"/>
                <w:lang w:val="en-US" w:eastAsia="en-AU"/>
              </w:rPr>
              <w:t>Categories</w:t>
            </w:r>
          </w:p>
        </w:tc>
        <w:tc>
          <w:tcPr>
            <w:tcW w:w="1701" w:type="dxa"/>
            <w:tcBorders>
              <w:top w:val="single" w:sz="4" w:space="0" w:color="auto"/>
              <w:bottom w:val="single" w:sz="4" w:space="0" w:color="auto"/>
            </w:tcBorders>
            <w:noWrap/>
            <w:hideMark/>
          </w:tcPr>
          <w:p w:rsidR="00492206" w:rsidRPr="00CC5CE5" w:rsidRDefault="00492206" w:rsidP="003E6EDB">
            <w:pPr>
              <w:spacing w:line="240" w:lineRule="auto"/>
              <w:rPr>
                <w:rFonts w:eastAsia="Times New Roman" w:cs="Arial"/>
                <w:bCs/>
                <w:color w:val="000000"/>
                <w:lang w:val="en-US" w:eastAsia="en-AU"/>
              </w:rPr>
            </w:pPr>
            <w:r w:rsidRPr="00CC5CE5">
              <w:rPr>
                <w:rFonts w:eastAsia="Times New Roman" w:cs="Arial"/>
                <w:bCs/>
                <w:color w:val="000000"/>
                <w:lang w:val="en-US" w:eastAsia="en-AU"/>
              </w:rPr>
              <w:t xml:space="preserve">Rare private </w:t>
            </w:r>
          </w:p>
        </w:tc>
        <w:tc>
          <w:tcPr>
            <w:tcW w:w="1701" w:type="dxa"/>
            <w:tcBorders>
              <w:top w:val="single" w:sz="4" w:space="0" w:color="auto"/>
              <w:bottom w:val="single" w:sz="4" w:space="0" w:color="auto"/>
            </w:tcBorders>
            <w:noWrap/>
            <w:hideMark/>
          </w:tcPr>
          <w:p w:rsidR="00492206" w:rsidRPr="00CC5CE5" w:rsidRDefault="00492206" w:rsidP="003E6EDB">
            <w:pPr>
              <w:spacing w:line="240" w:lineRule="auto"/>
              <w:rPr>
                <w:rFonts w:eastAsia="Times New Roman" w:cs="Arial"/>
                <w:bCs/>
                <w:color w:val="000000"/>
                <w:lang w:val="en-US" w:eastAsia="en-AU"/>
              </w:rPr>
            </w:pPr>
            <w:r w:rsidRPr="00CC5CE5">
              <w:rPr>
                <w:rFonts w:eastAsia="Times New Roman" w:cs="Arial"/>
                <w:bCs/>
                <w:color w:val="000000"/>
                <w:lang w:val="en-US" w:eastAsia="en-AU"/>
              </w:rPr>
              <w:t xml:space="preserve">Known rare </w:t>
            </w:r>
          </w:p>
        </w:tc>
        <w:tc>
          <w:tcPr>
            <w:tcW w:w="1814" w:type="dxa"/>
            <w:tcBorders>
              <w:top w:val="single" w:sz="4" w:space="0" w:color="auto"/>
              <w:bottom w:val="single" w:sz="4" w:space="0" w:color="auto"/>
            </w:tcBorders>
            <w:noWrap/>
            <w:hideMark/>
          </w:tcPr>
          <w:p w:rsidR="00492206" w:rsidRPr="00CC5CE5" w:rsidRDefault="00492206" w:rsidP="003E6EDB">
            <w:pPr>
              <w:spacing w:line="240" w:lineRule="auto"/>
              <w:rPr>
                <w:rFonts w:eastAsia="Times New Roman" w:cs="Arial"/>
                <w:bCs/>
                <w:color w:val="000000"/>
                <w:lang w:val="en-US" w:eastAsia="en-AU"/>
              </w:rPr>
            </w:pPr>
            <w:r w:rsidRPr="00CC5CE5">
              <w:rPr>
                <w:rFonts w:eastAsia="Times New Roman" w:cs="Arial"/>
                <w:bCs/>
                <w:color w:val="000000"/>
                <w:lang w:val="en-US" w:eastAsia="en-AU"/>
              </w:rPr>
              <w:t xml:space="preserve">Candidate gene </w:t>
            </w:r>
          </w:p>
        </w:tc>
      </w:tr>
      <w:tr w:rsidR="00492206" w:rsidRPr="00CC5CE5" w:rsidTr="003E6EDB">
        <w:trPr>
          <w:trHeight w:val="285"/>
        </w:trPr>
        <w:tc>
          <w:tcPr>
            <w:tcW w:w="3515" w:type="dxa"/>
            <w:tcBorders>
              <w:top w:val="single" w:sz="4" w:space="0" w:color="auto"/>
              <w:bottom w:val="single" w:sz="4" w:space="0" w:color="auto"/>
            </w:tcBorders>
            <w:noWrap/>
            <w:hideMark/>
          </w:tcPr>
          <w:p w:rsidR="00492206" w:rsidRPr="00CC5CE5" w:rsidRDefault="00492206" w:rsidP="003E6EDB">
            <w:pPr>
              <w:spacing w:line="240" w:lineRule="auto"/>
              <w:rPr>
                <w:rFonts w:eastAsia="Times New Roman" w:cs="Arial"/>
                <w:bCs/>
                <w:color w:val="000000"/>
                <w:lang w:val="en-US" w:eastAsia="en-AU"/>
              </w:rPr>
            </w:pPr>
            <w:r w:rsidRPr="00CC5CE5">
              <w:rPr>
                <w:rFonts w:eastAsia="Times New Roman" w:cs="Arial"/>
                <w:bCs/>
                <w:color w:val="000000"/>
                <w:lang w:val="en-US" w:eastAsia="en-AU"/>
              </w:rPr>
              <w:t xml:space="preserve">Number of variants </w:t>
            </w:r>
          </w:p>
        </w:tc>
        <w:tc>
          <w:tcPr>
            <w:tcW w:w="1701" w:type="dxa"/>
            <w:tcBorders>
              <w:top w:val="single" w:sz="4" w:space="0" w:color="auto"/>
              <w:bottom w:val="single" w:sz="4" w:space="0" w:color="auto"/>
            </w:tcBorders>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4,425</w:t>
            </w:r>
          </w:p>
        </w:tc>
        <w:tc>
          <w:tcPr>
            <w:tcW w:w="1701" w:type="dxa"/>
            <w:tcBorders>
              <w:top w:val="single" w:sz="4" w:space="0" w:color="auto"/>
              <w:bottom w:val="single" w:sz="4" w:space="0" w:color="auto"/>
            </w:tcBorders>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8,840</w:t>
            </w:r>
          </w:p>
        </w:tc>
        <w:tc>
          <w:tcPr>
            <w:tcW w:w="1814" w:type="dxa"/>
            <w:tcBorders>
              <w:top w:val="single" w:sz="4" w:space="0" w:color="auto"/>
              <w:bottom w:val="single" w:sz="4" w:space="0" w:color="auto"/>
            </w:tcBorders>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1,297</w:t>
            </w:r>
          </w:p>
        </w:tc>
      </w:tr>
      <w:tr w:rsidR="00492206" w:rsidRPr="00CC5CE5" w:rsidTr="003E6EDB">
        <w:trPr>
          <w:trHeight w:val="285"/>
        </w:trPr>
        <w:tc>
          <w:tcPr>
            <w:tcW w:w="3515" w:type="dxa"/>
            <w:tcBorders>
              <w:top w:val="single" w:sz="4" w:space="0" w:color="auto"/>
            </w:tcBorders>
            <w:noWrap/>
            <w:hideMark/>
          </w:tcPr>
          <w:p w:rsidR="00492206" w:rsidRPr="00CC5CE5" w:rsidRDefault="00492206" w:rsidP="003E6EDB">
            <w:pPr>
              <w:spacing w:line="240" w:lineRule="auto"/>
              <w:rPr>
                <w:rFonts w:eastAsia="Times New Roman" w:cs="Arial"/>
                <w:color w:val="000000"/>
                <w:lang w:val="en-US" w:eastAsia="en-AU"/>
              </w:rPr>
            </w:pPr>
            <w:r w:rsidRPr="00CC5CE5">
              <w:rPr>
                <w:rFonts w:eastAsia="Times New Roman" w:cs="Arial"/>
                <w:color w:val="000000"/>
                <w:lang w:val="en-US" w:eastAsia="en-AU"/>
              </w:rPr>
              <w:t>Location</w:t>
            </w:r>
          </w:p>
        </w:tc>
        <w:tc>
          <w:tcPr>
            <w:tcW w:w="1701" w:type="dxa"/>
            <w:tcBorders>
              <w:top w:val="single" w:sz="4" w:space="0" w:color="auto"/>
            </w:tcBorders>
            <w:noWrap/>
            <w:hideMark/>
          </w:tcPr>
          <w:p w:rsidR="00492206" w:rsidRPr="00CC5CE5" w:rsidRDefault="00492206" w:rsidP="003E6EDB">
            <w:pPr>
              <w:tabs>
                <w:tab w:val="decimal" w:pos="626"/>
              </w:tabs>
              <w:spacing w:line="240" w:lineRule="auto"/>
              <w:rPr>
                <w:rFonts w:eastAsia="Times New Roman" w:cs="Arial"/>
                <w:color w:val="000000"/>
                <w:lang w:val="en-US" w:eastAsia="en-AU"/>
              </w:rPr>
            </w:pPr>
          </w:p>
        </w:tc>
        <w:tc>
          <w:tcPr>
            <w:tcW w:w="1701" w:type="dxa"/>
            <w:tcBorders>
              <w:top w:val="single" w:sz="4" w:space="0" w:color="auto"/>
            </w:tcBorders>
            <w:noWrap/>
            <w:hideMark/>
          </w:tcPr>
          <w:p w:rsidR="00492206" w:rsidRPr="00CC5CE5" w:rsidRDefault="00492206" w:rsidP="003E6EDB">
            <w:pPr>
              <w:tabs>
                <w:tab w:val="decimal" w:pos="638"/>
              </w:tabs>
              <w:spacing w:line="240" w:lineRule="auto"/>
              <w:rPr>
                <w:rFonts w:eastAsia="Times New Roman" w:cs="Arial"/>
                <w:sz w:val="20"/>
                <w:szCs w:val="20"/>
                <w:lang w:val="en-US" w:eastAsia="en-AU"/>
              </w:rPr>
            </w:pPr>
          </w:p>
        </w:tc>
        <w:tc>
          <w:tcPr>
            <w:tcW w:w="1814" w:type="dxa"/>
            <w:tcBorders>
              <w:top w:val="single" w:sz="4" w:space="0" w:color="auto"/>
            </w:tcBorders>
            <w:noWrap/>
            <w:hideMark/>
          </w:tcPr>
          <w:p w:rsidR="00492206" w:rsidRPr="00CC5CE5" w:rsidRDefault="00492206" w:rsidP="003E6EDB">
            <w:pPr>
              <w:tabs>
                <w:tab w:val="decimal" w:pos="588"/>
              </w:tabs>
              <w:spacing w:line="240" w:lineRule="auto"/>
              <w:rPr>
                <w:rFonts w:eastAsia="Times New Roman" w:cs="Arial"/>
                <w:sz w:val="20"/>
                <w:szCs w:val="20"/>
                <w:lang w:val="en-US" w:eastAsia="en-AU"/>
              </w:rPr>
            </w:pP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Exonic</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1,858</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5,184</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487</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Intronic</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2,170</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3,209</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724</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Downstream</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8</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5</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Upstream</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25</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14</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5’ untranslated region</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132</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124</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28</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3’ untranslated region</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119</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197</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38</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Splicing</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19</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Non-coding RNA</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91</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84</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10</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Intergenic</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3</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Upstream/downstream</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285"/>
        </w:trPr>
        <w:tc>
          <w:tcPr>
            <w:tcW w:w="3515" w:type="dxa"/>
            <w:tcBorders>
              <w:bottom w:val="single" w:sz="4" w:space="0" w:color="auto"/>
            </w:tcBorders>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5’/3’ untranslated region</w:t>
            </w:r>
          </w:p>
        </w:tc>
        <w:tc>
          <w:tcPr>
            <w:tcW w:w="1701" w:type="dxa"/>
            <w:tcBorders>
              <w:bottom w:val="single" w:sz="4" w:space="0" w:color="auto"/>
            </w:tcBorders>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701" w:type="dxa"/>
            <w:tcBorders>
              <w:bottom w:val="single" w:sz="4" w:space="0" w:color="auto"/>
            </w:tcBorders>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c>
          <w:tcPr>
            <w:tcW w:w="1814" w:type="dxa"/>
            <w:tcBorders>
              <w:bottom w:val="single" w:sz="4" w:space="0" w:color="auto"/>
            </w:tcBorders>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285"/>
        </w:trPr>
        <w:tc>
          <w:tcPr>
            <w:tcW w:w="3515" w:type="dxa"/>
            <w:tcBorders>
              <w:top w:val="single" w:sz="4" w:space="0" w:color="auto"/>
            </w:tcBorders>
            <w:noWrap/>
            <w:hideMark/>
          </w:tcPr>
          <w:p w:rsidR="00492206" w:rsidRPr="00CC5CE5" w:rsidRDefault="00492206" w:rsidP="003E6EDB">
            <w:pPr>
              <w:spacing w:line="240" w:lineRule="auto"/>
              <w:rPr>
                <w:rFonts w:eastAsia="Times New Roman" w:cs="Arial"/>
                <w:bCs/>
                <w:color w:val="000000"/>
                <w:lang w:val="en-US" w:eastAsia="en-AU"/>
              </w:rPr>
            </w:pPr>
            <w:r w:rsidRPr="00CC5CE5">
              <w:rPr>
                <w:rFonts w:eastAsia="Times New Roman" w:cs="Arial"/>
                <w:bCs/>
                <w:color w:val="000000"/>
                <w:lang w:val="en-US" w:eastAsia="en-AU"/>
              </w:rPr>
              <w:t>Exonic function</w:t>
            </w:r>
          </w:p>
        </w:tc>
        <w:tc>
          <w:tcPr>
            <w:tcW w:w="1701" w:type="dxa"/>
            <w:tcBorders>
              <w:top w:val="single" w:sz="4" w:space="0" w:color="auto"/>
            </w:tcBorders>
            <w:noWrap/>
            <w:hideMark/>
          </w:tcPr>
          <w:p w:rsidR="00492206" w:rsidRPr="00CC5CE5" w:rsidRDefault="00492206" w:rsidP="003E6EDB">
            <w:pPr>
              <w:tabs>
                <w:tab w:val="decimal" w:pos="626"/>
              </w:tabs>
              <w:spacing w:line="240" w:lineRule="auto"/>
              <w:rPr>
                <w:rFonts w:eastAsia="Times New Roman" w:cs="Arial"/>
                <w:b/>
                <w:bCs/>
                <w:color w:val="000000"/>
                <w:lang w:val="en-US" w:eastAsia="en-AU"/>
              </w:rPr>
            </w:pPr>
          </w:p>
        </w:tc>
        <w:tc>
          <w:tcPr>
            <w:tcW w:w="1701" w:type="dxa"/>
            <w:tcBorders>
              <w:top w:val="single" w:sz="4" w:space="0" w:color="auto"/>
            </w:tcBorders>
            <w:noWrap/>
            <w:hideMark/>
          </w:tcPr>
          <w:p w:rsidR="00492206" w:rsidRPr="00CC5CE5" w:rsidRDefault="00492206" w:rsidP="003E6EDB">
            <w:pPr>
              <w:tabs>
                <w:tab w:val="decimal" w:pos="638"/>
              </w:tabs>
              <w:spacing w:line="240" w:lineRule="auto"/>
              <w:rPr>
                <w:rFonts w:eastAsia="Times New Roman" w:cs="Arial"/>
                <w:sz w:val="20"/>
                <w:szCs w:val="20"/>
                <w:lang w:val="en-US" w:eastAsia="en-AU"/>
              </w:rPr>
            </w:pPr>
          </w:p>
        </w:tc>
        <w:tc>
          <w:tcPr>
            <w:tcW w:w="1814" w:type="dxa"/>
            <w:tcBorders>
              <w:top w:val="single" w:sz="4" w:space="0" w:color="auto"/>
            </w:tcBorders>
            <w:noWrap/>
            <w:hideMark/>
          </w:tcPr>
          <w:p w:rsidR="00492206" w:rsidRPr="00CC5CE5" w:rsidRDefault="00492206" w:rsidP="003E6EDB">
            <w:pPr>
              <w:tabs>
                <w:tab w:val="decimal" w:pos="588"/>
              </w:tabs>
              <w:spacing w:line="240" w:lineRule="auto"/>
              <w:rPr>
                <w:rFonts w:eastAsia="Times New Roman" w:cs="Arial"/>
                <w:sz w:val="20"/>
                <w:szCs w:val="20"/>
                <w:lang w:val="en-US" w:eastAsia="en-AU"/>
              </w:rPr>
            </w:pP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Nonsynonymous</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1,184</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2,815</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211</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Stop gain</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40</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34</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Stop loss</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1</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4</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Synonymous</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601</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2,268</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273</w:t>
            </w:r>
          </w:p>
        </w:tc>
      </w:tr>
      <w:tr w:rsidR="00492206" w:rsidRPr="00CC5CE5" w:rsidTr="003E6EDB">
        <w:trPr>
          <w:trHeight w:val="285"/>
        </w:trPr>
        <w:tc>
          <w:tcPr>
            <w:tcW w:w="3515" w:type="dxa"/>
            <w:noWrap/>
            <w:hideMark/>
          </w:tcPr>
          <w:p w:rsidR="00492206" w:rsidRPr="00CC5CE5" w:rsidRDefault="00492206" w:rsidP="003E6EDB">
            <w:pPr>
              <w:spacing w:line="240" w:lineRule="auto"/>
              <w:ind w:left="170"/>
              <w:rPr>
                <w:rFonts w:eastAsia="Times New Roman" w:cs="Arial"/>
                <w:color w:val="000000"/>
                <w:lang w:val="en-US" w:eastAsia="en-AU"/>
              </w:rPr>
            </w:pPr>
            <w:r w:rsidRPr="00CC5CE5">
              <w:rPr>
                <w:rFonts w:eastAsia="Times New Roman" w:cs="Arial"/>
                <w:color w:val="000000"/>
                <w:lang w:val="en-US" w:eastAsia="en-AU"/>
              </w:rPr>
              <w:t>Unknown</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32</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63</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2</w:t>
            </w:r>
          </w:p>
        </w:tc>
      </w:tr>
      <w:tr w:rsidR="00492206" w:rsidRPr="00CC5CE5" w:rsidTr="003E6EDB">
        <w:trPr>
          <w:trHeight w:val="285"/>
        </w:trPr>
        <w:tc>
          <w:tcPr>
            <w:tcW w:w="3515" w:type="dxa"/>
            <w:noWrap/>
            <w:hideMark/>
          </w:tcPr>
          <w:p w:rsidR="00492206" w:rsidRPr="00CC5CE5" w:rsidRDefault="00492206" w:rsidP="003E6EDB">
            <w:pPr>
              <w:spacing w:line="240" w:lineRule="auto"/>
              <w:rPr>
                <w:rFonts w:eastAsia="Times New Roman" w:cs="Arial"/>
                <w:bCs/>
                <w:color w:val="000000"/>
                <w:lang w:val="en-US" w:eastAsia="en-AU"/>
              </w:rPr>
            </w:pPr>
            <w:r w:rsidRPr="00CC5CE5">
              <w:rPr>
                <w:rFonts w:eastAsia="Times New Roman" w:cs="Arial"/>
                <w:bCs/>
                <w:color w:val="000000"/>
                <w:lang w:val="en-US" w:eastAsia="en-AU"/>
              </w:rPr>
              <w:t>Functional prediction</w:t>
            </w:r>
          </w:p>
        </w:tc>
        <w:tc>
          <w:tcPr>
            <w:tcW w:w="1701" w:type="dxa"/>
            <w:noWrap/>
            <w:hideMark/>
          </w:tcPr>
          <w:p w:rsidR="00492206" w:rsidRPr="00CC5CE5" w:rsidRDefault="00492206" w:rsidP="003E6EDB">
            <w:pPr>
              <w:tabs>
                <w:tab w:val="decimal" w:pos="626"/>
              </w:tabs>
              <w:spacing w:line="240" w:lineRule="auto"/>
              <w:rPr>
                <w:rFonts w:eastAsia="Times New Roman" w:cs="Arial"/>
                <w:b/>
                <w:bCs/>
                <w:color w:val="000000"/>
                <w:lang w:val="en-US" w:eastAsia="en-AU"/>
              </w:rPr>
            </w:pPr>
          </w:p>
        </w:tc>
        <w:tc>
          <w:tcPr>
            <w:tcW w:w="1701" w:type="dxa"/>
            <w:noWrap/>
            <w:hideMark/>
          </w:tcPr>
          <w:p w:rsidR="00492206" w:rsidRPr="00CC5CE5" w:rsidRDefault="00492206" w:rsidP="003E6EDB">
            <w:pPr>
              <w:tabs>
                <w:tab w:val="decimal" w:pos="638"/>
              </w:tabs>
              <w:spacing w:line="240" w:lineRule="auto"/>
              <w:rPr>
                <w:rFonts w:eastAsia="Times New Roman" w:cs="Arial"/>
                <w:sz w:val="20"/>
                <w:szCs w:val="20"/>
                <w:lang w:val="en-US" w:eastAsia="en-AU"/>
              </w:rPr>
            </w:pPr>
          </w:p>
        </w:tc>
        <w:tc>
          <w:tcPr>
            <w:tcW w:w="1814" w:type="dxa"/>
            <w:noWrap/>
            <w:hideMark/>
          </w:tcPr>
          <w:p w:rsidR="00492206" w:rsidRPr="00CC5CE5" w:rsidRDefault="00492206" w:rsidP="003E6EDB">
            <w:pPr>
              <w:tabs>
                <w:tab w:val="decimal" w:pos="588"/>
              </w:tabs>
              <w:spacing w:line="240" w:lineRule="auto"/>
              <w:rPr>
                <w:rFonts w:eastAsia="Times New Roman" w:cs="Arial"/>
                <w:sz w:val="20"/>
                <w:szCs w:val="20"/>
                <w:lang w:val="en-US" w:eastAsia="en-AU"/>
              </w:rPr>
            </w:pPr>
          </w:p>
        </w:tc>
      </w:tr>
      <w:tr w:rsidR="00492206" w:rsidRPr="00CC5CE5" w:rsidTr="003E6EDB">
        <w:trPr>
          <w:trHeight w:val="285"/>
        </w:trPr>
        <w:tc>
          <w:tcPr>
            <w:tcW w:w="3515" w:type="dxa"/>
            <w:noWrap/>
            <w:hideMark/>
          </w:tcPr>
          <w:p w:rsidR="00492206" w:rsidRPr="00CC5CE5" w:rsidRDefault="00492206" w:rsidP="003E6EDB">
            <w:pPr>
              <w:spacing w:line="240" w:lineRule="auto"/>
              <w:ind w:left="173"/>
              <w:rPr>
                <w:rFonts w:eastAsia="Times New Roman" w:cs="Arial"/>
                <w:color w:val="000000"/>
                <w:lang w:val="en-US" w:eastAsia="en-AU"/>
              </w:rPr>
            </w:pPr>
            <w:r w:rsidRPr="00CC5CE5">
              <w:rPr>
                <w:rFonts w:eastAsia="Times New Roman" w:cs="Arial"/>
                <w:color w:val="000000"/>
                <w:lang w:val="en-US" w:eastAsia="en-AU"/>
              </w:rPr>
              <w:t>Deleterious in SIFT and PolyPhen-2</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254</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449</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22</w:t>
            </w:r>
          </w:p>
        </w:tc>
      </w:tr>
      <w:tr w:rsidR="00492206" w:rsidRPr="00CC5CE5" w:rsidTr="003E6EDB">
        <w:trPr>
          <w:trHeight w:val="285"/>
        </w:trPr>
        <w:tc>
          <w:tcPr>
            <w:tcW w:w="3515" w:type="dxa"/>
            <w:noWrap/>
            <w:hideMark/>
          </w:tcPr>
          <w:p w:rsidR="00492206" w:rsidRPr="00CC5CE5" w:rsidRDefault="00492206" w:rsidP="003E6EDB">
            <w:pPr>
              <w:spacing w:line="240" w:lineRule="auto"/>
              <w:ind w:left="173"/>
              <w:rPr>
                <w:rFonts w:eastAsia="Times New Roman" w:cs="Arial"/>
                <w:color w:val="000000"/>
                <w:lang w:val="en-US" w:eastAsia="en-AU"/>
              </w:rPr>
            </w:pPr>
            <w:r w:rsidRPr="00CC5CE5">
              <w:rPr>
                <w:rFonts w:eastAsia="Times New Roman" w:cs="Arial"/>
                <w:color w:val="000000"/>
                <w:lang w:val="en-US" w:eastAsia="en-AU"/>
              </w:rPr>
              <w:t>Tolerated in SIFT and PolyPhen-2</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545</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1,551</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134</w:t>
            </w:r>
          </w:p>
        </w:tc>
      </w:tr>
      <w:tr w:rsidR="00492206" w:rsidRPr="00CC5CE5" w:rsidTr="003E6EDB">
        <w:trPr>
          <w:trHeight w:val="285"/>
        </w:trPr>
        <w:tc>
          <w:tcPr>
            <w:tcW w:w="3515" w:type="dxa"/>
            <w:noWrap/>
            <w:hideMark/>
          </w:tcPr>
          <w:p w:rsidR="00492206" w:rsidRPr="00CC5CE5" w:rsidRDefault="00492206" w:rsidP="003E6EDB">
            <w:pPr>
              <w:spacing w:line="240" w:lineRule="auto"/>
              <w:ind w:left="173"/>
              <w:rPr>
                <w:rFonts w:eastAsia="Times New Roman" w:cs="Arial"/>
                <w:color w:val="000000"/>
                <w:lang w:val="en-US" w:eastAsia="en-AU"/>
              </w:rPr>
            </w:pPr>
            <w:r w:rsidRPr="00CC5CE5">
              <w:rPr>
                <w:rFonts w:eastAsia="Times New Roman" w:cs="Arial"/>
                <w:color w:val="000000"/>
                <w:lang w:val="en-US" w:eastAsia="en-AU"/>
              </w:rPr>
              <w:t>Unknown in SIFT and PolyPhen-2</w:t>
            </w:r>
          </w:p>
        </w:tc>
        <w:tc>
          <w:tcPr>
            <w:tcW w:w="1701" w:type="dxa"/>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3,189</w:t>
            </w:r>
          </w:p>
        </w:tc>
        <w:tc>
          <w:tcPr>
            <w:tcW w:w="1701" w:type="dxa"/>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46</w:t>
            </w:r>
          </w:p>
        </w:tc>
        <w:tc>
          <w:tcPr>
            <w:tcW w:w="1814" w:type="dxa"/>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6</w:t>
            </w:r>
          </w:p>
        </w:tc>
      </w:tr>
      <w:tr w:rsidR="00492206" w:rsidRPr="00CC5CE5" w:rsidTr="003E6EDB">
        <w:trPr>
          <w:trHeight w:val="285"/>
        </w:trPr>
        <w:tc>
          <w:tcPr>
            <w:tcW w:w="3515" w:type="dxa"/>
            <w:tcBorders>
              <w:bottom w:val="single" w:sz="4" w:space="0" w:color="auto"/>
            </w:tcBorders>
            <w:noWrap/>
            <w:hideMark/>
          </w:tcPr>
          <w:p w:rsidR="00492206" w:rsidRPr="00CC5CE5" w:rsidRDefault="00492206" w:rsidP="003E6EDB">
            <w:pPr>
              <w:spacing w:line="240" w:lineRule="auto"/>
              <w:ind w:left="173"/>
              <w:rPr>
                <w:rFonts w:eastAsia="Times New Roman" w:cs="Arial"/>
                <w:color w:val="000000"/>
                <w:lang w:val="en-US" w:eastAsia="en-AU"/>
              </w:rPr>
            </w:pPr>
            <w:r w:rsidRPr="00CC5CE5">
              <w:rPr>
                <w:rFonts w:eastAsia="Times New Roman" w:cs="Arial"/>
                <w:color w:val="000000"/>
                <w:lang w:val="en-US" w:eastAsia="en-AU"/>
              </w:rPr>
              <w:t>Regulome database score &lt; 3</w:t>
            </w:r>
          </w:p>
        </w:tc>
        <w:tc>
          <w:tcPr>
            <w:tcW w:w="1701" w:type="dxa"/>
            <w:tcBorders>
              <w:bottom w:val="single" w:sz="4" w:space="0" w:color="auto"/>
            </w:tcBorders>
            <w:noWrap/>
            <w:hideMark/>
          </w:tcPr>
          <w:p w:rsidR="00492206" w:rsidRPr="00CC5CE5" w:rsidRDefault="00492206" w:rsidP="003E6EDB">
            <w:pPr>
              <w:tabs>
                <w:tab w:val="decimal" w:pos="626"/>
              </w:tabs>
              <w:spacing w:line="240" w:lineRule="auto"/>
              <w:rPr>
                <w:rFonts w:eastAsia="Times New Roman" w:cs="Arial"/>
                <w:color w:val="000000"/>
                <w:lang w:val="en-US" w:eastAsia="en-AU"/>
              </w:rPr>
            </w:pPr>
            <w:r w:rsidRPr="00CC5CE5">
              <w:rPr>
                <w:rFonts w:eastAsia="Times New Roman" w:cs="Arial"/>
                <w:color w:val="000000"/>
                <w:lang w:val="en-US" w:eastAsia="en-AU"/>
              </w:rPr>
              <w:t>0</w:t>
            </w:r>
          </w:p>
        </w:tc>
        <w:tc>
          <w:tcPr>
            <w:tcW w:w="1701" w:type="dxa"/>
            <w:tcBorders>
              <w:bottom w:val="single" w:sz="4" w:space="0" w:color="auto"/>
            </w:tcBorders>
            <w:noWrap/>
            <w:hideMark/>
          </w:tcPr>
          <w:p w:rsidR="00492206" w:rsidRPr="00CC5CE5" w:rsidRDefault="00492206" w:rsidP="003E6EDB">
            <w:pPr>
              <w:tabs>
                <w:tab w:val="decimal" w:pos="638"/>
              </w:tabs>
              <w:spacing w:line="240" w:lineRule="auto"/>
              <w:rPr>
                <w:rFonts w:eastAsia="Times New Roman" w:cs="Arial"/>
                <w:color w:val="000000"/>
                <w:lang w:val="en-US" w:eastAsia="en-AU"/>
              </w:rPr>
            </w:pPr>
            <w:r w:rsidRPr="00CC5CE5">
              <w:rPr>
                <w:rFonts w:eastAsia="Times New Roman" w:cs="Arial"/>
                <w:color w:val="000000"/>
                <w:lang w:val="en-US" w:eastAsia="en-AU"/>
              </w:rPr>
              <w:t>683</w:t>
            </w:r>
          </w:p>
        </w:tc>
        <w:tc>
          <w:tcPr>
            <w:tcW w:w="1814" w:type="dxa"/>
            <w:tcBorders>
              <w:bottom w:val="single" w:sz="4" w:space="0" w:color="auto"/>
            </w:tcBorders>
            <w:noWrap/>
            <w:hideMark/>
          </w:tcPr>
          <w:p w:rsidR="00492206" w:rsidRPr="00CC5CE5" w:rsidRDefault="00492206" w:rsidP="003E6EDB">
            <w:pPr>
              <w:tabs>
                <w:tab w:val="decimal" w:pos="588"/>
              </w:tabs>
              <w:spacing w:line="240" w:lineRule="auto"/>
              <w:rPr>
                <w:rFonts w:eastAsia="Times New Roman" w:cs="Arial"/>
                <w:color w:val="000000"/>
                <w:lang w:val="en-US" w:eastAsia="en-AU"/>
              </w:rPr>
            </w:pPr>
            <w:r w:rsidRPr="00CC5CE5">
              <w:rPr>
                <w:rFonts w:eastAsia="Times New Roman" w:cs="Arial"/>
                <w:color w:val="000000"/>
                <w:lang w:val="en-US" w:eastAsia="en-AU"/>
              </w:rPr>
              <w:t>168</w:t>
            </w:r>
          </w:p>
        </w:tc>
      </w:tr>
    </w:tbl>
    <w:p w:rsidR="00492206" w:rsidRPr="00CC5CE5" w:rsidRDefault="00492206" w:rsidP="00492206">
      <w:pPr>
        <w:rPr>
          <w:lang w:val="en-US"/>
        </w:rPr>
      </w:pPr>
    </w:p>
    <w:p w:rsidR="00492206" w:rsidRPr="00CC5CE5" w:rsidRDefault="00492206" w:rsidP="00492206">
      <w:pPr>
        <w:spacing w:after="160" w:line="259" w:lineRule="auto"/>
        <w:rPr>
          <w:rFonts w:eastAsiaTheme="majorEastAsia" w:cstheme="majorBidi"/>
          <w:b/>
          <w:szCs w:val="26"/>
          <w:lang w:val="en-US"/>
        </w:rPr>
      </w:pPr>
      <w:r w:rsidRPr="00CC5CE5">
        <w:rPr>
          <w:lang w:val="en-US"/>
        </w:rPr>
        <w:br w:type="page"/>
      </w:r>
    </w:p>
    <w:p w:rsidR="00492206" w:rsidRPr="00CC5CE5" w:rsidRDefault="00492206" w:rsidP="00492206">
      <w:pPr>
        <w:pStyle w:val="Caption"/>
        <w:keepNext/>
      </w:pPr>
      <w:r>
        <w:lastRenderedPageBreak/>
        <w:t>Supplementary Table S4</w:t>
      </w:r>
      <w:r w:rsidRPr="00B80251">
        <w:t xml:space="preserve">: </w:t>
      </w:r>
      <w:r w:rsidRPr="00CC5CE5">
        <w:t>Morphology of cases from the International Sarcoma Kindred Cohort</w:t>
      </w:r>
    </w:p>
    <w:tbl>
      <w:tblPr>
        <w:tblW w:w="8720" w:type="dxa"/>
        <w:tblLook w:val="04A0" w:firstRow="1" w:lastRow="0" w:firstColumn="1" w:lastColumn="0" w:noHBand="0" w:noVBand="1"/>
      </w:tblPr>
      <w:tblGrid>
        <w:gridCol w:w="7760"/>
        <w:gridCol w:w="960"/>
      </w:tblGrid>
      <w:tr w:rsidR="00492206" w:rsidRPr="00CC5CE5" w:rsidTr="003E6EDB">
        <w:trPr>
          <w:trHeight w:val="300"/>
        </w:trPr>
        <w:tc>
          <w:tcPr>
            <w:tcW w:w="7760"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eastAsia="en-AU"/>
              </w:rPr>
            </w:pPr>
            <w:r w:rsidRPr="00CC5CE5">
              <w:rPr>
                <w:rFonts w:eastAsia="Times New Roman" w:cs="Arial"/>
                <w:b/>
                <w:bCs/>
                <w:color w:val="000000"/>
                <w:lang w:eastAsia="en-AU"/>
              </w:rPr>
              <w:t>Morphology</w:t>
            </w:r>
          </w:p>
        </w:tc>
        <w:tc>
          <w:tcPr>
            <w:tcW w:w="960" w:type="dxa"/>
            <w:tcBorders>
              <w:top w:val="single" w:sz="4" w:space="0" w:color="auto"/>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b/>
                <w:bCs/>
                <w:color w:val="000000"/>
                <w:lang w:eastAsia="en-AU"/>
              </w:rPr>
            </w:pPr>
            <w:r w:rsidRPr="00CC5CE5">
              <w:rPr>
                <w:rFonts w:eastAsia="Times New Roman" w:cs="Arial"/>
                <w:b/>
                <w:bCs/>
                <w:color w:val="000000"/>
                <w:lang w:eastAsia="en-AU"/>
              </w:rPr>
              <w:t>Count</w:t>
            </w:r>
          </w:p>
        </w:tc>
      </w:tr>
      <w:tr w:rsidR="00492206" w:rsidRPr="00CC5CE5" w:rsidTr="003E6EDB">
        <w:trPr>
          <w:trHeight w:val="300"/>
        </w:trPr>
        <w:tc>
          <w:tcPr>
            <w:tcW w:w="7760" w:type="dxa"/>
            <w:tcBorders>
              <w:top w:val="single" w:sz="4" w:space="0" w:color="auto"/>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Abdominal fibromatosis</w:t>
            </w:r>
          </w:p>
        </w:tc>
        <w:tc>
          <w:tcPr>
            <w:tcW w:w="960" w:type="dxa"/>
            <w:tcBorders>
              <w:top w:val="single" w:sz="4" w:space="0" w:color="auto"/>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Adenosarcoma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Alveolar rhabdomyosarcoma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6</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Alveolar soft part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Angiolipoma,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Angiomatoid fibrous histiocytoma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Angiomyosarcoma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Angiosarcoma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9</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Carcinosarcoma,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Chondroblastic osteosarcoma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Chondrosarcoma,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40</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Chordoma,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Clear cell chondrosarcoma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Clear cell 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Dedifferentiated chondrosarcoma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Dedifferentiated liposarcoma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6</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Dermatofibrosarcoma protuberans,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6</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Dermatofibrosarcoma,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Desmoplastic small round cell tumor</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Embryonal rhabdomyosarcoma,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Endometrial stromal sarcoma, low grade</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Endometrial stromal 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Epithelioid hemangioendothelioma, malignant</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Epithelioid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6</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Ewing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Fibromyxosarcoma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5</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Fibrosarcoma,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Gastrointestinal stromal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Gastrointestinal stromal tumor,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Giant cell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Giant cell tumor of bone, malignant</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Hemangioendothelioma, malignant</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Hemangiopericytoma, malignant</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Hemangiopericytoma,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Histiocytic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Infantile fibrosarcoma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Leiomyosarcoma,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75</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Liposarcoma,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16</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Liposarcoma, well differentiated</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Malignant fibrous histiocytoma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Malignant peripheral nerve sheath tumor</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7</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Malignant peripheral nerve sheath tumor with rhabdomyoblastic differentiation</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Malignant rhabdoid tumor</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lastRenderedPageBreak/>
              <w:t>Meningioma,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Myxoid chondrosarcoma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Myxoid liposarcoma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Myxopapillary ependymoma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Ossifying fibromyxoid tumor</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Osteochondroma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Osteosarcoma in Paget disease of bone</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Osteosarcoma,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Paraganglioma,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Parosteal osteosarcoma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Periosteal osteosarcoma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Peripheral neuroectodermal tumor</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Phyllodes tumor, malignant</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Pleomorphic liposarcoma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Primitive neuroectodermal tumor,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Rhabdomyosarcoma,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Round cell liposarcoma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84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Small cell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Solitary fibrous tumor</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3</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Solitary fibrous tumor, malignant</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ind w:right="530"/>
              <w:rPr>
                <w:rFonts w:eastAsia="Times New Roman" w:cs="Arial"/>
                <w:color w:val="000000"/>
                <w:lang w:eastAsia="en-AU"/>
              </w:rPr>
            </w:pPr>
            <w:r w:rsidRPr="00CC5CE5">
              <w:rPr>
                <w:rFonts w:eastAsia="Times New Roman" w:cs="Arial"/>
                <w:color w:val="000000"/>
                <w:lang w:eastAsia="en-AU"/>
              </w:rPr>
              <w:t>Spindle cell sarcoma</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8</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Stromal 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Synovial sarcoma, biphasic</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10</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Synovial sarcoma, epithelioid cell</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Synovial sarcoma, monophasic fibrous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4</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Synovial sarcoma, NOS</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19</w:t>
            </w:r>
          </w:p>
        </w:tc>
      </w:tr>
      <w:tr w:rsidR="00492206" w:rsidRPr="00CC5CE5" w:rsidTr="003E6EDB">
        <w:trPr>
          <w:trHeight w:val="300"/>
        </w:trPr>
        <w:tc>
          <w:tcPr>
            <w:tcW w:w="77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Synovial sarcoma, spindle cell</w:t>
            </w:r>
          </w:p>
        </w:tc>
        <w:tc>
          <w:tcPr>
            <w:tcW w:w="960" w:type="dxa"/>
            <w:tcBorders>
              <w:top w:val="nil"/>
              <w:left w:val="nil"/>
              <w:bottom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r w:rsidR="00492206" w:rsidRPr="00CC5CE5" w:rsidTr="003E6EDB">
        <w:trPr>
          <w:trHeight w:val="300"/>
        </w:trPr>
        <w:tc>
          <w:tcPr>
            <w:tcW w:w="7760" w:type="dxa"/>
            <w:tcBorders>
              <w:top w:val="nil"/>
              <w:left w:val="nil"/>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Telangiectatic osteosarcoma</w:t>
            </w:r>
          </w:p>
        </w:tc>
        <w:tc>
          <w:tcPr>
            <w:tcW w:w="960" w:type="dxa"/>
            <w:tcBorders>
              <w:top w:val="nil"/>
              <w:left w:val="nil"/>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1</w:t>
            </w:r>
          </w:p>
        </w:tc>
      </w:tr>
      <w:tr w:rsidR="00492206" w:rsidRPr="00CC5CE5" w:rsidTr="003E6EDB">
        <w:trPr>
          <w:trHeight w:val="300"/>
        </w:trPr>
        <w:tc>
          <w:tcPr>
            <w:tcW w:w="7760" w:type="dxa"/>
            <w:tcBorders>
              <w:top w:val="nil"/>
              <w:left w:val="nil"/>
              <w:bottom w:val="single" w:sz="4" w:space="0" w:color="auto"/>
              <w:right w:val="nil"/>
            </w:tcBorders>
            <w:shd w:val="clear" w:color="auto" w:fill="auto"/>
            <w:noWrap/>
            <w:vAlign w:val="bottom"/>
            <w:hideMark/>
          </w:tcPr>
          <w:p w:rsidR="00492206" w:rsidRPr="00CC5CE5" w:rsidRDefault="00492206" w:rsidP="003E6EDB">
            <w:pPr>
              <w:spacing w:line="240" w:lineRule="auto"/>
              <w:rPr>
                <w:rFonts w:eastAsia="Times New Roman" w:cs="Arial"/>
                <w:color w:val="000000"/>
                <w:lang w:eastAsia="en-AU"/>
              </w:rPr>
            </w:pPr>
            <w:r w:rsidRPr="00CC5CE5">
              <w:rPr>
                <w:rFonts w:eastAsia="Times New Roman" w:cs="Arial"/>
                <w:color w:val="000000"/>
                <w:lang w:eastAsia="en-AU"/>
              </w:rPr>
              <w:t>Undifferentiated sarcoma</w:t>
            </w:r>
          </w:p>
        </w:tc>
        <w:tc>
          <w:tcPr>
            <w:tcW w:w="960" w:type="dxa"/>
            <w:tcBorders>
              <w:top w:val="nil"/>
              <w:left w:val="nil"/>
              <w:bottom w:val="single" w:sz="4" w:space="0" w:color="auto"/>
              <w:right w:val="nil"/>
            </w:tcBorders>
            <w:shd w:val="clear" w:color="auto" w:fill="auto"/>
            <w:noWrap/>
            <w:vAlign w:val="bottom"/>
            <w:hideMark/>
          </w:tcPr>
          <w:p w:rsidR="00492206" w:rsidRPr="00CC5CE5" w:rsidRDefault="00492206" w:rsidP="003E6EDB">
            <w:pPr>
              <w:spacing w:line="240" w:lineRule="auto"/>
              <w:jc w:val="right"/>
              <w:rPr>
                <w:rFonts w:eastAsia="Times New Roman" w:cs="Arial"/>
                <w:color w:val="000000"/>
                <w:lang w:eastAsia="en-AU"/>
              </w:rPr>
            </w:pPr>
            <w:r w:rsidRPr="00CC5CE5">
              <w:rPr>
                <w:rFonts w:eastAsia="Times New Roman" w:cs="Arial"/>
                <w:color w:val="000000"/>
                <w:lang w:eastAsia="en-AU"/>
              </w:rPr>
              <w:t>2</w:t>
            </w:r>
          </w:p>
        </w:tc>
      </w:tr>
    </w:tbl>
    <w:p w:rsidR="00492206" w:rsidRPr="00571A5E" w:rsidRDefault="00492206" w:rsidP="00492206">
      <w:pPr>
        <w:rPr>
          <w:rFonts w:ascii="LMRoman12-Regular" w:hAnsi="LMRoman12-Regular" w:cs="Arial"/>
          <w:sz w:val="20"/>
          <w:szCs w:val="20"/>
          <w:lang w:val="en-US"/>
        </w:rPr>
      </w:pPr>
      <w:r w:rsidRPr="00CC5CE5">
        <w:rPr>
          <w:rFonts w:ascii="LMRoman12-Regular" w:hAnsi="LMRoman12-Regular" w:cs="Arial"/>
          <w:sz w:val="20"/>
          <w:szCs w:val="20"/>
          <w:lang w:val="en-US"/>
        </w:rPr>
        <w:t>NOS: not otherwise specified.</w:t>
      </w:r>
    </w:p>
    <w:p w:rsidR="00FA66D2" w:rsidRDefault="00FA66D2"/>
    <w:p w:rsidR="0073445C" w:rsidRDefault="0073445C">
      <w:pPr>
        <w:spacing w:after="160" w:line="259" w:lineRule="auto"/>
      </w:pPr>
      <w:r>
        <w:br w:type="page"/>
      </w:r>
    </w:p>
    <w:p w:rsidR="0073445C" w:rsidRDefault="0073445C" w:rsidP="0073445C">
      <w:pPr>
        <w:pStyle w:val="Heading1"/>
        <w:rPr>
          <w:rFonts w:cs="Arial"/>
          <w:lang w:val="en-US"/>
        </w:rPr>
      </w:pPr>
      <w:r>
        <w:rPr>
          <w:rFonts w:cs="Arial"/>
          <w:lang w:val="en-US"/>
        </w:rPr>
        <w:lastRenderedPageBreak/>
        <w:t>References</w:t>
      </w:r>
    </w:p>
    <w:p w:rsidR="0073445C" w:rsidRDefault="0073445C"/>
    <w:p w:rsidR="008932D8" w:rsidRPr="008932D8" w:rsidRDefault="0073445C" w:rsidP="008932D8">
      <w:pPr>
        <w:pStyle w:val="EndNoteBibliography"/>
      </w:pPr>
      <w:r>
        <w:fldChar w:fldCharType="begin"/>
      </w:r>
      <w:r>
        <w:instrText xml:space="preserve"> ADDIN EN.REFLIST </w:instrText>
      </w:r>
      <w:r>
        <w:fldChar w:fldCharType="separate"/>
      </w:r>
      <w:r w:rsidR="008932D8" w:rsidRPr="008932D8">
        <w:t>1.</w:t>
      </w:r>
      <w:r w:rsidR="008932D8" w:rsidRPr="008932D8">
        <w:tab/>
        <w:t xml:space="preserve">Australasian Sarcoma Study Group. International Sarcoma Kindred Study Melbourne: Australasian Sarcoma Study Group; 2013 [Available from: </w:t>
      </w:r>
      <w:hyperlink r:id="rId6" w:history="1">
        <w:r w:rsidR="008932D8" w:rsidRPr="008932D8">
          <w:rPr>
            <w:rStyle w:val="Hyperlink"/>
          </w:rPr>
          <w:t>http://www.australiansarcomagroup.org/sarcomakindredstudy</w:t>
        </w:r>
      </w:hyperlink>
      <w:r w:rsidR="008932D8" w:rsidRPr="008932D8">
        <w:t>.</w:t>
      </w:r>
    </w:p>
    <w:p w:rsidR="008932D8" w:rsidRPr="008932D8" w:rsidRDefault="008932D8" w:rsidP="008932D8">
      <w:pPr>
        <w:pStyle w:val="EndNoteBibliography"/>
      </w:pPr>
      <w:r w:rsidRPr="008932D8">
        <w:t>2.</w:t>
      </w:r>
      <w:r w:rsidRPr="008932D8">
        <w:tab/>
        <w:t>Mitchell G, Ballinger ML, Wong S, Hewitt C, James P, Young M-A, et al. High frequency of germline TP53 mutations in a prospective adult-onset sarcoma cohort. PLOS ONE. 2013;8(7):1-7.</w:t>
      </w:r>
    </w:p>
    <w:p w:rsidR="008932D8" w:rsidRPr="008932D8" w:rsidRDefault="008932D8" w:rsidP="008932D8">
      <w:pPr>
        <w:pStyle w:val="EndNoteBibliography"/>
      </w:pPr>
      <w:r w:rsidRPr="008932D8">
        <w:t>3.</w:t>
      </w:r>
      <w:r w:rsidRPr="008932D8">
        <w:tab/>
        <w:t xml:space="preserve">Garvan Institute of Medical Research. Medical genome reference bank Garvan Institute of Medical Research2017 [Available from: </w:t>
      </w:r>
      <w:hyperlink r:id="rId7" w:history="1">
        <w:r w:rsidRPr="008932D8">
          <w:rPr>
            <w:rStyle w:val="Hyperlink"/>
          </w:rPr>
          <w:t>https://www.garvan.org.au/research/kinghorn-centre-for-clinical-genomics/clinical-genomics/sydney-genomics-collaborative/mgrb</w:t>
        </w:r>
      </w:hyperlink>
      <w:r w:rsidRPr="008932D8">
        <w:t>.</w:t>
      </w:r>
    </w:p>
    <w:p w:rsidR="008932D8" w:rsidRPr="008932D8" w:rsidRDefault="008932D8" w:rsidP="008932D8">
      <w:pPr>
        <w:pStyle w:val="EndNoteBibliography"/>
      </w:pPr>
      <w:r w:rsidRPr="008932D8">
        <w:t>4.</w:t>
      </w:r>
      <w:r w:rsidRPr="008932D8">
        <w:tab/>
        <w:t>McNeil JJ, Woods RL, Nelson MR, Murray AM, Reid CM, Kirpach B, et al. Baseline characteristics of participants in the ASPREE (ASPirin in Reducing Events in the Elderly) study. The Journals of Gerontology. 2017.</w:t>
      </w:r>
    </w:p>
    <w:p w:rsidR="008932D8" w:rsidRPr="008932D8" w:rsidRDefault="008932D8" w:rsidP="008932D8">
      <w:pPr>
        <w:pStyle w:val="EndNoteBibliography"/>
      </w:pPr>
      <w:r w:rsidRPr="008932D8">
        <w:t>5.</w:t>
      </w:r>
      <w:r w:rsidRPr="008932D8">
        <w:tab/>
        <w:t>45 and Up Study Collaborators. Cohort Profile: the 45 and Up Study. International Journal of Epidemiology. 2008;37(5):941-7.</w:t>
      </w:r>
    </w:p>
    <w:p w:rsidR="0073445C" w:rsidRDefault="0073445C">
      <w:r>
        <w:fldChar w:fldCharType="end"/>
      </w:r>
    </w:p>
    <w:sectPr w:rsidR="0073445C" w:rsidSect="00967618">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LMRoman8-Regular">
    <w:altName w:val="Calibri"/>
    <w:panose1 w:val="00000000000000000000"/>
    <w:charset w:val="00"/>
    <w:family w:val="auto"/>
    <w:notTrueType/>
    <w:pitch w:val="default"/>
    <w:sig w:usb0="00000003" w:usb1="00000000" w:usb2="00000000" w:usb3="00000000" w:csb0="00000001" w:csb1="00000000"/>
  </w:font>
  <w:font w:name="LMRoman12-Regular">
    <w:altName w:val="Calibri"/>
    <w:panose1 w:val="00000000000000000000"/>
    <w:charset w:val="00"/>
    <w:family w:val="auto"/>
    <w:notTrueType/>
    <w:pitch w:val="default"/>
    <w:sig w:usb0="00000003" w:usb1="00000000" w:usb2="00000000" w:usb3="00000000" w:csb0="00000001" w:csb1="00000000"/>
  </w:font>
  <w:font w:name="LMMathSymbols10-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1BF"/>
    <w:multiLevelType w:val="hybridMultilevel"/>
    <w:tmpl w:val="2C6CBAC4"/>
    <w:lvl w:ilvl="0" w:tplc="0B5881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Total_Editing_Time" w:val="3"/>
  </w:docVars>
  <w:rsids>
    <w:rsidRoot w:val="00492206"/>
    <w:rsid w:val="00192750"/>
    <w:rsid w:val="00492206"/>
    <w:rsid w:val="0073445C"/>
    <w:rsid w:val="008932D8"/>
    <w:rsid w:val="0093675F"/>
    <w:rsid w:val="00CE20BD"/>
    <w:rsid w:val="00FA6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06"/>
    <w:pPr>
      <w:spacing w:after="0" w:line="480" w:lineRule="auto"/>
    </w:pPr>
    <w:rPr>
      <w:rFonts w:ascii="Arial" w:hAnsi="Arial"/>
    </w:rPr>
  </w:style>
  <w:style w:type="paragraph" w:styleId="Heading1">
    <w:name w:val="heading 1"/>
    <w:basedOn w:val="Normal"/>
    <w:next w:val="Normal"/>
    <w:link w:val="Heading1Char"/>
    <w:uiPriority w:val="9"/>
    <w:qFormat/>
    <w:rsid w:val="0049220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92206"/>
    <w:pPr>
      <w:keepNext/>
      <w:keepLines/>
      <w:spacing w:before="40"/>
      <w:outlineLvl w:val="1"/>
    </w:pPr>
    <w:rPr>
      <w:rFonts w:eastAsiaTheme="majorEastAsia" w:cstheme="majorBidi"/>
      <w:b/>
      <w:szCs w:val="26"/>
      <w:lang w:val="en-US"/>
    </w:rPr>
  </w:style>
  <w:style w:type="paragraph" w:styleId="Heading3">
    <w:name w:val="heading 3"/>
    <w:basedOn w:val="Normal"/>
    <w:next w:val="Normal"/>
    <w:link w:val="Heading3Char"/>
    <w:uiPriority w:val="9"/>
    <w:unhideWhenUsed/>
    <w:qFormat/>
    <w:rsid w:val="00492206"/>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492206"/>
    <w:pPr>
      <w:keepNext/>
      <w:keepLines/>
      <w:spacing w:before="40"/>
      <w:ind w:left="7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0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92206"/>
    <w:rPr>
      <w:rFonts w:ascii="Arial" w:eastAsiaTheme="majorEastAsia" w:hAnsi="Arial" w:cstheme="majorBidi"/>
      <w:b/>
      <w:szCs w:val="26"/>
      <w:lang w:val="en-US"/>
    </w:rPr>
  </w:style>
  <w:style w:type="character" w:customStyle="1" w:styleId="Heading3Char">
    <w:name w:val="Heading 3 Char"/>
    <w:basedOn w:val="DefaultParagraphFont"/>
    <w:link w:val="Heading3"/>
    <w:uiPriority w:val="9"/>
    <w:rsid w:val="00492206"/>
    <w:rPr>
      <w:rFonts w:ascii="Arial" w:eastAsiaTheme="majorEastAsia" w:hAnsi="Arial" w:cstheme="majorBidi"/>
      <w:szCs w:val="24"/>
      <w:u w:val="single"/>
    </w:rPr>
  </w:style>
  <w:style w:type="character" w:customStyle="1" w:styleId="Heading4Char">
    <w:name w:val="Heading 4 Char"/>
    <w:basedOn w:val="DefaultParagraphFont"/>
    <w:link w:val="Heading4"/>
    <w:uiPriority w:val="9"/>
    <w:rsid w:val="00492206"/>
    <w:rPr>
      <w:rFonts w:ascii="Arial" w:eastAsiaTheme="majorEastAsia" w:hAnsi="Arial" w:cstheme="majorBidi"/>
      <w:i/>
      <w:iCs/>
    </w:rPr>
  </w:style>
  <w:style w:type="paragraph" w:styleId="Title">
    <w:name w:val="Title"/>
    <w:basedOn w:val="Normal"/>
    <w:next w:val="Normal"/>
    <w:link w:val="TitleChar"/>
    <w:uiPriority w:val="10"/>
    <w:qFormat/>
    <w:rsid w:val="00492206"/>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92206"/>
    <w:rPr>
      <w:rFonts w:ascii="Arial" w:eastAsiaTheme="majorEastAsia" w:hAnsi="Arial" w:cstheme="majorBidi"/>
      <w:spacing w:val="-10"/>
      <w:kern w:val="28"/>
      <w:sz w:val="32"/>
      <w:szCs w:val="56"/>
    </w:rPr>
  </w:style>
  <w:style w:type="character" w:styleId="LineNumber">
    <w:name w:val="line number"/>
    <w:basedOn w:val="DefaultParagraphFont"/>
    <w:uiPriority w:val="99"/>
    <w:semiHidden/>
    <w:unhideWhenUsed/>
    <w:rsid w:val="00492206"/>
  </w:style>
  <w:style w:type="paragraph" w:customStyle="1" w:styleId="Default">
    <w:name w:val="Default"/>
    <w:rsid w:val="0049220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92206"/>
  </w:style>
  <w:style w:type="paragraph" w:customStyle="1" w:styleId="EndNoteBibliographyTitle">
    <w:name w:val="EndNote Bibliography Title"/>
    <w:basedOn w:val="Normal"/>
    <w:link w:val="EndNoteBibliographyTitleChar"/>
    <w:rsid w:val="00492206"/>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492206"/>
    <w:rPr>
      <w:rFonts w:ascii="Arial" w:hAnsi="Arial" w:cs="Arial"/>
      <w:noProof/>
      <w:lang w:val="en-US"/>
    </w:rPr>
  </w:style>
  <w:style w:type="paragraph" w:customStyle="1" w:styleId="EndNoteBibliography">
    <w:name w:val="EndNote Bibliography"/>
    <w:basedOn w:val="Normal"/>
    <w:link w:val="EndNoteBibliographyChar"/>
    <w:rsid w:val="00492206"/>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492206"/>
    <w:rPr>
      <w:rFonts w:ascii="Arial" w:hAnsi="Arial" w:cs="Arial"/>
      <w:noProof/>
      <w:lang w:val="en-US"/>
    </w:rPr>
  </w:style>
  <w:style w:type="character" w:styleId="Hyperlink">
    <w:name w:val="Hyperlink"/>
    <w:basedOn w:val="DefaultParagraphFont"/>
    <w:uiPriority w:val="99"/>
    <w:unhideWhenUsed/>
    <w:rsid w:val="00492206"/>
    <w:rPr>
      <w:color w:val="0563C1" w:themeColor="hyperlink"/>
      <w:u w:val="single"/>
    </w:rPr>
  </w:style>
  <w:style w:type="character" w:customStyle="1" w:styleId="Mention1">
    <w:name w:val="Mention1"/>
    <w:basedOn w:val="DefaultParagraphFont"/>
    <w:uiPriority w:val="99"/>
    <w:semiHidden/>
    <w:unhideWhenUsed/>
    <w:rsid w:val="00492206"/>
    <w:rPr>
      <w:color w:val="2B579A"/>
      <w:shd w:val="clear" w:color="auto" w:fill="E6E6E6"/>
    </w:rPr>
  </w:style>
  <w:style w:type="paragraph" w:styleId="Caption">
    <w:name w:val="caption"/>
    <w:basedOn w:val="Normal"/>
    <w:next w:val="Normal"/>
    <w:uiPriority w:val="35"/>
    <w:unhideWhenUsed/>
    <w:qFormat/>
    <w:rsid w:val="00492206"/>
    <w:pPr>
      <w:spacing w:after="200" w:line="240" w:lineRule="auto"/>
    </w:pPr>
    <w:rPr>
      <w:b/>
      <w:iCs/>
      <w:sz w:val="18"/>
      <w:szCs w:val="18"/>
    </w:rPr>
  </w:style>
  <w:style w:type="paragraph" w:styleId="NoSpacing">
    <w:name w:val="No Spacing"/>
    <w:uiPriority w:val="1"/>
    <w:qFormat/>
    <w:rsid w:val="00492206"/>
    <w:pPr>
      <w:spacing w:after="0" w:line="240" w:lineRule="auto"/>
    </w:pPr>
    <w:rPr>
      <w:rFonts w:ascii="Arial" w:hAnsi="Arial"/>
    </w:rPr>
  </w:style>
  <w:style w:type="table" w:styleId="TableGrid">
    <w:name w:val="Table Grid"/>
    <w:basedOn w:val="TableNormal"/>
    <w:uiPriority w:val="39"/>
    <w:rsid w:val="004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06"/>
    <w:rPr>
      <w:rFonts w:ascii="Segoe UI" w:hAnsi="Segoe UI" w:cs="Segoe UI"/>
      <w:sz w:val="18"/>
      <w:szCs w:val="18"/>
    </w:rPr>
  </w:style>
  <w:style w:type="character" w:customStyle="1" w:styleId="Mention2">
    <w:name w:val="Mention2"/>
    <w:basedOn w:val="DefaultParagraphFont"/>
    <w:uiPriority w:val="99"/>
    <w:semiHidden/>
    <w:unhideWhenUsed/>
    <w:rsid w:val="00492206"/>
    <w:rPr>
      <w:color w:val="2B579A"/>
      <w:shd w:val="clear" w:color="auto" w:fill="E6E6E6"/>
    </w:rPr>
  </w:style>
  <w:style w:type="character" w:styleId="CommentReference">
    <w:name w:val="annotation reference"/>
    <w:basedOn w:val="DefaultParagraphFont"/>
    <w:uiPriority w:val="99"/>
    <w:semiHidden/>
    <w:unhideWhenUsed/>
    <w:rsid w:val="00492206"/>
    <w:rPr>
      <w:sz w:val="16"/>
      <w:szCs w:val="16"/>
    </w:rPr>
  </w:style>
  <w:style w:type="paragraph" w:styleId="CommentText">
    <w:name w:val="annotation text"/>
    <w:basedOn w:val="Normal"/>
    <w:link w:val="CommentTextChar"/>
    <w:uiPriority w:val="99"/>
    <w:semiHidden/>
    <w:unhideWhenUsed/>
    <w:rsid w:val="00492206"/>
    <w:pPr>
      <w:spacing w:line="240" w:lineRule="auto"/>
    </w:pPr>
    <w:rPr>
      <w:sz w:val="20"/>
      <w:szCs w:val="20"/>
    </w:rPr>
  </w:style>
  <w:style w:type="character" w:customStyle="1" w:styleId="CommentTextChar">
    <w:name w:val="Comment Text Char"/>
    <w:basedOn w:val="DefaultParagraphFont"/>
    <w:link w:val="CommentText"/>
    <w:uiPriority w:val="99"/>
    <w:semiHidden/>
    <w:rsid w:val="004922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2206"/>
    <w:rPr>
      <w:b/>
      <w:bCs/>
    </w:rPr>
  </w:style>
  <w:style w:type="character" w:customStyle="1" w:styleId="CommentSubjectChar">
    <w:name w:val="Comment Subject Char"/>
    <w:basedOn w:val="CommentTextChar"/>
    <w:link w:val="CommentSubject"/>
    <w:uiPriority w:val="99"/>
    <w:semiHidden/>
    <w:rsid w:val="00492206"/>
    <w:rPr>
      <w:rFonts w:ascii="Arial" w:hAnsi="Arial"/>
      <w:b/>
      <w:bCs/>
      <w:sz w:val="20"/>
      <w:szCs w:val="20"/>
    </w:rPr>
  </w:style>
  <w:style w:type="character" w:customStyle="1" w:styleId="Mention3">
    <w:name w:val="Mention3"/>
    <w:basedOn w:val="DefaultParagraphFont"/>
    <w:uiPriority w:val="99"/>
    <w:semiHidden/>
    <w:unhideWhenUsed/>
    <w:rsid w:val="00492206"/>
    <w:rPr>
      <w:color w:val="2B579A"/>
      <w:shd w:val="clear" w:color="auto" w:fill="E6E6E6"/>
    </w:rPr>
  </w:style>
  <w:style w:type="character" w:customStyle="1" w:styleId="UnresolvedMention1">
    <w:name w:val="Unresolved Mention1"/>
    <w:basedOn w:val="DefaultParagraphFont"/>
    <w:uiPriority w:val="99"/>
    <w:semiHidden/>
    <w:unhideWhenUsed/>
    <w:rsid w:val="00492206"/>
    <w:rPr>
      <w:color w:val="808080"/>
      <w:shd w:val="clear" w:color="auto" w:fill="E6E6E6"/>
    </w:rPr>
  </w:style>
  <w:style w:type="character" w:customStyle="1" w:styleId="UnresolvedMention2">
    <w:name w:val="Unresolved Mention2"/>
    <w:basedOn w:val="DefaultParagraphFont"/>
    <w:uiPriority w:val="99"/>
    <w:semiHidden/>
    <w:unhideWhenUsed/>
    <w:rsid w:val="00492206"/>
    <w:rPr>
      <w:color w:val="808080"/>
      <w:shd w:val="clear" w:color="auto" w:fill="E6E6E6"/>
    </w:rPr>
  </w:style>
  <w:style w:type="paragraph" w:styleId="Header">
    <w:name w:val="header"/>
    <w:basedOn w:val="Normal"/>
    <w:link w:val="HeaderChar"/>
    <w:uiPriority w:val="99"/>
    <w:unhideWhenUsed/>
    <w:rsid w:val="00492206"/>
    <w:pPr>
      <w:tabs>
        <w:tab w:val="center" w:pos="4513"/>
        <w:tab w:val="right" w:pos="9026"/>
      </w:tabs>
      <w:spacing w:line="240" w:lineRule="auto"/>
    </w:pPr>
  </w:style>
  <w:style w:type="character" w:customStyle="1" w:styleId="HeaderChar">
    <w:name w:val="Header Char"/>
    <w:basedOn w:val="DefaultParagraphFont"/>
    <w:link w:val="Header"/>
    <w:uiPriority w:val="99"/>
    <w:rsid w:val="00492206"/>
    <w:rPr>
      <w:rFonts w:ascii="Arial" w:hAnsi="Arial"/>
    </w:rPr>
  </w:style>
  <w:style w:type="paragraph" w:styleId="Footer">
    <w:name w:val="footer"/>
    <w:basedOn w:val="Normal"/>
    <w:link w:val="FooterChar"/>
    <w:uiPriority w:val="99"/>
    <w:unhideWhenUsed/>
    <w:rsid w:val="00492206"/>
    <w:pPr>
      <w:tabs>
        <w:tab w:val="center" w:pos="4513"/>
        <w:tab w:val="right" w:pos="9026"/>
      </w:tabs>
      <w:spacing w:line="240" w:lineRule="auto"/>
    </w:pPr>
  </w:style>
  <w:style w:type="character" w:customStyle="1" w:styleId="FooterChar">
    <w:name w:val="Footer Char"/>
    <w:basedOn w:val="DefaultParagraphFont"/>
    <w:link w:val="Footer"/>
    <w:uiPriority w:val="99"/>
    <w:rsid w:val="00492206"/>
    <w:rPr>
      <w:rFonts w:ascii="Arial" w:hAnsi="Arial"/>
    </w:rPr>
  </w:style>
  <w:style w:type="character" w:customStyle="1" w:styleId="UnresolvedMention3">
    <w:name w:val="Unresolved Mention3"/>
    <w:basedOn w:val="DefaultParagraphFont"/>
    <w:uiPriority w:val="99"/>
    <w:semiHidden/>
    <w:unhideWhenUsed/>
    <w:rsid w:val="00492206"/>
    <w:rPr>
      <w:color w:val="808080"/>
      <w:shd w:val="clear" w:color="auto" w:fill="E6E6E6"/>
    </w:rPr>
  </w:style>
  <w:style w:type="paragraph" w:styleId="NormalWeb">
    <w:name w:val="Normal (Web)"/>
    <w:basedOn w:val="Normal"/>
    <w:uiPriority w:val="99"/>
    <w:semiHidden/>
    <w:unhideWhenUsed/>
    <w:rsid w:val="0049220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492206"/>
    <w:pPr>
      <w:ind w:left="720"/>
      <w:contextualSpacing/>
    </w:pPr>
  </w:style>
  <w:style w:type="character" w:customStyle="1" w:styleId="UnresolvedMention4">
    <w:name w:val="Unresolved Mention4"/>
    <w:basedOn w:val="DefaultParagraphFont"/>
    <w:uiPriority w:val="99"/>
    <w:semiHidden/>
    <w:unhideWhenUsed/>
    <w:rsid w:val="00492206"/>
    <w:rPr>
      <w:color w:val="808080"/>
      <w:shd w:val="clear" w:color="auto" w:fill="E6E6E6"/>
    </w:rPr>
  </w:style>
  <w:style w:type="character" w:customStyle="1" w:styleId="UnresolvedMention">
    <w:name w:val="Unresolved Mention"/>
    <w:basedOn w:val="DefaultParagraphFont"/>
    <w:uiPriority w:val="99"/>
    <w:semiHidden/>
    <w:unhideWhenUsed/>
    <w:rsid w:val="00492206"/>
    <w:rPr>
      <w:color w:val="808080"/>
      <w:shd w:val="clear" w:color="auto" w:fill="E6E6E6"/>
    </w:rPr>
  </w:style>
  <w:style w:type="paragraph" w:styleId="Revision">
    <w:name w:val="Revision"/>
    <w:hidden/>
    <w:uiPriority w:val="99"/>
    <w:semiHidden/>
    <w:rsid w:val="00492206"/>
    <w:pPr>
      <w:spacing w:after="0" w:line="240" w:lineRule="auto"/>
    </w:pPr>
    <w:rPr>
      <w:rFonts w:ascii="Arial" w:hAnsi="Arial"/>
    </w:rPr>
  </w:style>
  <w:style w:type="paragraph" w:styleId="PlainText">
    <w:name w:val="Plain Text"/>
    <w:basedOn w:val="Normal"/>
    <w:link w:val="PlainTextChar"/>
    <w:uiPriority w:val="99"/>
    <w:semiHidden/>
    <w:unhideWhenUsed/>
    <w:rsid w:val="00492206"/>
    <w:pPr>
      <w:spacing w:line="240" w:lineRule="auto"/>
    </w:pPr>
    <w:rPr>
      <w:rFonts w:ascii="Calibri" w:eastAsiaTheme="minorEastAsia" w:hAnsi="Calibri" w:cs="Times New Roman"/>
      <w:szCs w:val="21"/>
      <w:lang w:eastAsia="en-AU"/>
    </w:rPr>
  </w:style>
  <w:style w:type="character" w:customStyle="1" w:styleId="PlainTextChar">
    <w:name w:val="Plain Text Char"/>
    <w:basedOn w:val="DefaultParagraphFont"/>
    <w:link w:val="PlainText"/>
    <w:uiPriority w:val="99"/>
    <w:semiHidden/>
    <w:rsid w:val="00492206"/>
    <w:rPr>
      <w:rFonts w:ascii="Calibri" w:eastAsiaTheme="minorEastAsia" w:hAnsi="Calibri" w:cs="Times New Roman"/>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06"/>
    <w:pPr>
      <w:spacing w:after="0" w:line="480" w:lineRule="auto"/>
    </w:pPr>
    <w:rPr>
      <w:rFonts w:ascii="Arial" w:hAnsi="Arial"/>
    </w:rPr>
  </w:style>
  <w:style w:type="paragraph" w:styleId="Heading1">
    <w:name w:val="heading 1"/>
    <w:basedOn w:val="Normal"/>
    <w:next w:val="Normal"/>
    <w:link w:val="Heading1Char"/>
    <w:uiPriority w:val="9"/>
    <w:qFormat/>
    <w:rsid w:val="0049220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92206"/>
    <w:pPr>
      <w:keepNext/>
      <w:keepLines/>
      <w:spacing w:before="40"/>
      <w:outlineLvl w:val="1"/>
    </w:pPr>
    <w:rPr>
      <w:rFonts w:eastAsiaTheme="majorEastAsia" w:cstheme="majorBidi"/>
      <w:b/>
      <w:szCs w:val="26"/>
      <w:lang w:val="en-US"/>
    </w:rPr>
  </w:style>
  <w:style w:type="paragraph" w:styleId="Heading3">
    <w:name w:val="heading 3"/>
    <w:basedOn w:val="Normal"/>
    <w:next w:val="Normal"/>
    <w:link w:val="Heading3Char"/>
    <w:uiPriority w:val="9"/>
    <w:unhideWhenUsed/>
    <w:qFormat/>
    <w:rsid w:val="00492206"/>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492206"/>
    <w:pPr>
      <w:keepNext/>
      <w:keepLines/>
      <w:spacing w:before="40"/>
      <w:ind w:left="7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0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92206"/>
    <w:rPr>
      <w:rFonts w:ascii="Arial" w:eastAsiaTheme="majorEastAsia" w:hAnsi="Arial" w:cstheme="majorBidi"/>
      <w:b/>
      <w:szCs w:val="26"/>
      <w:lang w:val="en-US"/>
    </w:rPr>
  </w:style>
  <w:style w:type="character" w:customStyle="1" w:styleId="Heading3Char">
    <w:name w:val="Heading 3 Char"/>
    <w:basedOn w:val="DefaultParagraphFont"/>
    <w:link w:val="Heading3"/>
    <w:uiPriority w:val="9"/>
    <w:rsid w:val="00492206"/>
    <w:rPr>
      <w:rFonts w:ascii="Arial" w:eastAsiaTheme="majorEastAsia" w:hAnsi="Arial" w:cstheme="majorBidi"/>
      <w:szCs w:val="24"/>
      <w:u w:val="single"/>
    </w:rPr>
  </w:style>
  <w:style w:type="character" w:customStyle="1" w:styleId="Heading4Char">
    <w:name w:val="Heading 4 Char"/>
    <w:basedOn w:val="DefaultParagraphFont"/>
    <w:link w:val="Heading4"/>
    <w:uiPriority w:val="9"/>
    <w:rsid w:val="00492206"/>
    <w:rPr>
      <w:rFonts w:ascii="Arial" w:eastAsiaTheme="majorEastAsia" w:hAnsi="Arial" w:cstheme="majorBidi"/>
      <w:i/>
      <w:iCs/>
    </w:rPr>
  </w:style>
  <w:style w:type="paragraph" w:styleId="Title">
    <w:name w:val="Title"/>
    <w:basedOn w:val="Normal"/>
    <w:next w:val="Normal"/>
    <w:link w:val="TitleChar"/>
    <w:uiPriority w:val="10"/>
    <w:qFormat/>
    <w:rsid w:val="00492206"/>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92206"/>
    <w:rPr>
      <w:rFonts w:ascii="Arial" w:eastAsiaTheme="majorEastAsia" w:hAnsi="Arial" w:cstheme="majorBidi"/>
      <w:spacing w:val="-10"/>
      <w:kern w:val="28"/>
      <w:sz w:val="32"/>
      <w:szCs w:val="56"/>
    </w:rPr>
  </w:style>
  <w:style w:type="character" w:styleId="LineNumber">
    <w:name w:val="line number"/>
    <w:basedOn w:val="DefaultParagraphFont"/>
    <w:uiPriority w:val="99"/>
    <w:semiHidden/>
    <w:unhideWhenUsed/>
    <w:rsid w:val="00492206"/>
  </w:style>
  <w:style w:type="paragraph" w:customStyle="1" w:styleId="Default">
    <w:name w:val="Default"/>
    <w:rsid w:val="0049220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92206"/>
  </w:style>
  <w:style w:type="paragraph" w:customStyle="1" w:styleId="EndNoteBibliographyTitle">
    <w:name w:val="EndNote Bibliography Title"/>
    <w:basedOn w:val="Normal"/>
    <w:link w:val="EndNoteBibliographyTitleChar"/>
    <w:rsid w:val="00492206"/>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492206"/>
    <w:rPr>
      <w:rFonts w:ascii="Arial" w:hAnsi="Arial" w:cs="Arial"/>
      <w:noProof/>
      <w:lang w:val="en-US"/>
    </w:rPr>
  </w:style>
  <w:style w:type="paragraph" w:customStyle="1" w:styleId="EndNoteBibliography">
    <w:name w:val="EndNote Bibliography"/>
    <w:basedOn w:val="Normal"/>
    <w:link w:val="EndNoteBibliographyChar"/>
    <w:rsid w:val="00492206"/>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492206"/>
    <w:rPr>
      <w:rFonts w:ascii="Arial" w:hAnsi="Arial" w:cs="Arial"/>
      <w:noProof/>
      <w:lang w:val="en-US"/>
    </w:rPr>
  </w:style>
  <w:style w:type="character" w:styleId="Hyperlink">
    <w:name w:val="Hyperlink"/>
    <w:basedOn w:val="DefaultParagraphFont"/>
    <w:uiPriority w:val="99"/>
    <w:unhideWhenUsed/>
    <w:rsid w:val="00492206"/>
    <w:rPr>
      <w:color w:val="0563C1" w:themeColor="hyperlink"/>
      <w:u w:val="single"/>
    </w:rPr>
  </w:style>
  <w:style w:type="character" w:customStyle="1" w:styleId="Mention1">
    <w:name w:val="Mention1"/>
    <w:basedOn w:val="DefaultParagraphFont"/>
    <w:uiPriority w:val="99"/>
    <w:semiHidden/>
    <w:unhideWhenUsed/>
    <w:rsid w:val="00492206"/>
    <w:rPr>
      <w:color w:val="2B579A"/>
      <w:shd w:val="clear" w:color="auto" w:fill="E6E6E6"/>
    </w:rPr>
  </w:style>
  <w:style w:type="paragraph" w:styleId="Caption">
    <w:name w:val="caption"/>
    <w:basedOn w:val="Normal"/>
    <w:next w:val="Normal"/>
    <w:uiPriority w:val="35"/>
    <w:unhideWhenUsed/>
    <w:qFormat/>
    <w:rsid w:val="00492206"/>
    <w:pPr>
      <w:spacing w:after="200" w:line="240" w:lineRule="auto"/>
    </w:pPr>
    <w:rPr>
      <w:b/>
      <w:iCs/>
      <w:sz w:val="18"/>
      <w:szCs w:val="18"/>
    </w:rPr>
  </w:style>
  <w:style w:type="paragraph" w:styleId="NoSpacing">
    <w:name w:val="No Spacing"/>
    <w:uiPriority w:val="1"/>
    <w:qFormat/>
    <w:rsid w:val="00492206"/>
    <w:pPr>
      <w:spacing w:after="0" w:line="240" w:lineRule="auto"/>
    </w:pPr>
    <w:rPr>
      <w:rFonts w:ascii="Arial" w:hAnsi="Arial"/>
    </w:rPr>
  </w:style>
  <w:style w:type="table" w:styleId="TableGrid">
    <w:name w:val="Table Grid"/>
    <w:basedOn w:val="TableNormal"/>
    <w:uiPriority w:val="39"/>
    <w:rsid w:val="004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06"/>
    <w:rPr>
      <w:rFonts w:ascii="Segoe UI" w:hAnsi="Segoe UI" w:cs="Segoe UI"/>
      <w:sz w:val="18"/>
      <w:szCs w:val="18"/>
    </w:rPr>
  </w:style>
  <w:style w:type="character" w:customStyle="1" w:styleId="Mention2">
    <w:name w:val="Mention2"/>
    <w:basedOn w:val="DefaultParagraphFont"/>
    <w:uiPriority w:val="99"/>
    <w:semiHidden/>
    <w:unhideWhenUsed/>
    <w:rsid w:val="00492206"/>
    <w:rPr>
      <w:color w:val="2B579A"/>
      <w:shd w:val="clear" w:color="auto" w:fill="E6E6E6"/>
    </w:rPr>
  </w:style>
  <w:style w:type="character" w:styleId="CommentReference">
    <w:name w:val="annotation reference"/>
    <w:basedOn w:val="DefaultParagraphFont"/>
    <w:uiPriority w:val="99"/>
    <w:semiHidden/>
    <w:unhideWhenUsed/>
    <w:rsid w:val="00492206"/>
    <w:rPr>
      <w:sz w:val="16"/>
      <w:szCs w:val="16"/>
    </w:rPr>
  </w:style>
  <w:style w:type="paragraph" w:styleId="CommentText">
    <w:name w:val="annotation text"/>
    <w:basedOn w:val="Normal"/>
    <w:link w:val="CommentTextChar"/>
    <w:uiPriority w:val="99"/>
    <w:semiHidden/>
    <w:unhideWhenUsed/>
    <w:rsid w:val="00492206"/>
    <w:pPr>
      <w:spacing w:line="240" w:lineRule="auto"/>
    </w:pPr>
    <w:rPr>
      <w:sz w:val="20"/>
      <w:szCs w:val="20"/>
    </w:rPr>
  </w:style>
  <w:style w:type="character" w:customStyle="1" w:styleId="CommentTextChar">
    <w:name w:val="Comment Text Char"/>
    <w:basedOn w:val="DefaultParagraphFont"/>
    <w:link w:val="CommentText"/>
    <w:uiPriority w:val="99"/>
    <w:semiHidden/>
    <w:rsid w:val="004922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2206"/>
    <w:rPr>
      <w:b/>
      <w:bCs/>
    </w:rPr>
  </w:style>
  <w:style w:type="character" w:customStyle="1" w:styleId="CommentSubjectChar">
    <w:name w:val="Comment Subject Char"/>
    <w:basedOn w:val="CommentTextChar"/>
    <w:link w:val="CommentSubject"/>
    <w:uiPriority w:val="99"/>
    <w:semiHidden/>
    <w:rsid w:val="00492206"/>
    <w:rPr>
      <w:rFonts w:ascii="Arial" w:hAnsi="Arial"/>
      <w:b/>
      <w:bCs/>
      <w:sz w:val="20"/>
      <w:szCs w:val="20"/>
    </w:rPr>
  </w:style>
  <w:style w:type="character" w:customStyle="1" w:styleId="Mention3">
    <w:name w:val="Mention3"/>
    <w:basedOn w:val="DefaultParagraphFont"/>
    <w:uiPriority w:val="99"/>
    <w:semiHidden/>
    <w:unhideWhenUsed/>
    <w:rsid w:val="00492206"/>
    <w:rPr>
      <w:color w:val="2B579A"/>
      <w:shd w:val="clear" w:color="auto" w:fill="E6E6E6"/>
    </w:rPr>
  </w:style>
  <w:style w:type="character" w:customStyle="1" w:styleId="UnresolvedMention1">
    <w:name w:val="Unresolved Mention1"/>
    <w:basedOn w:val="DefaultParagraphFont"/>
    <w:uiPriority w:val="99"/>
    <w:semiHidden/>
    <w:unhideWhenUsed/>
    <w:rsid w:val="00492206"/>
    <w:rPr>
      <w:color w:val="808080"/>
      <w:shd w:val="clear" w:color="auto" w:fill="E6E6E6"/>
    </w:rPr>
  </w:style>
  <w:style w:type="character" w:customStyle="1" w:styleId="UnresolvedMention2">
    <w:name w:val="Unresolved Mention2"/>
    <w:basedOn w:val="DefaultParagraphFont"/>
    <w:uiPriority w:val="99"/>
    <w:semiHidden/>
    <w:unhideWhenUsed/>
    <w:rsid w:val="00492206"/>
    <w:rPr>
      <w:color w:val="808080"/>
      <w:shd w:val="clear" w:color="auto" w:fill="E6E6E6"/>
    </w:rPr>
  </w:style>
  <w:style w:type="paragraph" w:styleId="Header">
    <w:name w:val="header"/>
    <w:basedOn w:val="Normal"/>
    <w:link w:val="HeaderChar"/>
    <w:uiPriority w:val="99"/>
    <w:unhideWhenUsed/>
    <w:rsid w:val="00492206"/>
    <w:pPr>
      <w:tabs>
        <w:tab w:val="center" w:pos="4513"/>
        <w:tab w:val="right" w:pos="9026"/>
      </w:tabs>
      <w:spacing w:line="240" w:lineRule="auto"/>
    </w:pPr>
  </w:style>
  <w:style w:type="character" w:customStyle="1" w:styleId="HeaderChar">
    <w:name w:val="Header Char"/>
    <w:basedOn w:val="DefaultParagraphFont"/>
    <w:link w:val="Header"/>
    <w:uiPriority w:val="99"/>
    <w:rsid w:val="00492206"/>
    <w:rPr>
      <w:rFonts w:ascii="Arial" w:hAnsi="Arial"/>
    </w:rPr>
  </w:style>
  <w:style w:type="paragraph" w:styleId="Footer">
    <w:name w:val="footer"/>
    <w:basedOn w:val="Normal"/>
    <w:link w:val="FooterChar"/>
    <w:uiPriority w:val="99"/>
    <w:unhideWhenUsed/>
    <w:rsid w:val="00492206"/>
    <w:pPr>
      <w:tabs>
        <w:tab w:val="center" w:pos="4513"/>
        <w:tab w:val="right" w:pos="9026"/>
      </w:tabs>
      <w:spacing w:line="240" w:lineRule="auto"/>
    </w:pPr>
  </w:style>
  <w:style w:type="character" w:customStyle="1" w:styleId="FooterChar">
    <w:name w:val="Footer Char"/>
    <w:basedOn w:val="DefaultParagraphFont"/>
    <w:link w:val="Footer"/>
    <w:uiPriority w:val="99"/>
    <w:rsid w:val="00492206"/>
    <w:rPr>
      <w:rFonts w:ascii="Arial" w:hAnsi="Arial"/>
    </w:rPr>
  </w:style>
  <w:style w:type="character" w:customStyle="1" w:styleId="UnresolvedMention3">
    <w:name w:val="Unresolved Mention3"/>
    <w:basedOn w:val="DefaultParagraphFont"/>
    <w:uiPriority w:val="99"/>
    <w:semiHidden/>
    <w:unhideWhenUsed/>
    <w:rsid w:val="00492206"/>
    <w:rPr>
      <w:color w:val="808080"/>
      <w:shd w:val="clear" w:color="auto" w:fill="E6E6E6"/>
    </w:rPr>
  </w:style>
  <w:style w:type="paragraph" w:styleId="NormalWeb">
    <w:name w:val="Normal (Web)"/>
    <w:basedOn w:val="Normal"/>
    <w:uiPriority w:val="99"/>
    <w:semiHidden/>
    <w:unhideWhenUsed/>
    <w:rsid w:val="0049220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492206"/>
    <w:pPr>
      <w:ind w:left="720"/>
      <w:contextualSpacing/>
    </w:pPr>
  </w:style>
  <w:style w:type="character" w:customStyle="1" w:styleId="UnresolvedMention4">
    <w:name w:val="Unresolved Mention4"/>
    <w:basedOn w:val="DefaultParagraphFont"/>
    <w:uiPriority w:val="99"/>
    <w:semiHidden/>
    <w:unhideWhenUsed/>
    <w:rsid w:val="00492206"/>
    <w:rPr>
      <w:color w:val="808080"/>
      <w:shd w:val="clear" w:color="auto" w:fill="E6E6E6"/>
    </w:rPr>
  </w:style>
  <w:style w:type="character" w:customStyle="1" w:styleId="UnresolvedMention">
    <w:name w:val="Unresolved Mention"/>
    <w:basedOn w:val="DefaultParagraphFont"/>
    <w:uiPriority w:val="99"/>
    <w:semiHidden/>
    <w:unhideWhenUsed/>
    <w:rsid w:val="00492206"/>
    <w:rPr>
      <w:color w:val="808080"/>
      <w:shd w:val="clear" w:color="auto" w:fill="E6E6E6"/>
    </w:rPr>
  </w:style>
  <w:style w:type="paragraph" w:styleId="Revision">
    <w:name w:val="Revision"/>
    <w:hidden/>
    <w:uiPriority w:val="99"/>
    <w:semiHidden/>
    <w:rsid w:val="00492206"/>
    <w:pPr>
      <w:spacing w:after="0" w:line="240" w:lineRule="auto"/>
    </w:pPr>
    <w:rPr>
      <w:rFonts w:ascii="Arial" w:hAnsi="Arial"/>
    </w:rPr>
  </w:style>
  <w:style w:type="paragraph" w:styleId="PlainText">
    <w:name w:val="Plain Text"/>
    <w:basedOn w:val="Normal"/>
    <w:link w:val="PlainTextChar"/>
    <w:uiPriority w:val="99"/>
    <w:semiHidden/>
    <w:unhideWhenUsed/>
    <w:rsid w:val="00492206"/>
    <w:pPr>
      <w:spacing w:line="240" w:lineRule="auto"/>
    </w:pPr>
    <w:rPr>
      <w:rFonts w:ascii="Calibri" w:eastAsiaTheme="minorEastAsia" w:hAnsi="Calibri" w:cs="Times New Roman"/>
      <w:szCs w:val="21"/>
      <w:lang w:eastAsia="en-AU"/>
    </w:rPr>
  </w:style>
  <w:style w:type="character" w:customStyle="1" w:styleId="PlainTextChar">
    <w:name w:val="Plain Text Char"/>
    <w:basedOn w:val="DefaultParagraphFont"/>
    <w:link w:val="PlainText"/>
    <w:uiPriority w:val="99"/>
    <w:semiHidden/>
    <w:rsid w:val="00492206"/>
    <w:rPr>
      <w:rFonts w:ascii="Calibri" w:eastAsiaTheme="minorEastAsia"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arvan.org.au/research/kinghorn-centre-for-clinical-genomics/clinical-genomics/sydney-genomics-collaborative/mg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nsarcomagroup.org/sarcomakindredstu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2825</Words>
  <Characters>13989</Characters>
  <Application>Microsoft Office Word</Application>
  <DocSecurity>0</DocSecurity>
  <Lines>1998</Lines>
  <Paragraphs>2101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Evenda Dench</dc:creator>
  <cp:keywords/>
  <dc:description/>
  <cp:lastModifiedBy>PCUEVAS</cp:lastModifiedBy>
  <cp:revision>4</cp:revision>
  <dcterms:created xsi:type="dcterms:W3CDTF">2018-10-04T06:06:00Z</dcterms:created>
  <dcterms:modified xsi:type="dcterms:W3CDTF">2019-04-24T06:44:00Z</dcterms:modified>
</cp:coreProperties>
</file>