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0B97" w14:textId="7DC00791" w:rsidR="00A07F12" w:rsidRDefault="00FB6F5A" w:rsidP="00E31637">
      <w:pPr>
        <w:jc w:val="center"/>
        <w:rPr>
          <w:rFonts w:ascii="Times New Roman" w:hAnsi="Times New Roman"/>
        </w:rPr>
      </w:pPr>
      <w:bookmarkStart w:id="0" w:name="_GoBack"/>
      <w:bookmarkEnd w:id="0"/>
      <w:r w:rsidRPr="007A3720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6075CBD3" wp14:editId="0737ABA2">
            <wp:extent cx="3816985" cy="310451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629E" w14:textId="2D431913" w:rsidR="003237EA" w:rsidRPr="003237EA" w:rsidRDefault="003237EA" w:rsidP="003237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Figure 1. Activated clotting time (sec) with differing sodium citrate content. </w:t>
      </w:r>
      <w:r>
        <w:rPr>
          <w:rFonts w:ascii="Times New Roman" w:hAnsi="Times New Roman"/>
        </w:rPr>
        <w:t xml:space="preserve">Volunteer blood collected in 0%, 1%, and 3% sodium citrate tubes were measured for activated clotting time. </w:t>
      </w:r>
      <w:r w:rsidR="003545DF">
        <w:rPr>
          <w:rFonts w:ascii="Times New Roman" w:eastAsia="Times New Roman" w:hAnsi="Times New Roman"/>
          <w:color w:val="000000"/>
          <w:shd w:val="clear" w:color="auto" w:fill="FFFFFF"/>
        </w:rPr>
        <w:t xml:space="preserve">Activated clotting time was similar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between three concentration of sodium citrate from 115.5 </w:t>
      </w:r>
      <m:oMath>
        <m:r>
          <w:rPr>
            <w:rFonts w:ascii="Cambria Math" w:eastAsia="Times New Roman" w:hAnsi="Cambria Math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23.2 seconds, 112.3 </w:t>
      </w:r>
      <m:oMath>
        <m:r>
          <w:rPr>
            <w:rFonts w:ascii="Cambria Math" w:eastAsia="Times New Roman" w:hAnsi="Cambria Math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7.7 seconds, and 127.7 </w:t>
      </w:r>
      <m:oMath>
        <m:r>
          <w:rPr>
            <w:rFonts w:ascii="Cambria Math" w:eastAsia="Times New Roman" w:hAnsi="Cambria Math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21.6 seconds, for 0%, 1%, and </w:t>
      </w:r>
      <w:r w:rsidRPr="002877DC">
        <w:rPr>
          <w:rFonts w:ascii="Times New Roman" w:eastAsia="Times New Roman" w:hAnsi="Times New Roman"/>
          <w:color w:val="000000"/>
          <w:shd w:val="clear" w:color="auto" w:fill="FFFFFF"/>
        </w:rPr>
        <w:t>3%, respectively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(n = 6). </w:t>
      </w:r>
    </w:p>
    <w:p w14:paraId="20CD1B2C" w14:textId="77777777" w:rsidR="00A07F12" w:rsidRDefault="00A07F12" w:rsidP="00A07F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981D4E" w14:textId="7971D05F" w:rsidR="007A3720" w:rsidRPr="00A07F12" w:rsidRDefault="00FB6F5A" w:rsidP="00E31637">
      <w:pPr>
        <w:jc w:val="center"/>
        <w:rPr>
          <w:rFonts w:ascii="Times New Roman" w:hAnsi="Times New Roman"/>
        </w:rPr>
      </w:pPr>
      <w:r w:rsidRPr="007A3720">
        <w:rPr>
          <w:rFonts w:ascii="Times New Roman" w:eastAsia="Times New Roman" w:hAnsi="Times New Roman"/>
          <w:noProof/>
          <w:color w:val="000000"/>
          <w:shd w:val="clear" w:color="auto" w:fill="FFFFFF"/>
          <w:lang w:val="en-IN" w:eastAsia="en-IN"/>
        </w:rPr>
        <w:lastRenderedPageBreak/>
        <w:drawing>
          <wp:inline distT="0" distB="0" distL="0" distR="0" wp14:anchorId="67C670EE" wp14:editId="41A1DB96">
            <wp:extent cx="4040505" cy="25520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2DA0" w14:textId="7B025481" w:rsidR="00A07F12" w:rsidRPr="00A07F12" w:rsidRDefault="00A07F12" w:rsidP="00A07F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Figure 2. Comparison of standard versus reverse perfusion. </w:t>
      </w:r>
      <w:r>
        <w:rPr>
          <w:rFonts w:ascii="Times New Roman" w:hAnsi="Times New Roman"/>
        </w:rPr>
        <w:t xml:space="preserve">Blood from volunteers collected in 1% sodium citrate tubes were incubated for 15 minutes prior to perfusion through the bench-top stent thrombosis model in the standard vs. reverse direction (relative to mal-apposed stent section). </w:t>
      </w:r>
      <w:r>
        <w:rPr>
          <w:rFonts w:ascii="Times New Roman" w:eastAsia="Times New Roman" w:hAnsi="Times New Roman"/>
          <w:color w:val="000000"/>
        </w:rPr>
        <w:t xml:space="preserve">Well-apposed segment (n = 3) perfused in the opposite direction (reverse) had a thrombus burden of </w:t>
      </w:r>
      <w:r w:rsidR="004F1438">
        <w:rPr>
          <w:rFonts w:ascii="Times New Roman" w:eastAsia="Times New Roman" w:hAnsi="Times New Roman"/>
          <w:color w:val="000000"/>
        </w:rPr>
        <w:t xml:space="preserve">3.6 </w:t>
      </w:r>
      <m:oMath>
        <m:r>
          <w:rPr>
            <w:rFonts w:ascii="Cambria Math" w:eastAsia="Times New Roman" w:hAnsi="Cambria Math"/>
            <w:color w:val="000000"/>
          </w:rPr>
          <m:t>±</m:t>
        </m:r>
      </m:oMath>
      <w:r w:rsidR="004F1438">
        <w:rPr>
          <w:rFonts w:ascii="Times New Roman" w:eastAsia="Times New Roman" w:hAnsi="Times New Roman"/>
          <w:color w:val="000000"/>
        </w:rPr>
        <w:t xml:space="preserve"> 2.3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% compared to standard perfusion which had a thrombus burden of 3.2 </w:t>
      </w:r>
      <m:oMath>
        <m:r>
          <w:rPr>
            <w:rFonts w:ascii="Cambria Math" w:eastAsia="Times New Roman" w:hAnsi="Cambria Math" w:hint="eastAsia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0.6%. Reverse perfusion through malapposed segment (n = 3) had a thrombus burden of 6.5 </w:t>
      </w:r>
      <m:oMath>
        <m:r>
          <w:rPr>
            <w:rFonts w:ascii="Cambria Math" w:eastAsia="Times New Roman" w:hAnsi="Cambria Math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1.4% whereas perfusion in the standard direction had a thrombus burden of 9.9 </w:t>
      </w:r>
      <m:oMath>
        <m:r>
          <w:rPr>
            <w:rFonts w:ascii="Cambria Math" w:eastAsia="Times New Roman" w:hAnsi="Cambria Math"/>
            <w:color w:val="000000"/>
            <w:shd w:val="clear" w:color="auto" w:fill="FFFFFF"/>
          </w:rPr>
          <m:t>±</m:t>
        </m:r>
      </m:oMath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1.3%. Data was compared using standard student t-test and no difference was observed regardless of the change in direction of perfusion. </w:t>
      </w:r>
    </w:p>
    <w:p w14:paraId="7248295D" w14:textId="77777777" w:rsidR="004F55E6" w:rsidRPr="00A07F12" w:rsidRDefault="004F55E6">
      <w:pPr>
        <w:rPr>
          <w:rFonts w:ascii="Times New Roman" w:hAnsi="Times New Roman"/>
        </w:rPr>
      </w:pPr>
    </w:p>
    <w:p w14:paraId="5567D79C" w14:textId="77777777" w:rsidR="00A07F12" w:rsidRDefault="00A07F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BC75B35" w14:textId="7DC868BA" w:rsidR="004F55E6" w:rsidRDefault="00FB6F5A" w:rsidP="004F55E6">
      <w:pPr>
        <w:jc w:val="center"/>
        <w:rPr>
          <w:rFonts w:ascii="Times New Roman" w:hAnsi="Times New Roman"/>
        </w:rPr>
      </w:pPr>
      <w:r w:rsidRPr="007A3720">
        <w:rPr>
          <w:rFonts w:ascii="Times New Roman" w:hAnsi="Times New Roman"/>
          <w:noProof/>
          <w:lang w:val="en-IN" w:eastAsia="en-IN"/>
        </w:rPr>
        <w:lastRenderedPageBreak/>
        <w:drawing>
          <wp:inline distT="0" distB="0" distL="0" distR="0" wp14:anchorId="2DD5BCFC" wp14:editId="0A5519B8">
            <wp:extent cx="3348990" cy="279654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CA6E" w14:textId="307C4FF1" w:rsidR="00A07F12" w:rsidRPr="00A07F12" w:rsidRDefault="001C3843" w:rsidP="00A07F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Figure 3</w:t>
      </w:r>
      <w:r w:rsidR="00A07F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Platelet reactivity units (PRU) before and after </w:t>
      </w:r>
      <w:r>
        <w:rPr>
          <w:rFonts w:ascii="Times New Roman" w:hAnsi="Times New Roman"/>
          <w:b/>
          <w:i/>
        </w:rPr>
        <w:t xml:space="preserve">in vitro </w:t>
      </w:r>
      <w:r>
        <w:rPr>
          <w:rFonts w:ascii="Times New Roman" w:hAnsi="Times New Roman"/>
          <w:b/>
        </w:rPr>
        <w:t xml:space="preserve">DAPT administration. </w:t>
      </w:r>
      <w:r>
        <w:rPr>
          <w:rFonts w:ascii="Times New Roman" w:hAnsi="Times New Roman"/>
        </w:rPr>
        <w:t xml:space="preserve">Samples collected in 1% sodium citrate tubes were analyzed using </w:t>
      </w:r>
      <w:proofErr w:type="spellStart"/>
      <w:r>
        <w:rPr>
          <w:rFonts w:ascii="Times New Roman" w:hAnsi="Times New Roman"/>
        </w:rPr>
        <w:t>VerifyNow</w:t>
      </w:r>
      <w:proofErr w:type="spellEnd"/>
      <w:r>
        <w:rPr>
          <w:rFonts w:ascii="Times New Roman" w:hAnsi="Times New Roman"/>
        </w:rPr>
        <w:t xml:space="preserve"> P2Y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 xml:space="preserve"> before and after incubation with 20.0 </w:t>
      </w:r>
      <m:oMath>
        <m:r>
          <w:rPr>
            <w:rFonts w:ascii="Cambria Math" w:hAnsi="Cambria Math"/>
          </w:rPr>
          <m:t>μ</m:t>
        </m:r>
      </m:oMath>
      <w:r w:rsidRPr="007A3720">
        <w:rPr>
          <w:rFonts w:ascii="Times New Roman" w:eastAsia="Times New Roman" w:hAnsi="Times New Roman"/>
        </w:rPr>
        <w:t xml:space="preserve">M ASA and 1.4 </w:t>
      </w:r>
      <m:oMath>
        <m:r>
          <w:rPr>
            <w:rFonts w:ascii="Cambria Math" w:eastAsia="Times New Roman" w:hAnsi="Cambria Math"/>
          </w:rPr>
          <m:t>μ</m:t>
        </m:r>
      </m:oMath>
      <w:r w:rsidRPr="007A3720">
        <w:rPr>
          <w:rFonts w:ascii="Times New Roman" w:eastAsia="Times New Roman" w:hAnsi="Times New Roman"/>
        </w:rPr>
        <w:t xml:space="preserve">M ticagrelor for 15 minutes. </w:t>
      </w:r>
      <w:r w:rsidRPr="007A3720">
        <w:rPr>
          <w:rFonts w:ascii="Times New Roman" w:eastAsia="Times New Roman" w:hAnsi="Times New Roman"/>
          <w:i/>
        </w:rPr>
        <w:t xml:space="preserve">In vitro </w:t>
      </w:r>
      <w:r w:rsidRPr="007A3720">
        <w:rPr>
          <w:rFonts w:ascii="Times New Roman" w:eastAsia="Times New Roman" w:hAnsi="Times New Roman"/>
        </w:rPr>
        <w:t xml:space="preserve">administration of DAPT </w:t>
      </w:r>
      <w:r>
        <w:rPr>
          <w:rFonts w:ascii="Times New Roman" w:eastAsia="Times New Roman" w:hAnsi="Times New Roman"/>
          <w:color w:val="000000"/>
        </w:rPr>
        <w:t xml:space="preserve">had considerable reduction in PRU from 183.3 </w:t>
      </w:r>
      <m:oMath>
        <m:r>
          <w:rPr>
            <w:rFonts w:ascii="Cambria Math" w:eastAsia="Times New Roman" w:hAnsi="Cambria Math"/>
            <w:color w:val="000000"/>
          </w:rPr>
          <m:t>±</m:t>
        </m:r>
      </m:oMath>
      <w:r>
        <w:rPr>
          <w:rFonts w:ascii="Times New Roman" w:eastAsia="Times New Roman" w:hAnsi="Times New Roman"/>
          <w:color w:val="000000"/>
        </w:rPr>
        <w:t xml:space="preserve"> 28.3 to 6.0 </w:t>
      </w:r>
      <m:oMath>
        <m:r>
          <w:rPr>
            <w:rFonts w:ascii="Cambria Math" w:eastAsia="Times New Roman" w:hAnsi="Cambria Math"/>
            <w:color w:val="000000"/>
          </w:rPr>
          <m:t>±</m:t>
        </m:r>
      </m:oMath>
      <w:r>
        <w:rPr>
          <w:rFonts w:ascii="Times New Roman" w:eastAsia="Times New Roman" w:hAnsi="Times New Roman"/>
          <w:color w:val="000000"/>
        </w:rPr>
        <w:t xml:space="preserve"> 2.6 (n = 3) (p = 0.0004). Data was analyzed using student t-test. P&lt;0.05 is considered statistically significant.</w:t>
      </w:r>
    </w:p>
    <w:p w14:paraId="581CD76B" w14:textId="77777777" w:rsidR="004F55E6" w:rsidRPr="00A07F12" w:rsidRDefault="004F55E6" w:rsidP="001C3843">
      <w:pPr>
        <w:rPr>
          <w:rFonts w:ascii="Times New Roman" w:hAnsi="Times New Roman"/>
        </w:rPr>
      </w:pPr>
    </w:p>
    <w:p w14:paraId="65810EA4" w14:textId="77777777" w:rsidR="00A07F12" w:rsidRPr="00A07F12" w:rsidRDefault="00A07F12" w:rsidP="004F55E6">
      <w:pPr>
        <w:jc w:val="center"/>
        <w:rPr>
          <w:rFonts w:ascii="Times New Roman" w:hAnsi="Times New Roman"/>
        </w:rPr>
        <w:sectPr w:rsidR="00A07F12" w:rsidRPr="00A07F12" w:rsidSect="00EA7F4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1BA390" w14:textId="77777777" w:rsidR="00E31637" w:rsidRPr="00A07F12" w:rsidRDefault="00E31637" w:rsidP="00E31637">
      <w:pPr>
        <w:rPr>
          <w:rFonts w:ascii="Times New Roman" w:hAnsi="Times New Roman"/>
        </w:rPr>
      </w:pPr>
    </w:p>
    <w:p w14:paraId="765E9A0F" w14:textId="36277B7D" w:rsidR="00E31637" w:rsidRDefault="00FB6F5A" w:rsidP="001C3843">
      <w:pPr>
        <w:jc w:val="center"/>
        <w:rPr>
          <w:rFonts w:ascii="Times New Roman" w:hAnsi="Times New Roman"/>
        </w:rPr>
      </w:pPr>
      <w:r w:rsidRPr="007A3720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2C138AEC" wp14:editId="492BF374">
            <wp:extent cx="6262370" cy="4848225"/>
            <wp:effectExtent l="0" t="0" r="11430" b="3175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2DFB" w14:textId="02F30222" w:rsidR="00E31637" w:rsidRPr="00A07F12" w:rsidRDefault="001D1C14" w:rsidP="001C384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Figure 4. Thrombus distribution of platelets and mononuclear cells on stent </w:t>
      </w:r>
      <w:proofErr w:type="spellStart"/>
      <w:r>
        <w:rPr>
          <w:rFonts w:ascii="Times New Roman" w:hAnsi="Times New Roman"/>
          <w:b/>
        </w:rPr>
        <w:t>malapposition</w:t>
      </w:r>
      <w:proofErr w:type="spell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Blood collected in 1% sodium citrate tubes were perfused for 15 minutes on the bench-top stent thrombosis model with control (DMSO), 3.8 </w:t>
      </w:r>
      <m:oMath>
        <m:r>
          <w:rPr>
            <w:rFonts w:ascii="Cambria Math" w:hAnsi="Cambria Math"/>
          </w:rPr>
          <m:t>μ</m:t>
        </m:r>
      </m:oMath>
      <w:r>
        <w:rPr>
          <w:rFonts w:ascii="Times New Roman" w:hAnsi="Times New Roman"/>
        </w:rPr>
        <w:t xml:space="preserve">M corn trypsin inhibitor, 20.0 </w:t>
      </w:r>
      <m:oMath>
        <m:r>
          <w:rPr>
            <w:rFonts w:ascii="Cambria Math" w:hAnsi="Cambria Math"/>
          </w:rPr>
          <m:t>μ</m:t>
        </m:r>
      </m:oMath>
      <w:r>
        <w:rPr>
          <w:rFonts w:ascii="Times New Roman" w:hAnsi="Times New Roman"/>
        </w:rPr>
        <w:t xml:space="preserve">M ASA and 1.4 </w:t>
      </w:r>
      <m:oMath>
        <m:r>
          <w:rPr>
            <w:rFonts w:ascii="Cambria Math" w:hAnsi="Cambria Math"/>
          </w:rPr>
          <m:t>μ</m:t>
        </m:r>
      </m:oMath>
      <w:r>
        <w:rPr>
          <w:rFonts w:ascii="Times New Roman" w:hAnsi="Times New Roman"/>
        </w:rPr>
        <w:t>M Ticagrelor, or 1.0 IU/mL unfractionated heparin. Immunofluorescence images of stent strut surface with CD41 and mononuclear cells (monocytes or neutrophils) stained with DAPI are presented with corresponding CD41 or nuclear e</w:t>
      </w:r>
      <w:r w:rsidR="00DE2EC7">
        <w:rPr>
          <w:rFonts w:ascii="Times New Roman" w:hAnsi="Times New Roman"/>
        </w:rPr>
        <w:t>xpression by stent surface area.</w:t>
      </w:r>
      <w:r w:rsidR="00DE2EC7" w:rsidRPr="00A07F12">
        <w:rPr>
          <w:rFonts w:ascii="Times New Roman" w:hAnsi="Times New Roman"/>
        </w:rPr>
        <w:t xml:space="preserve"> </w:t>
      </w:r>
    </w:p>
    <w:sectPr w:rsidR="00E31637" w:rsidRPr="00A07F12" w:rsidSect="00EA7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7"/>
    <w:rsid w:val="000B5608"/>
    <w:rsid w:val="001C3843"/>
    <w:rsid w:val="001D1C14"/>
    <w:rsid w:val="003237EA"/>
    <w:rsid w:val="003336BC"/>
    <w:rsid w:val="003545DF"/>
    <w:rsid w:val="004E4837"/>
    <w:rsid w:val="004F1438"/>
    <w:rsid w:val="004F55E6"/>
    <w:rsid w:val="006A60CD"/>
    <w:rsid w:val="007A3720"/>
    <w:rsid w:val="00A07F12"/>
    <w:rsid w:val="00DE2EC7"/>
    <w:rsid w:val="00E31637"/>
    <w:rsid w:val="00EA7F48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9C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7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7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Jung</dc:creator>
  <cp:lastModifiedBy>Gayathri Jayaprakash, Integra-PDY, IN</cp:lastModifiedBy>
  <cp:revision>2</cp:revision>
  <dcterms:created xsi:type="dcterms:W3CDTF">2019-03-27T13:58:00Z</dcterms:created>
  <dcterms:modified xsi:type="dcterms:W3CDTF">2019-03-27T13:58:00Z</dcterms:modified>
</cp:coreProperties>
</file>