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1869" w14:textId="03A3ACAB" w:rsidR="009C1047" w:rsidRPr="00B4147F" w:rsidRDefault="006B1D0B" w:rsidP="00C9162C">
      <w:pPr>
        <w:spacing w:after="160" w:line="259" w:lineRule="auto"/>
        <w:rPr>
          <w:b/>
          <w:sz w:val="36"/>
          <w:szCs w:val="36"/>
        </w:rPr>
      </w:pPr>
      <w:r w:rsidRPr="00B4147F">
        <w:rPr>
          <w:b/>
          <w:sz w:val="36"/>
          <w:szCs w:val="36"/>
        </w:rPr>
        <w:t>Supporting information</w:t>
      </w:r>
      <w:r w:rsidR="00451B28" w:rsidRPr="00B4147F">
        <w:rPr>
          <w:b/>
          <w:sz w:val="36"/>
          <w:szCs w:val="36"/>
        </w:rPr>
        <w:t xml:space="preserve"> for the following article</w:t>
      </w:r>
    </w:p>
    <w:p w14:paraId="1ADD4E5C" w14:textId="77777777" w:rsidR="00451B28" w:rsidRDefault="00451B28" w:rsidP="009C1047">
      <w:pPr>
        <w:pStyle w:val="NoSpacing"/>
        <w:spacing w:line="480" w:lineRule="auto"/>
        <w:rPr>
          <w:b/>
        </w:rPr>
      </w:pPr>
    </w:p>
    <w:p w14:paraId="3713ED93" w14:textId="77777777" w:rsidR="009C1047" w:rsidRPr="00B4147F" w:rsidRDefault="009C1047" w:rsidP="009C1047">
      <w:pPr>
        <w:pStyle w:val="NoSpacing"/>
        <w:spacing w:line="480" w:lineRule="auto"/>
        <w:rPr>
          <w:b/>
          <w:sz w:val="36"/>
          <w:szCs w:val="36"/>
        </w:rPr>
      </w:pPr>
      <w:r w:rsidRPr="00B4147F">
        <w:rPr>
          <w:b/>
          <w:sz w:val="36"/>
          <w:szCs w:val="36"/>
        </w:rPr>
        <w:t>Title</w:t>
      </w:r>
    </w:p>
    <w:p w14:paraId="6160EEDB" w14:textId="08CFBC90" w:rsidR="00071BA4" w:rsidRDefault="00071BA4" w:rsidP="00071BA4">
      <w:pPr>
        <w:spacing w:line="480" w:lineRule="auto"/>
      </w:pPr>
      <w:r>
        <w:t xml:space="preserve">Environmental stress drives herbivory rates and </w:t>
      </w:r>
      <w:r w:rsidR="00245097">
        <w:t>selective grazing</w:t>
      </w:r>
      <w:r>
        <w:t xml:space="preserve"> in subtidal seagrass communities</w:t>
      </w:r>
    </w:p>
    <w:p w14:paraId="689E3289" w14:textId="26B58537" w:rsidR="009C1047" w:rsidRDefault="009C1047" w:rsidP="009C1047">
      <w:pPr>
        <w:spacing w:line="480" w:lineRule="auto"/>
      </w:pPr>
      <w:r w:rsidRPr="009C1047">
        <w:rPr>
          <w:b/>
        </w:rPr>
        <w:t>Journal;</w:t>
      </w:r>
      <w:r>
        <w:t xml:space="preserve"> </w:t>
      </w:r>
      <w:proofErr w:type="spellStart"/>
      <w:r w:rsidR="00071BA4">
        <w:t>Plos</w:t>
      </w:r>
      <w:proofErr w:type="spellEnd"/>
      <w:r w:rsidR="00071BA4">
        <w:t xml:space="preserve"> One</w:t>
      </w:r>
    </w:p>
    <w:p w14:paraId="18059248" w14:textId="49A5DF7D" w:rsidR="009C1047" w:rsidRPr="00815D31" w:rsidRDefault="009C1047" w:rsidP="009C1047">
      <w:pPr>
        <w:spacing w:line="480" w:lineRule="auto"/>
      </w:pPr>
      <w:r w:rsidRPr="008D51A7">
        <w:rPr>
          <w:b/>
        </w:rPr>
        <w:t>Authors</w:t>
      </w:r>
      <w:r>
        <w:t>; Sahira Y. Bell</w:t>
      </w:r>
      <w:r>
        <w:rPr>
          <w:vertAlign w:val="superscript"/>
        </w:rPr>
        <w:t>1</w:t>
      </w:r>
      <w:r w:rsidR="003B596F">
        <w:rPr>
          <w:vertAlign w:val="superscript"/>
        </w:rPr>
        <w:t>,2</w:t>
      </w:r>
      <w:r>
        <w:rPr>
          <w:vertAlign w:val="superscript"/>
        </w:rPr>
        <w:t>*</w:t>
      </w:r>
      <w:r>
        <w:t>, Matthew W. Fraser</w:t>
      </w:r>
      <w:r>
        <w:rPr>
          <w:vertAlign w:val="superscript"/>
        </w:rPr>
        <w:t>1</w:t>
      </w:r>
      <w:r>
        <w:t>, John Statton</w:t>
      </w:r>
      <w:r>
        <w:rPr>
          <w:vertAlign w:val="superscript"/>
        </w:rPr>
        <w:t>1</w:t>
      </w:r>
      <w:r>
        <w:t>, Gary A. Kendrick</w:t>
      </w:r>
      <w:r>
        <w:rPr>
          <w:vertAlign w:val="superscript"/>
        </w:rPr>
        <w:t>1</w:t>
      </w:r>
    </w:p>
    <w:p w14:paraId="28C985D6" w14:textId="08D45095" w:rsidR="009C1047" w:rsidRDefault="009C1047" w:rsidP="009C1047">
      <w:pPr>
        <w:spacing w:line="480" w:lineRule="auto"/>
      </w:pPr>
      <w:r w:rsidRPr="00815D31">
        <w:rPr>
          <w:vertAlign w:val="superscript"/>
        </w:rPr>
        <w:t>1</w:t>
      </w:r>
      <w:r w:rsidRPr="00815D31">
        <w:t xml:space="preserve">School of </w:t>
      </w:r>
      <w:r>
        <w:t>Biological Sciences</w:t>
      </w:r>
      <w:r w:rsidRPr="00815D31">
        <w:t xml:space="preserve"> and UWA Oceans Institute, Faculty of Natural and Agricultural Science, University of Western Australia, Crawley, 6009, Western Australia</w:t>
      </w:r>
      <w:r w:rsidR="00B4147F">
        <w:t>, Australia</w:t>
      </w:r>
    </w:p>
    <w:p w14:paraId="100106E3" w14:textId="179E4240" w:rsidR="003B596F" w:rsidRPr="003B596F" w:rsidRDefault="003B596F" w:rsidP="009C1047">
      <w:pPr>
        <w:spacing w:line="480" w:lineRule="auto"/>
      </w:pPr>
      <w:r>
        <w:rPr>
          <w:vertAlign w:val="superscript"/>
        </w:rPr>
        <w:t>2</w:t>
      </w:r>
      <w:r>
        <w:t xml:space="preserve"> Balu Blue Foundation, </w:t>
      </w:r>
      <w:r w:rsidR="007D0666">
        <w:t>Port Lincoln, 5606, South Australia</w:t>
      </w:r>
      <w:r w:rsidR="00B4147F">
        <w:t>, Australia</w:t>
      </w:r>
    </w:p>
    <w:p w14:paraId="562026A0" w14:textId="01941BCE" w:rsidR="009C1047" w:rsidRDefault="009C1047" w:rsidP="009C1047">
      <w:pPr>
        <w:spacing w:line="480" w:lineRule="auto"/>
      </w:pPr>
      <w:r>
        <w:t xml:space="preserve">*Corresponding author: </w:t>
      </w:r>
      <w:r>
        <w:br/>
        <w:t xml:space="preserve">Email: </w:t>
      </w:r>
      <w:r w:rsidRPr="0077671A">
        <w:t>sahira.bell@research.uwa.edu.au</w:t>
      </w:r>
      <w:r w:rsidR="0069490E">
        <w:br/>
        <w:t>Phone: (+61 8) 6488 5813</w:t>
      </w:r>
    </w:p>
    <w:p w14:paraId="4D317AE9" w14:textId="77777777" w:rsidR="007D0666" w:rsidRDefault="007D066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22D8292" w14:textId="7A6D465E" w:rsidR="00C9162C" w:rsidRDefault="00C9162C" w:rsidP="00C9162C">
      <w:pPr>
        <w:spacing w:after="160" w:line="480" w:lineRule="auto"/>
        <w:rPr>
          <w:b/>
        </w:rPr>
        <w:sectPr w:rsidR="00C9162C" w:rsidSect="00C71643">
          <w:footerReference w:type="default" r:id="rId6"/>
          <w:pgSz w:w="16838" w:h="11906" w:orient="landscape"/>
          <w:pgMar w:top="1440" w:right="1440" w:bottom="1416" w:left="1440" w:header="708" w:footer="708" w:gutter="0"/>
          <w:lnNumType w:countBy="1" w:restart="continuous"/>
          <w:cols w:space="708"/>
          <w:docGrid w:linePitch="360"/>
        </w:sect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8E863" wp14:editId="2587F82F">
                <wp:simplePos x="0" y="0"/>
                <wp:positionH relativeFrom="column">
                  <wp:posOffset>80467</wp:posOffset>
                </wp:positionH>
                <wp:positionV relativeFrom="paragraph">
                  <wp:posOffset>-563270</wp:posOffset>
                </wp:positionV>
                <wp:extent cx="8844077" cy="10213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077" cy="1021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9756" w14:textId="5EC5C495" w:rsidR="00C9162C" w:rsidRPr="0018544A" w:rsidRDefault="00C9162C" w:rsidP="00C9162C">
                            <w:pPr>
                              <w:keepNext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071BA4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4147F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Table.</w:t>
                            </w:r>
                            <w:r w:rsidRPr="0018544A">
                              <w:rPr>
                                <w:rFonts w:eastAsia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47F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Comprehensive list of fish species found in the Eastern embayment of Shark Bay, Western Australia. Table has been adapted from Travers and Potter (2002), Jackson et al. (2007), </w:t>
                            </w:r>
                            <w:proofErr w:type="spellStart"/>
                            <w:r w:rsidRPr="00B4147F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Belicka</w:t>
                            </w:r>
                            <w:proofErr w:type="spellEnd"/>
                            <w:r w:rsidRPr="00B4147F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al. (2012), </w:t>
                            </w:r>
                            <w:proofErr w:type="spellStart"/>
                            <w:r w:rsidRPr="00B4147F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Heithaus</w:t>
                            </w:r>
                            <w:proofErr w:type="spellEnd"/>
                            <w:r w:rsidRPr="00B4147F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al. (2012) and Walker et al. (2012)</w:t>
                            </w:r>
                            <w:r w:rsidR="006B1D0B" w:rsidRPr="00B4147F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1"/>
                              <w:tblW w:w="137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6"/>
                              <w:gridCol w:w="2116"/>
                              <w:gridCol w:w="8788"/>
                            </w:tblGrid>
                            <w:tr w:rsidR="00C9162C" w14:paraId="2993CEF9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0B2CABC" w14:textId="77777777" w:rsidR="00C9162C" w:rsidRDefault="00C9162C" w:rsidP="00A74743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18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14:paraId="361857F4" w14:textId="77777777" w:rsidR="00C9162C" w:rsidRPr="002C6361" w:rsidRDefault="00C9162C" w:rsidP="0020502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Year Published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14:paraId="5EF2F452" w14:textId="77777777" w:rsidR="00C9162C" w:rsidRPr="002C6361" w:rsidRDefault="00C9162C" w:rsidP="00A74743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Reference</w:t>
                                  </w:r>
                                </w:p>
                              </w:tc>
                            </w:tr>
                            <w:tr w:rsidR="00C9162C" w14:paraId="6D7E824C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677F07D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Acanthopagrus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latus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251B091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2EF9D9D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6F86DAF5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vAlign w:val="bottom"/>
                                </w:tcPr>
                                <w:p w14:paraId="29599DF7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Amniataba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caudavittata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vAlign w:val="bottom"/>
                                </w:tcPr>
                                <w:p w14:paraId="6E0DC60C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2007, 2011, 2012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vAlign w:val="bottom"/>
                                </w:tcPr>
                                <w:p w14:paraId="2173B8D7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Walker et al. 2012, Jackson et al. 2007,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Belicka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2012,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2011</w:t>
                                  </w:r>
                                </w:p>
                              </w:tc>
                            </w:tr>
                            <w:tr w:rsidR="00C9162C" w14:paraId="0BBE3D41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vAlign w:val="bottom"/>
                                </w:tcPr>
                                <w:p w14:paraId="238AD474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Apogon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rueppellii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vAlign w:val="bottom"/>
                                </w:tcPr>
                                <w:p w14:paraId="20052BE7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2002, 2007, 2011, 2010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vAlign w:val="bottom"/>
                                </w:tcPr>
                                <w:p w14:paraId="0171F485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Walker et al. 2012, Travers and Potter 2002, Jackson et al. 2007,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2011</w:t>
                                  </w:r>
                                </w:p>
                              </w:tc>
                            </w:tr>
                            <w:tr w:rsidR="00C9162C" w14:paraId="17388C9F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vAlign w:val="bottom"/>
                                </w:tcPr>
                                <w:p w14:paraId="1C409D2A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Apogon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victoriae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vAlign w:val="bottom"/>
                                </w:tcPr>
                                <w:p w14:paraId="75DA1C39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vAlign w:val="bottom"/>
                                </w:tcPr>
                                <w:p w14:paraId="4B79B599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2B111F68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F7761A9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Atherinomorus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vaigiensis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1EA8F8C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E91D124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2011</w:t>
                                  </w:r>
                                </w:p>
                              </w:tc>
                            </w:tr>
                            <w:tr w:rsidR="00C9162C" w14:paraId="59F837EE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AEE9DA4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Carcharhinus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cautus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F2273A5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7BB5D54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</w:t>
                                  </w:r>
                                </w:p>
                              </w:tc>
                            </w:tr>
                            <w:tr w:rsidR="00C9162C" w14:paraId="55FEC2FB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2868C31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Centrogenys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vaigiensis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EBCE867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2002, 2007, 2011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02C7E86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2002, Jackson et al. 2007</w:t>
                                  </w:r>
                                </w:p>
                              </w:tc>
                            </w:tr>
                            <w:tr w:rsidR="00C9162C" w14:paraId="1A499080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98AEB08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Colurodontis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paxmani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1674F32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3562156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2011</w:t>
                                  </w:r>
                                </w:p>
                              </w:tc>
                            </w:tr>
                            <w:tr w:rsidR="00C9162C" w14:paraId="26D0C30D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3393114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Congrogadus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subducens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41C970C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7DB657A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</w:t>
                                  </w:r>
                                </w:p>
                              </w:tc>
                            </w:tr>
                            <w:tr w:rsidR="00C9162C" w14:paraId="165151D7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1D7995F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Choerodon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cauteroma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723AE93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EED07CE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73C62AAC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8BD5D14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Choerodon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cyanodus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3A8960B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590EC4E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6D415DE7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4600D7C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Craterocephalus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mugiloides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3F21168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892A7EF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2011</w:t>
                                  </w:r>
                                </w:p>
                              </w:tc>
                            </w:tr>
                            <w:tr w:rsidR="00C9162C" w14:paraId="6F820F05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FBC5E33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Cymbacephalus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nematophthalmus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876D152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1492E4E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</w:t>
                                  </w:r>
                                </w:p>
                              </w:tc>
                            </w:tr>
                            <w:tr w:rsidR="00C9162C" w14:paraId="3FD37F68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B8724DB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Echeneis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naucrates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A9DDC78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51FCB9F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1C95180B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FCBA128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Glaucostegus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typus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1F25658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8E74D81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</w:t>
                                  </w:r>
                                </w:p>
                              </w:tc>
                            </w:tr>
                            <w:tr w:rsidR="00C9162C" w14:paraId="40435088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EC83118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Hypopterus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macropterus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1102A0F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42A27BC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6FB3CFC6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17552A9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Inegocia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japonica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CF114C1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7B61798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4F0456C2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036C98D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Labracinus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lineatus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0DF1258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8CF97ED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2002, Jackson et al. 2007</w:t>
                                  </w:r>
                                </w:p>
                              </w:tc>
                            </w:tr>
                            <w:tr w:rsidR="00C9162C" w14:paraId="3D0A7FB3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4812D76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Lethrinus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laticaudis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AB9F1AB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A78F2E1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</w:t>
                                  </w:r>
                                </w:p>
                              </w:tc>
                            </w:tr>
                            <w:tr w:rsidR="00C9162C" w14:paraId="36AA03D2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6D1C753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Leviprora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inops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8D89810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84E80A5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4850BB62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3616CE0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Monacanthus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chinensis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B9AA232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64D2351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</w:t>
                                  </w:r>
                                </w:p>
                              </w:tc>
                            </w:tr>
                            <w:tr w:rsidR="00C9162C" w14:paraId="22EEC258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C317A16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Lethrinus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choerynch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12595E0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9F3A431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79A3A159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CA27BF1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rFonts w:eastAsia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Lethrinus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genivittatus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0799B73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44D6EE2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1B90C53F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571DDF4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Lethrinus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laticaudis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C5C8E9D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5D806FD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29BA3344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BEBB13E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Lethrinus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miniatus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BFB6992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70DDBE8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545F9A43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74D8554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Lutjanus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argentimaculatus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400C840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D0F05D5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00BEC838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2ADED07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Lutjanus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vitta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56B2CF1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BA7D5B8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Jackson et al. 2007</w:t>
                                  </w:r>
                                </w:p>
                              </w:tc>
                            </w:tr>
                            <w:tr w:rsidR="00C9162C" w14:paraId="141775D2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213ADB0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Orectolobus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hutchinsi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7FB0C42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51224B8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</w:t>
                                  </w:r>
                                </w:p>
                              </w:tc>
                            </w:tr>
                            <w:tr w:rsidR="00C9162C" w14:paraId="1090CA25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30FBDFF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Pagrus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auratus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DF8CF21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D2F099D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2002, Jackson et al. 2007</w:t>
                                  </w:r>
                                </w:p>
                              </w:tc>
                            </w:tr>
                            <w:tr w:rsidR="00C9162C" w14:paraId="108C595F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DA79588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Parapercis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nebulosa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1203CB3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CC58502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2002, Jackson et al. 2007</w:t>
                                  </w:r>
                                </w:p>
                              </w:tc>
                            </w:tr>
                            <w:tr w:rsidR="00C9162C" w14:paraId="0A8FF931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34D5B77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Pelates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quadrilineatus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9BAC8C8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DB597DF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38DCEB46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0578299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Pelates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octolineatus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83A1175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2002, 2007, 2011, 2012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6BC823A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Walker et al. 2012, Travers and Potter 2002,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Bessey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2015, Jackson et al. 2007,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Belicka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2012,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2011</w:t>
                                  </w:r>
                                </w:p>
                              </w:tc>
                            </w:tr>
                            <w:tr w:rsidR="00C9162C" w14:paraId="0E65DD21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E3AAE2E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Pelates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quadrilineatus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C38D4B4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B44EDDC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</w:t>
                                  </w:r>
                                </w:p>
                              </w:tc>
                            </w:tr>
                            <w:tr w:rsidR="00C9162C" w14:paraId="2E872FB0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4E0E40C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Pentapodus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vitta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2998EE0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80B2495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Walker et al. 2012, Travers and Potter 2002, Jackson et al. 2007,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Belicka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2012</w:t>
                                  </w:r>
                                </w:p>
                              </w:tc>
                            </w:tr>
                            <w:tr w:rsidR="00C9162C" w14:paraId="31FEAC22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33D3853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Platycephalus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endrachtensis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EA68346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506D3F8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</w:t>
                                  </w:r>
                                </w:p>
                              </w:tc>
                            </w:tr>
                            <w:tr w:rsidR="00C9162C" w14:paraId="0F717ABA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21E626E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Priolepis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semidoliatus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2B2D3C7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1734D84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23534980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F7DE6C6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Psammoperca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waigiensis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C0AEC0E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2002, 2007, 2012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A0EC2C7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2002, Jackson et al. 2007</w:t>
                                  </w:r>
                                </w:p>
                              </w:tc>
                            </w:tr>
                            <w:tr w:rsidR="00C9162C" w14:paraId="2CA784D3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D377B0E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Pseudorhombus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arsius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478B3D5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597D3DD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63ABCD4E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19F6DB1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Pseudorhombus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jenynsii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C3FED60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B82600E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3C79C483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0F00978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Rhabdosargus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sarba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3A81C28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2007, 2011, 2012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34D0307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Walker et al. 2012, Jackson et al. 2007,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Belicka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2012,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Heithaus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2011</w:t>
                                  </w:r>
                                </w:p>
                              </w:tc>
                            </w:tr>
                            <w:tr w:rsidR="00C9162C" w14:paraId="39B10D12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674AC70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Scaevius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milii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507FCCF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E7A6CE8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</w:t>
                                  </w:r>
                                </w:p>
                              </w:tc>
                            </w:tr>
                            <w:tr w:rsidR="00C9162C" w14:paraId="3B613E34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84F5111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Scobinichthys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granulatus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5E5D7BB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D9229FB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0C8804BD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C9C1753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Siganus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fuscescens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B379B1A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F460705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</w:t>
                                  </w:r>
                                </w:p>
                              </w:tc>
                            </w:tr>
                            <w:tr w:rsidR="00C9162C" w14:paraId="439370A9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92A89CB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Sillago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vittata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FF5275B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AF3BC82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Belicka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et al. 2012</w:t>
                                  </w:r>
                                </w:p>
                              </w:tc>
                            </w:tr>
                            <w:tr w:rsidR="00C9162C" w14:paraId="3A692C35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A55EE65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Synodus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sageneus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DA75ADB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85545F2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Travers and Potter 2002</w:t>
                                  </w:r>
                                </w:p>
                              </w:tc>
                            </w:tr>
                            <w:tr w:rsidR="00C9162C" w14:paraId="11496698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FD1B82E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Torquigener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pleurogramma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B93AF20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2002, 2012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BB2468D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Walker et al. 2012, Travers and Potter 2002</w:t>
                                  </w:r>
                                </w:p>
                              </w:tc>
                            </w:tr>
                            <w:tr w:rsidR="00C9162C" w14:paraId="15CCC196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7F180C0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Torquigener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whitleyi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6E5340C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2002, 2012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20A7238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Walker et al. 2012, Travers and Potter 2002</w:t>
                                  </w:r>
                                </w:p>
                              </w:tc>
                            </w:tr>
                            <w:tr w:rsidR="00C9162C" w14:paraId="17101862" w14:textId="77777777" w:rsidTr="0020502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84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B2B590D" w14:textId="77777777" w:rsidR="00C9162C" w:rsidRPr="00205027" w:rsidRDefault="00C9162C" w:rsidP="0096392B">
                                  <w:pPr>
                                    <w:spacing w:after="16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Upeneus</w:t>
                                  </w:r>
                                  <w:proofErr w:type="spellEnd"/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tragula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9044573" w14:textId="77777777" w:rsidR="00C9162C" w:rsidRPr="00205027" w:rsidRDefault="00C9162C" w:rsidP="00667157">
                                  <w:pPr>
                                    <w:spacing w:after="160"/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2002, 2012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3E94530" w14:textId="77777777" w:rsidR="00C9162C" w:rsidRPr="00205027" w:rsidRDefault="00C9162C" w:rsidP="00FA23DC">
                                  <w:pPr>
                                    <w:spacing w:after="160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20502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Walker et al. 2012, Travers and Potter 2002</w:t>
                                  </w:r>
                                </w:p>
                              </w:tc>
                            </w:tr>
                          </w:tbl>
                          <w:p w14:paraId="5F842830" w14:textId="77777777" w:rsidR="00C9162C" w:rsidRDefault="00C9162C" w:rsidP="00C9162C">
                            <w:pPr>
                              <w:rPr>
                                <w:b/>
                              </w:rPr>
                            </w:pPr>
                          </w:p>
                          <w:p w14:paraId="6C06A94E" w14:textId="77777777" w:rsidR="00C9162C" w:rsidRDefault="00C9162C" w:rsidP="00C9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E8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35pt;margin-top:-44.35pt;width:696.4pt;height:8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" filled="f" stroked="f">
                <v:textbox>
                  <w:txbxContent>
                    <w:p w14:paraId="7B589756" w14:textId="5EC5C495" w:rsidR="00C9162C" w:rsidRPr="0018544A" w:rsidRDefault="00C9162C" w:rsidP="00C9162C">
                      <w:pPr>
                        <w:keepNext/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071BA4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B4147F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 xml:space="preserve"> Table.</w:t>
                      </w:r>
                      <w:r w:rsidRPr="0018544A">
                        <w:rPr>
                          <w:rFonts w:eastAsia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4147F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 xml:space="preserve">Comprehensive list of fish species found in the Eastern embayment of Shark Bay, Western Australia. Table has been adapted from Travers and Potter (2002), Jackson et al. (2007), </w:t>
                      </w:r>
                      <w:proofErr w:type="spellStart"/>
                      <w:r w:rsidRPr="00B4147F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Belicka</w:t>
                      </w:r>
                      <w:proofErr w:type="spellEnd"/>
                      <w:r w:rsidRPr="00B4147F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 xml:space="preserve"> et al. (2012), </w:t>
                      </w:r>
                      <w:proofErr w:type="spellStart"/>
                      <w:r w:rsidRPr="00B4147F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Heithaus</w:t>
                      </w:r>
                      <w:proofErr w:type="spellEnd"/>
                      <w:r w:rsidRPr="00B4147F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 xml:space="preserve"> et al. (2012) and Walker et al. (2012)</w:t>
                      </w:r>
                      <w:r w:rsidR="006B1D0B" w:rsidRPr="00B4147F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leGrid1"/>
                        <w:tblW w:w="137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6"/>
                        <w:gridCol w:w="2116"/>
                        <w:gridCol w:w="8788"/>
                      </w:tblGrid>
                      <w:tr w:rsidR="00C9162C" w14:paraId="2993CEF9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0B2CABC" w14:textId="77777777" w:rsidR="00C9162C" w:rsidRDefault="00C9162C" w:rsidP="00A74743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14:paraId="361857F4" w14:textId="77777777" w:rsidR="00C9162C" w:rsidRPr="002C6361" w:rsidRDefault="00C9162C" w:rsidP="0020502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 Published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14:paraId="5EF2F452" w14:textId="77777777" w:rsidR="00C9162C" w:rsidRPr="002C6361" w:rsidRDefault="00C9162C" w:rsidP="00A74743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Reference</w:t>
                            </w:r>
                          </w:p>
                        </w:tc>
                      </w:tr>
                      <w:tr w:rsidR="00C9162C" w14:paraId="6D7E824C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677F07D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Acanthopagrus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latus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251B091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2EF9D9D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6F86DAF5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vAlign w:val="bottom"/>
                          </w:tcPr>
                          <w:p w14:paraId="29599DF7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Amniataba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caudavittata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vAlign w:val="bottom"/>
                          </w:tcPr>
                          <w:p w14:paraId="6E0DC60C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2007, 2011, 2012</w:t>
                            </w:r>
                          </w:p>
                        </w:tc>
                        <w:tc>
                          <w:tcPr>
                            <w:tcW w:w="8788" w:type="dxa"/>
                            <w:vAlign w:val="bottom"/>
                          </w:tcPr>
                          <w:p w14:paraId="2173B8D7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Walker et al. 2012, Jackson et al. 2007,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Belicka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2012,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2011</w:t>
                            </w:r>
                          </w:p>
                        </w:tc>
                      </w:tr>
                      <w:tr w:rsidR="00C9162C" w14:paraId="0BBE3D41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vAlign w:val="bottom"/>
                          </w:tcPr>
                          <w:p w14:paraId="238AD474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Apogon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rueppellii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vAlign w:val="bottom"/>
                          </w:tcPr>
                          <w:p w14:paraId="20052BE7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2002, 2007, 2011, 2010</w:t>
                            </w:r>
                          </w:p>
                        </w:tc>
                        <w:tc>
                          <w:tcPr>
                            <w:tcW w:w="8788" w:type="dxa"/>
                            <w:vAlign w:val="bottom"/>
                          </w:tcPr>
                          <w:p w14:paraId="0171F485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Walker et al. 2012, Travers and Potter 2002, Jackson et al. 2007,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2011</w:t>
                            </w:r>
                          </w:p>
                        </w:tc>
                      </w:tr>
                      <w:tr w:rsidR="00C9162C" w14:paraId="17388C9F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vAlign w:val="bottom"/>
                          </w:tcPr>
                          <w:p w14:paraId="1C409D2A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Apogon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victoriae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vAlign w:val="bottom"/>
                          </w:tcPr>
                          <w:p w14:paraId="75DA1C39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vAlign w:val="bottom"/>
                          </w:tcPr>
                          <w:p w14:paraId="4B79B599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2B111F68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F7761A9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Atherinomorus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vaigiensis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1EA8F8C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E91D124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2011</w:t>
                            </w:r>
                          </w:p>
                        </w:tc>
                      </w:tr>
                      <w:tr w:rsidR="00C9162C" w14:paraId="59F837EE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AEE9DA4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Carcharhinus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cautus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F2273A5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7BB5D54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</w:t>
                            </w:r>
                          </w:p>
                        </w:tc>
                      </w:tr>
                      <w:tr w:rsidR="00C9162C" w14:paraId="55FEC2FB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2868C31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Centrogenys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vaigiensis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EBCE867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2002, 2007, 2011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02C7E86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2002, Jackson et al. 2007</w:t>
                            </w:r>
                          </w:p>
                        </w:tc>
                      </w:tr>
                      <w:tr w:rsidR="00C9162C" w14:paraId="1A499080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98AEB08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Colurodontis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paxmani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1674F32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3562156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2011</w:t>
                            </w:r>
                          </w:p>
                        </w:tc>
                      </w:tr>
                      <w:tr w:rsidR="00C9162C" w14:paraId="26D0C30D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3393114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Congrogadus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subducens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41C970C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7DB657A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</w:t>
                            </w:r>
                          </w:p>
                        </w:tc>
                      </w:tr>
                      <w:tr w:rsidR="00C9162C" w14:paraId="165151D7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1D7995F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Choerodon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cauteroma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723AE93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EED07CE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73C62AAC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8BD5D14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Choerodon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cyanodus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3A8960B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590EC4E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6D415DE7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4600D7C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Craterocephalus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mugiloides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3F21168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892A7EF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2011</w:t>
                            </w:r>
                          </w:p>
                        </w:tc>
                      </w:tr>
                      <w:tr w:rsidR="00C9162C" w14:paraId="6F820F05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FBC5E33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Cymbacephalus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nematophthalmus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876D152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1492E4E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</w:t>
                            </w:r>
                          </w:p>
                        </w:tc>
                      </w:tr>
                      <w:tr w:rsidR="00C9162C" w14:paraId="3FD37F68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B8724DB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Echeneis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naucrates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A9DDC78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51FCB9F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1C95180B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FCBA128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Glaucostegus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typus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1F25658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8E74D81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</w:t>
                            </w:r>
                          </w:p>
                        </w:tc>
                      </w:tr>
                      <w:tr w:rsidR="00C9162C" w14:paraId="40435088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EC83118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Hypopterus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macropterus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1102A0F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42A27BC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6FB3CFC6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17552A9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Inegocia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japonica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CF114C1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7B61798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4F0456C2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036C98D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Labracinus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lineatus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0DF1258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8CF97ED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2002, Jackson et al. 2007</w:t>
                            </w:r>
                          </w:p>
                        </w:tc>
                      </w:tr>
                      <w:tr w:rsidR="00C9162C" w14:paraId="3D0A7FB3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4812D76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Lethrinus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laticaudis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AB9F1AB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A78F2E1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</w:t>
                            </w:r>
                          </w:p>
                        </w:tc>
                      </w:tr>
                      <w:tr w:rsidR="00C9162C" w14:paraId="36AA03D2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6D1C753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Leviprora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inops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8D89810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84E80A5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4850BB62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3616CE0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Monacanthus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chinensis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B9AA232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64D2351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</w:t>
                            </w:r>
                          </w:p>
                        </w:tc>
                      </w:tr>
                      <w:tr w:rsidR="00C9162C" w14:paraId="22EEC258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C317A16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Lethrinus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choerynch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12595E0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9F3A431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79A3A159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CA27BF1" w14:textId="77777777" w:rsidR="00C9162C" w:rsidRPr="00205027" w:rsidRDefault="00C9162C" w:rsidP="0096392B">
                            <w:pPr>
                              <w:spacing w:after="160"/>
                              <w:rPr>
                                <w:rFonts w:eastAsia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Lethrinus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genivittatus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0799B73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44D6EE2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1B90C53F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571DDF4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Lethrinus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laticaudis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C5C8E9D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5D806FD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29BA3344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BEBB13E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Lethrinus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miniatus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BFB6992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70DDBE8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545F9A43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74D8554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Lutjanus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argentimaculatus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400C840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D0F05D5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00BEC838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2ADED07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Lutjanus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vitta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56B2CF1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BA7D5B8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Jackson et al. 2007</w:t>
                            </w:r>
                          </w:p>
                        </w:tc>
                      </w:tr>
                      <w:tr w:rsidR="00C9162C" w14:paraId="141775D2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213ADB0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Orectolobus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hutchinsi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7FB0C42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51224B8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</w:t>
                            </w:r>
                          </w:p>
                        </w:tc>
                      </w:tr>
                      <w:tr w:rsidR="00C9162C" w14:paraId="1090CA25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30FBDFF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Pagrus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auratus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DF8CF21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D2F099D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2002, Jackson et al. 2007</w:t>
                            </w:r>
                          </w:p>
                        </w:tc>
                      </w:tr>
                      <w:tr w:rsidR="00C9162C" w14:paraId="108C595F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DA79588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Parapercis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nebulosa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1203CB3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CC58502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2002, Jackson et al. 2007</w:t>
                            </w:r>
                          </w:p>
                        </w:tc>
                      </w:tr>
                      <w:tr w:rsidR="00C9162C" w14:paraId="0A8FF931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34D5B77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Pelates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quadrilineatus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9BAC8C8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DB597DF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38DCEB46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0578299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Pelates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octolineatus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83A1175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2002, 2007, 2011, 2012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6BC823A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Walker et al. 2012, Travers and Potter 2002,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Bessey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2015, Jackson et al. 2007,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Belicka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2012,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2011</w:t>
                            </w:r>
                          </w:p>
                        </w:tc>
                      </w:tr>
                      <w:tr w:rsidR="00C9162C" w14:paraId="0E65DD21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E3AAE2E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Pelates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quadrilineatus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C38D4B4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B44EDDC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</w:t>
                            </w:r>
                          </w:p>
                        </w:tc>
                      </w:tr>
                      <w:tr w:rsidR="00C9162C" w14:paraId="2E872FB0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4E0E40C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Pentapodus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vitta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2998EE0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80B2495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Walker et al. 2012, Travers and Potter 2002, Jackson et al. 2007,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Belicka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2012</w:t>
                            </w:r>
                          </w:p>
                        </w:tc>
                      </w:tr>
                      <w:tr w:rsidR="00C9162C" w14:paraId="31FEAC22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33D3853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Platycephalus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endrachtensis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EA68346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506D3F8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</w:t>
                            </w:r>
                          </w:p>
                        </w:tc>
                      </w:tr>
                      <w:tr w:rsidR="00C9162C" w14:paraId="0F717ABA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21E626E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Priolepis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semidoliatus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2B2D3C7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1734D84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23534980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F7DE6C6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Psammoperca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waigiensis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C0AEC0E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2002, 2007, 2012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A0EC2C7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2002, Jackson et al. 2007</w:t>
                            </w:r>
                          </w:p>
                        </w:tc>
                      </w:tr>
                      <w:tr w:rsidR="00C9162C" w14:paraId="2CA784D3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D377B0E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Pseudorhombus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arsius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478B3D5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597D3DD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63ABCD4E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19F6DB1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Pseudorhombus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jenynsii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C3FED60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B82600E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3C79C483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0F00978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Rhabdosargus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sarba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3A81C28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2007, 2011, 2012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34D0307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Walker et al. 2012, Jackson et al. 2007,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Belicka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2012,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Heithaus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2011</w:t>
                            </w:r>
                          </w:p>
                        </w:tc>
                      </w:tr>
                      <w:tr w:rsidR="00C9162C" w14:paraId="39B10D12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674AC70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Scaevius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milii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507FCCF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E7A6CE8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</w:t>
                            </w:r>
                          </w:p>
                        </w:tc>
                      </w:tr>
                      <w:tr w:rsidR="00C9162C" w14:paraId="3B613E34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84F5111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Scobinichthys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granulatus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5E5D7BB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D9229FB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0C8804BD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C9C1753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Siganus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fuscescens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B379B1A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F460705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</w:t>
                            </w:r>
                          </w:p>
                        </w:tc>
                      </w:tr>
                      <w:tr w:rsidR="00C9162C" w14:paraId="439370A9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92A89CB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Sillago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vittata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FF5275B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AF3BC82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Belicka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et al. 2012</w:t>
                            </w:r>
                          </w:p>
                        </w:tc>
                      </w:tr>
                      <w:tr w:rsidR="00C9162C" w14:paraId="3A692C35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A55EE65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Synodus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sageneus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DA75ADB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85545F2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Travers and Potter 2002</w:t>
                            </w:r>
                          </w:p>
                        </w:tc>
                      </w:tr>
                      <w:tr w:rsidR="00C9162C" w14:paraId="11496698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FD1B82E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Torquigener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pleurogramma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B93AF20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2002, 2012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BB2468D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20502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Walker et al. 2012, Travers and Potter 2002</w:t>
                            </w:r>
                          </w:p>
                        </w:tc>
                      </w:tr>
                      <w:tr w:rsidR="00C9162C" w14:paraId="15CCC196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7F180C0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Torquigener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whitleyi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6E5340C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2002, 2012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20A7238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Walker et al. 2012, Travers and Potter 2002</w:t>
                            </w:r>
                          </w:p>
                        </w:tc>
                      </w:tr>
                      <w:tr w:rsidR="00C9162C" w14:paraId="17101862" w14:textId="77777777" w:rsidTr="00205027">
                        <w:trPr>
                          <w:trHeight w:hRule="exact" w:val="198"/>
                        </w:trPr>
                        <w:tc>
                          <w:tcPr>
                            <w:tcW w:w="284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B2B590D" w14:textId="77777777" w:rsidR="00C9162C" w:rsidRPr="00205027" w:rsidRDefault="00C9162C" w:rsidP="0096392B">
                            <w:pPr>
                              <w:spacing w:after="1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Upeneus</w:t>
                            </w:r>
                            <w:proofErr w:type="spellEnd"/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tragula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9044573" w14:textId="77777777" w:rsidR="00C9162C" w:rsidRPr="00205027" w:rsidRDefault="00C9162C" w:rsidP="00667157">
                            <w:pPr>
                              <w:spacing w:after="160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2002, 2012</w:t>
                            </w:r>
                          </w:p>
                        </w:tc>
                        <w:tc>
                          <w:tcPr>
                            <w:tcW w:w="878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3E94530" w14:textId="77777777" w:rsidR="00C9162C" w:rsidRPr="00205027" w:rsidRDefault="00C9162C" w:rsidP="00FA23DC">
                            <w:pPr>
                              <w:spacing w:after="160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205027">
                              <w:rPr>
                                <w:color w:val="000000"/>
                                <w:sz w:val="18"/>
                                <w:szCs w:val="18"/>
                              </w:rPr>
                              <w:t>Walker et al. 2012, Travers and Potter 2002</w:t>
                            </w:r>
                          </w:p>
                        </w:tc>
                      </w:tr>
                    </w:tbl>
                    <w:p w14:paraId="5F842830" w14:textId="77777777" w:rsidR="00C9162C" w:rsidRDefault="00C9162C" w:rsidP="00C9162C">
                      <w:pPr>
                        <w:rPr>
                          <w:b/>
                        </w:rPr>
                      </w:pPr>
                    </w:p>
                    <w:p w14:paraId="6C06A94E" w14:textId="77777777" w:rsidR="00C9162C" w:rsidRDefault="00C9162C" w:rsidP="00C9162C"/>
                  </w:txbxContent>
                </v:textbox>
              </v:shape>
            </w:pict>
          </mc:Fallback>
        </mc:AlternateContent>
      </w:r>
    </w:p>
    <w:p w14:paraId="66F6F001" w14:textId="77777777" w:rsidR="00081DDB" w:rsidRDefault="00081DDB" w:rsidP="00071BA4">
      <w:bookmarkStart w:id="0" w:name="_GoBack"/>
      <w:bookmarkEnd w:id="0"/>
    </w:p>
    <w:sectPr w:rsidR="0008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E919B" w14:textId="77777777" w:rsidR="007B47F3" w:rsidRDefault="007B47F3">
      <w:pPr>
        <w:spacing w:after="0" w:line="240" w:lineRule="auto"/>
      </w:pPr>
      <w:r>
        <w:separator/>
      </w:r>
    </w:p>
  </w:endnote>
  <w:endnote w:type="continuationSeparator" w:id="0">
    <w:p w14:paraId="5B52FBD2" w14:textId="77777777" w:rsidR="007B47F3" w:rsidRDefault="007B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09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B2F82" w14:textId="77777777" w:rsidR="0084449C" w:rsidRDefault="00451B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A89C9" w14:textId="77777777" w:rsidR="0084449C" w:rsidRDefault="007B4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7C047" w14:textId="77777777" w:rsidR="007B47F3" w:rsidRDefault="007B47F3">
      <w:pPr>
        <w:spacing w:after="0" w:line="240" w:lineRule="auto"/>
      </w:pPr>
      <w:r>
        <w:separator/>
      </w:r>
    </w:p>
  </w:footnote>
  <w:footnote w:type="continuationSeparator" w:id="0">
    <w:p w14:paraId="1EFE3625" w14:textId="77777777" w:rsidR="007B47F3" w:rsidRDefault="007B4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2C"/>
    <w:rsid w:val="00071BA4"/>
    <w:rsid w:val="00081DDB"/>
    <w:rsid w:val="000B5404"/>
    <w:rsid w:val="00245097"/>
    <w:rsid w:val="003B596F"/>
    <w:rsid w:val="00451B28"/>
    <w:rsid w:val="0069490E"/>
    <w:rsid w:val="006B1D0B"/>
    <w:rsid w:val="0077671A"/>
    <w:rsid w:val="007B47F3"/>
    <w:rsid w:val="007D0666"/>
    <w:rsid w:val="008D2083"/>
    <w:rsid w:val="00903E04"/>
    <w:rsid w:val="00950998"/>
    <w:rsid w:val="009C1047"/>
    <w:rsid w:val="009D0122"/>
    <w:rsid w:val="00A12ACB"/>
    <w:rsid w:val="00B4147F"/>
    <w:rsid w:val="00C82718"/>
    <w:rsid w:val="00C9162C"/>
    <w:rsid w:val="00CB5C78"/>
    <w:rsid w:val="00F234EB"/>
    <w:rsid w:val="00FA3D4B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734C"/>
  <w15:chartTrackingRefBased/>
  <w15:docId w15:val="{F10D6BBF-0AE9-440D-B442-9A38551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2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2C"/>
    <w:pPr>
      <w:tabs>
        <w:tab w:val="center" w:pos="4513"/>
        <w:tab w:val="right" w:pos="9026"/>
      </w:tabs>
      <w:spacing w:after="0" w:line="240" w:lineRule="auto"/>
      <w:jc w:val="both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162C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C9162C"/>
  </w:style>
  <w:style w:type="paragraph" w:styleId="NoSpacing">
    <w:name w:val="No Spacing"/>
    <w:aliases w:val="C_Parrafo,Tesis Tito. Parrafo Normal. Gerogia 10"/>
    <w:link w:val="NoSpacingChar"/>
    <w:uiPriority w:val="1"/>
    <w:qFormat/>
    <w:rsid w:val="009C1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aliases w:val="C_Parrafo Char,Tesis Tito. Parrafo Normal. Gerogia 10 Char"/>
    <w:basedOn w:val="DefaultParagraphFont"/>
    <w:link w:val="NoSpacing"/>
    <w:uiPriority w:val="1"/>
    <w:rsid w:val="009C104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Sahira Bell</dc:creator>
  <cp:keywords/>
  <dc:description/>
  <cp:lastModifiedBy>Sahira Bell</cp:lastModifiedBy>
  <cp:revision>9</cp:revision>
  <dcterms:created xsi:type="dcterms:W3CDTF">2018-01-18T00:54:00Z</dcterms:created>
  <dcterms:modified xsi:type="dcterms:W3CDTF">2019-03-14T02:55:00Z</dcterms:modified>
</cp:coreProperties>
</file>