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096C3" w14:textId="77777777" w:rsidR="007B3682" w:rsidRDefault="007B3682">
      <w:bookmarkStart w:id="0" w:name="_Hlk535428866"/>
      <w:bookmarkEnd w:id="0"/>
    </w:p>
    <w:p w14:paraId="4784A3DC" w14:textId="77777777" w:rsidR="002A4945" w:rsidRPr="00970B7F" w:rsidRDefault="002A4945" w:rsidP="002A494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0B7F">
        <w:rPr>
          <w:rFonts w:ascii="Times New Roman" w:hAnsi="Times New Roman" w:cs="Times New Roman"/>
          <w:b/>
          <w:sz w:val="24"/>
          <w:szCs w:val="24"/>
          <w:lang w:val="en-US"/>
        </w:rPr>
        <w:t>SUPPLEMENTARY MATERIALS</w:t>
      </w:r>
    </w:p>
    <w:p w14:paraId="468F13C6" w14:textId="77777777" w:rsidR="002A4945" w:rsidRDefault="002A4945" w:rsidP="002A4945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79F67F7F" w14:textId="77777777" w:rsidR="002A4945" w:rsidRPr="00970B7F" w:rsidRDefault="002A4945" w:rsidP="002A4945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1. LC-MS/</w:t>
      </w:r>
      <w:r w:rsidRPr="00970B7F">
        <w:rPr>
          <w:rFonts w:ascii="Times New Roman" w:hAnsi="Times New Roman" w:cs="Times New Roman"/>
          <w:i/>
          <w:sz w:val="24"/>
          <w:szCs w:val="24"/>
          <w:lang w:val="en-US"/>
        </w:rPr>
        <w:t>MS conditions for myriocin analysis:</w:t>
      </w:r>
    </w:p>
    <w:p w14:paraId="008632E9" w14:textId="77777777" w:rsidR="002A4945" w:rsidRPr="00970B7F" w:rsidRDefault="002A4945" w:rsidP="002A49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The analytical system consisted of </w:t>
      </w:r>
      <w:r w:rsidRPr="00860035">
        <w:rPr>
          <w:rFonts w:ascii="Times New Roman" w:hAnsi="Times New Roman" w:cs="Times New Roman"/>
          <w:noProof/>
          <w:sz w:val="24"/>
          <w:szCs w:val="24"/>
          <w:lang w:val="en-US"/>
        </w:rPr>
        <w:t>a HPLC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coupled to a tandem mass spectrometer. The liquid </w:t>
      </w:r>
      <w:r w:rsidRPr="00860035">
        <w:rPr>
          <w:rFonts w:ascii="Times New Roman" w:hAnsi="Times New Roman" w:cs="Times New Roman"/>
          <w:noProof/>
          <w:sz w:val="24"/>
          <w:szCs w:val="24"/>
          <w:lang w:val="en-US"/>
        </w:rPr>
        <w:t>chromatograph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system was a Dionex 3000 UltiMate instrument with autosampler, </w:t>
      </w:r>
      <w:r w:rsidRPr="00860035">
        <w:rPr>
          <w:rFonts w:ascii="Times New Roman" w:hAnsi="Times New Roman" w:cs="Times New Roman"/>
          <w:noProof/>
          <w:sz w:val="24"/>
          <w:szCs w:val="24"/>
          <w:lang w:val="en-US"/>
        </w:rPr>
        <w:t>binary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pump and </w:t>
      </w:r>
      <w:r w:rsidRPr="00860035">
        <w:rPr>
          <w:rFonts w:ascii="Times New Roman" w:hAnsi="Times New Roman" w:cs="Times New Roman"/>
          <w:noProof/>
          <w:sz w:val="24"/>
          <w:szCs w:val="24"/>
          <w:lang w:val="en-US"/>
        </w:rPr>
        <w:t>column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oven (Thermo Fisher Scientific, USA). Separation was carried out on a reversed-phase Inertsil ODS3 column, 150 × 3.0 mm, </w:t>
      </w:r>
      <w:r w:rsidRPr="00860035">
        <w:rPr>
          <w:rFonts w:ascii="Times New Roman" w:hAnsi="Times New Roman" w:cs="Times New Roman"/>
          <w:noProof/>
          <w:sz w:val="24"/>
          <w:szCs w:val="24"/>
          <w:lang w:val="en-US"/>
        </w:rPr>
        <w:t>3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μm particle size (GL Sciences</w:t>
      </w:r>
      <w:r w:rsidRPr="00860035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37765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Toky</w:t>
      </w:r>
      <w:r w:rsidRPr="00860035">
        <w:rPr>
          <w:rFonts w:ascii="Times New Roman" w:hAnsi="Times New Roman" w:cs="Times New Roman"/>
          <w:noProof/>
          <w:sz w:val="24"/>
          <w:szCs w:val="24"/>
          <w:lang w:val="en-US"/>
        </w:rPr>
        <w:t>o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, Japan) analytical column. </w:t>
      </w:r>
      <w:r w:rsidRPr="00860035">
        <w:rPr>
          <w:rFonts w:ascii="Times New Roman" w:hAnsi="Times New Roman" w:cs="Times New Roman"/>
          <w:noProof/>
          <w:sz w:val="24"/>
          <w:szCs w:val="24"/>
          <w:lang w:val="en-US"/>
        </w:rPr>
        <w:t>The analytical column was preceded by a security guard cartridge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. We applied a linear gradient by mixing eluent A (water + 0.1% formic acid) and eluent B (acetonitrile). The column </w:t>
      </w:r>
      <w:r w:rsidRPr="00860035">
        <w:rPr>
          <w:rFonts w:ascii="Times New Roman" w:hAnsi="Times New Roman" w:cs="Times New Roman"/>
          <w:noProof/>
          <w:sz w:val="24"/>
          <w:szCs w:val="24"/>
          <w:lang w:val="en-US"/>
        </w:rPr>
        <w:t>was equilibrated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with 50% of B, and B </w:t>
      </w:r>
      <w:r w:rsidRPr="00860035">
        <w:rPr>
          <w:rFonts w:ascii="Times New Roman" w:hAnsi="Times New Roman" w:cs="Times New Roman"/>
          <w:noProof/>
          <w:sz w:val="24"/>
          <w:szCs w:val="24"/>
          <w:lang w:val="en-US"/>
        </w:rPr>
        <w:t>was increased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to 100% in 5 min. This condition </w:t>
      </w:r>
      <w:r w:rsidRPr="00860035">
        <w:rPr>
          <w:rFonts w:ascii="Times New Roman" w:hAnsi="Times New Roman" w:cs="Times New Roman"/>
          <w:noProof/>
          <w:sz w:val="24"/>
          <w:szCs w:val="24"/>
          <w:lang w:val="en-US"/>
        </w:rPr>
        <w:t>was held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for 0.5 min</w:t>
      </w:r>
      <w:r w:rsidRPr="00860035">
        <w:rPr>
          <w:rFonts w:ascii="Times New Roman" w:hAnsi="Times New Roman" w:cs="Times New Roman"/>
          <w:noProof/>
          <w:sz w:val="24"/>
          <w:szCs w:val="24"/>
          <w:lang w:val="en-US"/>
        </w:rPr>
        <w:t>, therefore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the initial condition (50% of B) was reached in 0.5 min and kept for 2 min. The flow rate was 0.4 mL/min, the autosampler and the column oven </w:t>
      </w:r>
      <w:r w:rsidRPr="00860035">
        <w:rPr>
          <w:rFonts w:ascii="Times New Roman" w:hAnsi="Times New Roman" w:cs="Times New Roman"/>
          <w:noProof/>
          <w:sz w:val="24"/>
          <w:szCs w:val="24"/>
          <w:lang w:val="en-US"/>
        </w:rPr>
        <w:t>were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kept at 15°C and 45°C, respectively. Retention times of myriocin and IS were 3.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and 3.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>, respectively.</w:t>
      </w:r>
    </w:p>
    <w:p w14:paraId="375BCD37" w14:textId="77777777" w:rsidR="002A4945" w:rsidRPr="00970B7F" w:rsidRDefault="002A4945" w:rsidP="002A49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The tandem mass spectrometer was an AB Sciex 3200 QTRAP instrument with electrospray </w:t>
      </w:r>
      <w:r w:rsidRPr="00860035">
        <w:rPr>
          <w:rFonts w:ascii="Times New Roman" w:hAnsi="Times New Roman" w:cs="Times New Roman"/>
          <w:noProof/>
          <w:sz w:val="24"/>
          <w:szCs w:val="24"/>
          <w:lang w:val="en-US"/>
        </w:rPr>
        <w:t>ionization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TurboIonSpray™</w:t>
      </w:r>
      <w:r w:rsidR="00377657">
        <w:rPr>
          <w:rFonts w:ascii="Times New Roman" w:hAnsi="Times New Roman" w:cs="Times New Roman"/>
          <w:sz w:val="24"/>
          <w:szCs w:val="24"/>
          <w:lang w:val="en-US"/>
        </w:rPr>
        <w:t xml:space="preserve"> source (AB Sciex, Milan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, Italy). Instruments were managed with the proprietary manufacturer's software and according to the manufacturer's instructions. The analytical data were processed using Analyst software (version 1.2). The ion spray voltage </w:t>
      </w:r>
      <w:r w:rsidRPr="00860035">
        <w:rPr>
          <w:rFonts w:ascii="Times New Roman" w:hAnsi="Times New Roman" w:cs="Times New Roman"/>
          <w:noProof/>
          <w:sz w:val="24"/>
          <w:szCs w:val="24"/>
          <w:lang w:val="en-US"/>
        </w:rPr>
        <w:t>was set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at 3.5 kV </w:t>
      </w:r>
      <w:r w:rsidRPr="00860035">
        <w:rPr>
          <w:rFonts w:ascii="Times New Roman" w:hAnsi="Times New Roman" w:cs="Times New Roman"/>
          <w:noProof/>
          <w:sz w:val="24"/>
          <w:szCs w:val="24"/>
          <w:lang w:val="en-US"/>
        </w:rPr>
        <w:t>and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the source temperature </w:t>
      </w:r>
      <w:r w:rsidRPr="00860035">
        <w:rPr>
          <w:rFonts w:ascii="Times New Roman" w:hAnsi="Times New Roman" w:cs="Times New Roman"/>
          <w:noProof/>
          <w:sz w:val="24"/>
          <w:szCs w:val="24"/>
          <w:lang w:val="en-US"/>
        </w:rPr>
        <w:t>was set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at 600 °C. Nitrogen </w:t>
      </w:r>
      <w:r w:rsidRPr="00860035">
        <w:rPr>
          <w:rFonts w:ascii="Times New Roman" w:hAnsi="Times New Roman" w:cs="Times New Roman"/>
          <w:noProof/>
          <w:sz w:val="24"/>
          <w:szCs w:val="24"/>
          <w:lang w:val="en-US"/>
        </w:rPr>
        <w:t>was used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as a </w:t>
      </w:r>
      <w:r w:rsidRPr="00860035">
        <w:rPr>
          <w:rFonts w:ascii="Times New Roman" w:hAnsi="Times New Roman" w:cs="Times New Roman"/>
          <w:noProof/>
          <w:sz w:val="24"/>
          <w:szCs w:val="24"/>
          <w:lang w:val="en-US"/>
        </w:rPr>
        <w:t>nebulizing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gas (GS 1, 45 psi), turbo spray gas (GS 2, 55 psi) and curtain gas (30 psi). The collision-activated dissociation (CAD) </w:t>
      </w:r>
      <w:r w:rsidRPr="00860035">
        <w:rPr>
          <w:rFonts w:ascii="Times New Roman" w:hAnsi="Times New Roman" w:cs="Times New Roman"/>
          <w:noProof/>
          <w:sz w:val="24"/>
          <w:szCs w:val="24"/>
          <w:lang w:val="en-US"/>
        </w:rPr>
        <w:t>was set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to a medium level. The dwell time </w:t>
      </w:r>
      <w:r w:rsidRPr="00860035">
        <w:rPr>
          <w:rFonts w:ascii="Times New Roman" w:hAnsi="Times New Roman" w:cs="Times New Roman"/>
          <w:noProof/>
          <w:sz w:val="24"/>
          <w:szCs w:val="24"/>
          <w:lang w:val="en-US"/>
        </w:rPr>
        <w:t>was set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at 0.1 s, and the MS scan </w:t>
      </w:r>
      <w:r w:rsidRPr="00860035">
        <w:rPr>
          <w:rFonts w:ascii="Times New Roman" w:hAnsi="Times New Roman" w:cs="Times New Roman"/>
          <w:noProof/>
          <w:sz w:val="24"/>
          <w:szCs w:val="24"/>
          <w:lang w:val="en-US"/>
        </w:rPr>
        <w:t>was performed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in negative ion modes (ESI-). MS/MS experiment</w:t>
      </w:r>
      <w:r w:rsidR="003776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0035">
        <w:rPr>
          <w:rFonts w:ascii="Times New Roman" w:hAnsi="Times New Roman" w:cs="Times New Roman"/>
          <w:noProof/>
          <w:sz w:val="24"/>
          <w:szCs w:val="24"/>
          <w:lang w:val="en-US"/>
        </w:rPr>
        <w:t>were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carried out using nitrogen as </w:t>
      </w:r>
      <w:r w:rsidRPr="00860035">
        <w:rPr>
          <w:rFonts w:ascii="Times New Roman" w:hAnsi="Times New Roman" w:cs="Times New Roman"/>
          <w:noProof/>
          <w:sz w:val="24"/>
          <w:szCs w:val="24"/>
          <w:lang w:val="en-US"/>
        </w:rPr>
        <w:t>collision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gas. Compound-dependent parameters </w:t>
      </w:r>
      <w:r w:rsidRPr="00860035">
        <w:rPr>
          <w:rFonts w:ascii="Times New Roman" w:hAnsi="Times New Roman" w:cs="Times New Roman"/>
          <w:noProof/>
          <w:sz w:val="24"/>
          <w:szCs w:val="24"/>
          <w:lang w:val="en-US"/>
        </w:rPr>
        <w:t>were optimized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0B7F">
        <w:rPr>
          <w:rFonts w:ascii="Times New Roman" w:hAnsi="Times New Roman" w:cs="Times New Roman"/>
          <w:i/>
          <w:sz w:val="24"/>
          <w:szCs w:val="24"/>
          <w:lang w:val="en-US"/>
        </w:rPr>
        <w:t>via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direct infusion. Multiple reaction monitoring (MRM) mode </w:t>
      </w:r>
      <w:r w:rsidRPr="00860035">
        <w:rPr>
          <w:rFonts w:ascii="Times New Roman" w:hAnsi="Times New Roman" w:cs="Times New Roman"/>
          <w:noProof/>
          <w:sz w:val="24"/>
          <w:szCs w:val="24"/>
          <w:lang w:val="en-US"/>
        </w:rPr>
        <w:t>was used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. Quantitative analysis </w:t>
      </w:r>
      <w:r w:rsidRPr="00860035">
        <w:rPr>
          <w:rFonts w:ascii="Times New Roman" w:hAnsi="Times New Roman" w:cs="Times New Roman"/>
          <w:noProof/>
          <w:sz w:val="24"/>
          <w:szCs w:val="24"/>
          <w:lang w:val="en-US"/>
        </w:rPr>
        <w:t>was performed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interpolating </w:t>
      </w:r>
      <w:r w:rsidR="00377657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area ratio (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>peak area of quantifier ion of myriocin/area IS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with calibration curve.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When necessary, quantification based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on absolute myriocin area was performed in order to avoid possible metabolite interferences. Linearity was confirmed also using the quantification procedure based on absolute area.</w:t>
      </w:r>
    </w:p>
    <w:p w14:paraId="57DC9624" w14:textId="77777777" w:rsidR="002A4945" w:rsidRPr="00970B7F" w:rsidRDefault="002A4945" w:rsidP="002A49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EA7">
        <w:rPr>
          <w:rFonts w:ascii="Times New Roman" w:hAnsi="Times New Roman" w:cs="Times New Roman"/>
          <w:b/>
          <w:sz w:val="24"/>
          <w:szCs w:val="24"/>
          <w:lang w:val="en-US"/>
        </w:rPr>
        <w:t>Table S1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MS conditions for each analyte, in bold transition used for quantification</w:t>
      </w:r>
    </w:p>
    <w:tbl>
      <w:tblPr>
        <w:tblStyle w:val="Grigliatabellachiar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2320"/>
        <w:gridCol w:w="1444"/>
        <w:gridCol w:w="1883"/>
        <w:gridCol w:w="1881"/>
      </w:tblGrid>
      <w:tr w:rsidR="002A4945" w:rsidRPr="00AA5EA7" w14:paraId="73011467" w14:textId="77777777" w:rsidTr="000816DF"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78BC3E" w14:textId="77777777" w:rsidR="002A4945" w:rsidRPr="001D16F2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D16F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Analytes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DA7634" w14:textId="77777777" w:rsidR="002A4945" w:rsidRPr="001D16F2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D16F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Transition 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F5A75E" w14:textId="77777777" w:rsidR="002A4945" w:rsidRPr="001D16F2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D16F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DP (eV)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22B25E" w14:textId="77777777" w:rsidR="002A4945" w:rsidRPr="001D16F2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D16F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EP (V)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A21853B" w14:textId="77777777" w:rsidR="002A4945" w:rsidRPr="001D16F2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D16F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CE (V)</w:t>
            </w:r>
          </w:p>
        </w:tc>
      </w:tr>
      <w:tr w:rsidR="002A4945" w:rsidRPr="00AA5EA7" w14:paraId="57C7E0BC" w14:textId="77777777" w:rsidTr="000816DF">
        <w:tc>
          <w:tcPr>
            <w:tcW w:w="1178" w:type="pct"/>
            <w:tcBorders>
              <w:top w:val="single" w:sz="4" w:space="0" w:color="auto"/>
            </w:tcBorders>
          </w:tcPr>
          <w:p w14:paraId="0B78A9E2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Myriocin</w:t>
            </w:r>
          </w:p>
        </w:tc>
        <w:tc>
          <w:tcPr>
            <w:tcW w:w="1178" w:type="pct"/>
            <w:tcBorders>
              <w:top w:val="single" w:sz="4" w:space="0" w:color="auto"/>
            </w:tcBorders>
          </w:tcPr>
          <w:p w14:paraId="2F19FD52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400.3&gt;104.0</w:t>
            </w:r>
          </w:p>
        </w:tc>
        <w:tc>
          <w:tcPr>
            <w:tcW w:w="733" w:type="pct"/>
            <w:tcBorders>
              <w:top w:val="single" w:sz="4" w:space="0" w:color="auto"/>
            </w:tcBorders>
          </w:tcPr>
          <w:p w14:paraId="131811CD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-50</w:t>
            </w:r>
          </w:p>
        </w:tc>
        <w:tc>
          <w:tcPr>
            <w:tcW w:w="956" w:type="pct"/>
            <w:tcBorders>
              <w:top w:val="single" w:sz="4" w:space="0" w:color="auto"/>
            </w:tcBorders>
          </w:tcPr>
          <w:p w14:paraId="1D6FA53D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-5</w:t>
            </w:r>
          </w:p>
        </w:tc>
        <w:tc>
          <w:tcPr>
            <w:tcW w:w="955" w:type="pct"/>
            <w:tcBorders>
              <w:top w:val="single" w:sz="4" w:space="0" w:color="auto"/>
            </w:tcBorders>
          </w:tcPr>
          <w:p w14:paraId="5F22DEBD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-28</w:t>
            </w:r>
          </w:p>
        </w:tc>
      </w:tr>
      <w:tr w:rsidR="002A4945" w:rsidRPr="00AA5EA7" w14:paraId="4F453418" w14:textId="77777777" w:rsidTr="000816DF">
        <w:tc>
          <w:tcPr>
            <w:tcW w:w="1178" w:type="pct"/>
          </w:tcPr>
          <w:p w14:paraId="2A05719A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8" w:type="pct"/>
          </w:tcPr>
          <w:p w14:paraId="2DE3EA9A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400.3&gt;334.3</w:t>
            </w:r>
          </w:p>
        </w:tc>
        <w:tc>
          <w:tcPr>
            <w:tcW w:w="733" w:type="pct"/>
          </w:tcPr>
          <w:p w14:paraId="1BABDEA1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-50</w:t>
            </w:r>
          </w:p>
        </w:tc>
        <w:tc>
          <w:tcPr>
            <w:tcW w:w="956" w:type="pct"/>
          </w:tcPr>
          <w:p w14:paraId="2B88814F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-5</w:t>
            </w:r>
          </w:p>
        </w:tc>
        <w:tc>
          <w:tcPr>
            <w:tcW w:w="955" w:type="pct"/>
          </w:tcPr>
          <w:p w14:paraId="2ED57DBB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-24</w:t>
            </w:r>
          </w:p>
        </w:tc>
      </w:tr>
      <w:tr w:rsidR="002A4945" w:rsidRPr="00970B7F" w14:paraId="1936D8F4" w14:textId="77777777" w:rsidTr="000816DF">
        <w:tc>
          <w:tcPr>
            <w:tcW w:w="1178" w:type="pct"/>
          </w:tcPr>
          <w:p w14:paraId="2CEC494C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14-OH Myriocin (IS)</w:t>
            </w:r>
          </w:p>
        </w:tc>
        <w:tc>
          <w:tcPr>
            <w:tcW w:w="1178" w:type="pct"/>
          </w:tcPr>
          <w:p w14:paraId="7FC4B482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402.3&gt;104.0</w:t>
            </w:r>
          </w:p>
        </w:tc>
        <w:tc>
          <w:tcPr>
            <w:tcW w:w="733" w:type="pct"/>
          </w:tcPr>
          <w:p w14:paraId="384DDF81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-45</w:t>
            </w:r>
          </w:p>
        </w:tc>
        <w:tc>
          <w:tcPr>
            <w:tcW w:w="956" w:type="pct"/>
          </w:tcPr>
          <w:p w14:paraId="1E843081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-5</w:t>
            </w:r>
          </w:p>
        </w:tc>
        <w:tc>
          <w:tcPr>
            <w:tcW w:w="955" w:type="pct"/>
          </w:tcPr>
          <w:p w14:paraId="50459A22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-24</w:t>
            </w:r>
          </w:p>
        </w:tc>
      </w:tr>
      <w:tr w:rsidR="002A4945" w:rsidRPr="00970B7F" w14:paraId="36E389DD" w14:textId="77777777" w:rsidTr="000816DF">
        <w:tc>
          <w:tcPr>
            <w:tcW w:w="1178" w:type="pct"/>
          </w:tcPr>
          <w:p w14:paraId="682DD0DF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8" w:type="pct"/>
          </w:tcPr>
          <w:p w14:paraId="40B2D8BF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404.3&gt;336.0</w:t>
            </w:r>
          </w:p>
        </w:tc>
        <w:tc>
          <w:tcPr>
            <w:tcW w:w="733" w:type="pct"/>
          </w:tcPr>
          <w:p w14:paraId="2831FA25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-45</w:t>
            </w:r>
          </w:p>
        </w:tc>
        <w:tc>
          <w:tcPr>
            <w:tcW w:w="956" w:type="pct"/>
          </w:tcPr>
          <w:p w14:paraId="2056205B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-5</w:t>
            </w:r>
          </w:p>
        </w:tc>
        <w:tc>
          <w:tcPr>
            <w:tcW w:w="955" w:type="pct"/>
          </w:tcPr>
          <w:p w14:paraId="2323FE67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-24</w:t>
            </w:r>
          </w:p>
        </w:tc>
      </w:tr>
    </w:tbl>
    <w:p w14:paraId="522CB1F6" w14:textId="77777777" w:rsidR="002A4945" w:rsidRPr="00970B7F" w:rsidRDefault="002A4945" w:rsidP="002A4945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17B3F992" w14:textId="77777777" w:rsidR="002A4945" w:rsidRPr="00970B7F" w:rsidRDefault="002A4945" w:rsidP="002A4945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2. LC-MS/</w:t>
      </w:r>
      <w:r w:rsidRPr="00970B7F">
        <w:rPr>
          <w:rFonts w:ascii="Times New Roman" w:hAnsi="Times New Roman" w:cs="Times New Roman"/>
          <w:i/>
          <w:sz w:val="24"/>
          <w:szCs w:val="24"/>
          <w:lang w:val="en-US"/>
        </w:rPr>
        <w:t>MS conditions for sphingolipids analysis:</w:t>
      </w:r>
    </w:p>
    <w:p w14:paraId="6E7A094A" w14:textId="77777777" w:rsidR="002A4945" w:rsidRPr="00970B7F" w:rsidRDefault="002A4945" w:rsidP="002A49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The analytical system consisted of </w:t>
      </w:r>
      <w:r w:rsidRPr="003B3AEC">
        <w:rPr>
          <w:rFonts w:ascii="Times New Roman" w:hAnsi="Times New Roman" w:cs="Times New Roman"/>
          <w:noProof/>
          <w:sz w:val="24"/>
          <w:szCs w:val="24"/>
          <w:lang w:val="en-US"/>
        </w:rPr>
        <w:t>a HPLC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coupled to a tandem mass spectrometer. The liquid </w:t>
      </w:r>
      <w:r w:rsidRPr="003B3AEC">
        <w:rPr>
          <w:rFonts w:ascii="Times New Roman" w:hAnsi="Times New Roman" w:cs="Times New Roman"/>
          <w:noProof/>
          <w:sz w:val="24"/>
          <w:szCs w:val="24"/>
          <w:lang w:val="en-US"/>
        </w:rPr>
        <w:t>chromatograph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system was a Dionex 3000 UltiMate instrument with autosampler, </w:t>
      </w:r>
      <w:r w:rsidRPr="003B3AEC">
        <w:rPr>
          <w:rFonts w:ascii="Times New Roman" w:hAnsi="Times New Roman" w:cs="Times New Roman"/>
          <w:noProof/>
          <w:sz w:val="24"/>
          <w:szCs w:val="24"/>
          <w:lang w:val="en-US"/>
        </w:rPr>
        <w:t>binary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pump and </w:t>
      </w:r>
      <w:r w:rsidRPr="003B3AEC">
        <w:rPr>
          <w:rFonts w:ascii="Times New Roman" w:hAnsi="Times New Roman" w:cs="Times New Roman"/>
          <w:noProof/>
          <w:sz w:val="24"/>
          <w:szCs w:val="24"/>
          <w:lang w:val="en-US"/>
        </w:rPr>
        <w:t>column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oven (Thermo Fisher Scientific, USA). Separation </w:t>
      </w:r>
      <w:r w:rsidRPr="003B3AEC">
        <w:rPr>
          <w:rFonts w:ascii="Times New Roman" w:hAnsi="Times New Roman" w:cs="Times New Roman"/>
          <w:noProof/>
          <w:sz w:val="24"/>
          <w:szCs w:val="24"/>
          <w:lang w:val="en-US"/>
        </w:rPr>
        <w:t>was attained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on a reversed-phase BEH C-18 10 x2.1 x1.7 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sym w:font="Symbol" w:char="F06D"/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m analytical column preceded by a security guard cartridge. Linear gradient was obtained by mixing eluent A (water + 2 mM ammonium formate + 0.2% formic acid) and eluent B (methanol + 1 mM ammonium formate + 0.2% formic acid). The column </w:t>
      </w:r>
      <w:r w:rsidRPr="003B3AEC">
        <w:rPr>
          <w:rFonts w:ascii="Times New Roman" w:hAnsi="Times New Roman" w:cs="Times New Roman"/>
          <w:noProof/>
          <w:sz w:val="24"/>
          <w:szCs w:val="24"/>
          <w:lang w:val="en-US"/>
        </w:rPr>
        <w:t>was equilibrated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with 80% of B</w:t>
      </w:r>
      <w:r w:rsidRPr="003B3AEC">
        <w:rPr>
          <w:rFonts w:ascii="Times New Roman" w:hAnsi="Times New Roman" w:cs="Times New Roman"/>
          <w:noProof/>
          <w:sz w:val="24"/>
          <w:szCs w:val="24"/>
          <w:lang w:val="en-US"/>
        </w:rPr>
        <w:t>, therefore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B was increased to 90% in 3 min, held for 3 min, increased to 99% (B) in 9 min, held for 3 min. After that, the initial condition (80% of B) was obtained in 2 min and kept for 2 min. The flow rate was 0.3 mL/min, the autosampler and the column oven </w:t>
      </w:r>
      <w:r w:rsidRPr="003B3AEC">
        <w:rPr>
          <w:rFonts w:ascii="Times New Roman" w:hAnsi="Times New Roman" w:cs="Times New Roman"/>
          <w:noProof/>
          <w:sz w:val="24"/>
          <w:szCs w:val="24"/>
          <w:lang w:val="en-US"/>
        </w:rPr>
        <w:t>were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kept at 15°C and 30°C, respectively. </w:t>
      </w:r>
    </w:p>
    <w:p w14:paraId="5AC33F03" w14:textId="77777777" w:rsidR="002A4945" w:rsidRPr="00970B7F" w:rsidRDefault="002A4945" w:rsidP="002A49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The tandem mass spectrometer was an AB Sciex 3200 QTRAP instrument with electrospray </w:t>
      </w:r>
      <w:r w:rsidRPr="003B3AEC">
        <w:rPr>
          <w:rFonts w:ascii="Times New Roman" w:hAnsi="Times New Roman" w:cs="Times New Roman"/>
          <w:noProof/>
          <w:sz w:val="24"/>
          <w:szCs w:val="24"/>
          <w:lang w:val="en-US"/>
        </w:rPr>
        <w:t>ionization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TurboI</w:t>
      </w:r>
      <w:r w:rsidR="00377657">
        <w:rPr>
          <w:rFonts w:ascii="Times New Roman" w:hAnsi="Times New Roman" w:cs="Times New Roman"/>
          <w:sz w:val="24"/>
          <w:szCs w:val="24"/>
          <w:lang w:val="en-US"/>
        </w:rPr>
        <w:t>onSpray™ source (AB Sciex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, Milano, Italy). Instruments were managed with the proprietary manufacturer's software and according to the manufacturer's instructions. The analytical data were processed using Analyst software (version 1.2). The ion spray voltage </w:t>
      </w:r>
      <w:r w:rsidRPr="003B3AEC">
        <w:rPr>
          <w:rFonts w:ascii="Times New Roman" w:hAnsi="Times New Roman" w:cs="Times New Roman"/>
          <w:noProof/>
          <w:sz w:val="24"/>
          <w:szCs w:val="24"/>
          <w:lang w:val="en-US"/>
        </w:rPr>
        <w:t>was set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at 5.5 kV and the source temperature was set at 300 °C. Nitrogen was used as a nebulizing gas (GS 1, 45 psi), turbo spray gas (GS 2, 50 psi) and curtain gas (25 psi). The collision-activated dissociation (CAD) was set to a low level. The dwell time was set at 0.1 s, and the MS scan was performed in positive 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lastRenderedPageBreak/>
        <w:t>ion modes (ESI+). MS/MS experiment</w:t>
      </w:r>
      <w:r w:rsidR="003776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were conducted using nitrogen as </w:t>
      </w:r>
      <w:r w:rsidRPr="003B3AEC">
        <w:rPr>
          <w:rFonts w:ascii="Times New Roman" w:hAnsi="Times New Roman" w:cs="Times New Roman"/>
          <w:noProof/>
          <w:sz w:val="24"/>
          <w:szCs w:val="24"/>
          <w:lang w:val="en-US"/>
        </w:rPr>
        <w:t>collision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gas. Compound-dependent parameters </w:t>
      </w:r>
      <w:r w:rsidRPr="003B3AEC">
        <w:rPr>
          <w:rFonts w:ascii="Times New Roman" w:hAnsi="Times New Roman" w:cs="Times New Roman"/>
          <w:noProof/>
          <w:sz w:val="24"/>
          <w:szCs w:val="24"/>
          <w:lang w:val="en-US"/>
        </w:rPr>
        <w:t>were optimized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0B7F">
        <w:rPr>
          <w:rFonts w:ascii="Times New Roman" w:hAnsi="Times New Roman" w:cs="Times New Roman"/>
          <w:i/>
          <w:sz w:val="24"/>
          <w:szCs w:val="24"/>
          <w:lang w:val="en-US"/>
        </w:rPr>
        <w:t>via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direct infusion. Multiple reaction monitoring (MRM) mode </w:t>
      </w:r>
      <w:r w:rsidRPr="003B3AEC">
        <w:rPr>
          <w:rFonts w:ascii="Times New Roman" w:hAnsi="Times New Roman" w:cs="Times New Roman"/>
          <w:noProof/>
          <w:sz w:val="24"/>
          <w:szCs w:val="24"/>
          <w:lang w:val="en-US"/>
        </w:rPr>
        <w:t>was used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. Quantitative analysis </w:t>
      </w:r>
      <w:r w:rsidRPr="003B3AEC">
        <w:rPr>
          <w:rFonts w:ascii="Times New Roman" w:hAnsi="Times New Roman" w:cs="Times New Roman"/>
          <w:noProof/>
          <w:sz w:val="24"/>
          <w:szCs w:val="24"/>
          <w:lang w:val="en-US"/>
        </w:rPr>
        <w:t>was performed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interpolating each peak area of analyte/area IS with </w:t>
      </w:r>
      <w:r w:rsidRPr="003B3AEC">
        <w:rPr>
          <w:rFonts w:ascii="Times New Roman" w:hAnsi="Times New Roman" w:cs="Times New Roman"/>
          <w:noProof/>
          <w:sz w:val="24"/>
          <w:szCs w:val="24"/>
          <w:lang w:val="en-US"/>
        </w:rPr>
        <w:t>calibration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curve of each </w:t>
      </w:r>
      <w:r w:rsidRPr="003B3AEC">
        <w:rPr>
          <w:rFonts w:ascii="Times New Roman" w:hAnsi="Times New Roman" w:cs="Times New Roman"/>
          <w:noProof/>
          <w:sz w:val="24"/>
          <w:szCs w:val="24"/>
          <w:lang w:val="en-US"/>
        </w:rPr>
        <w:t>sphingolipids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. The sphingolipids amount </w:t>
      </w:r>
      <w:r w:rsidRPr="003B3AEC">
        <w:rPr>
          <w:rFonts w:ascii="Times New Roman" w:hAnsi="Times New Roman" w:cs="Times New Roman"/>
          <w:noProof/>
          <w:sz w:val="24"/>
          <w:szCs w:val="24"/>
          <w:lang w:val="en-US"/>
        </w:rPr>
        <w:t>was normalized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by total protein content, expressed in milligram, in each </w:t>
      </w:r>
      <w:r w:rsidRPr="003B3AEC">
        <w:rPr>
          <w:rFonts w:ascii="Times New Roman" w:hAnsi="Times New Roman" w:cs="Times New Roman"/>
          <w:noProof/>
          <w:sz w:val="24"/>
          <w:szCs w:val="24"/>
          <w:lang w:val="en-US"/>
        </w:rPr>
        <w:t>samples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F553BEC" w14:textId="77777777" w:rsidR="002A4945" w:rsidRPr="00970B7F" w:rsidRDefault="002A4945" w:rsidP="002A49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B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970B7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70B7F">
        <w:rPr>
          <w:rFonts w:ascii="Times New Roman" w:hAnsi="Times New Roman" w:cs="Times New Roman"/>
          <w:sz w:val="24"/>
          <w:szCs w:val="24"/>
          <w:lang w:val="en-US"/>
        </w:rPr>
        <w:t xml:space="preserve"> MS conditions and retention times for each </w:t>
      </w:r>
      <w:r w:rsidRPr="003B3AEC">
        <w:rPr>
          <w:rFonts w:ascii="Times New Roman" w:hAnsi="Times New Roman" w:cs="Times New Roman"/>
          <w:noProof/>
          <w:sz w:val="24"/>
          <w:szCs w:val="24"/>
          <w:lang w:val="en-US"/>
        </w:rPr>
        <w:t>sphingolipids</w:t>
      </w:r>
    </w:p>
    <w:tbl>
      <w:tblPr>
        <w:tblStyle w:val="Grigliatabellachiar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2320"/>
        <w:gridCol w:w="1444"/>
        <w:gridCol w:w="1883"/>
        <w:gridCol w:w="1881"/>
      </w:tblGrid>
      <w:tr w:rsidR="002A4945" w:rsidRPr="00AA5EA7" w14:paraId="5DB42F33" w14:textId="77777777" w:rsidTr="000816DF"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E87A71" w14:textId="77777777" w:rsidR="002A4945" w:rsidRPr="001D16F2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D16F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Analytes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AE1340" w14:textId="77777777" w:rsidR="002A4945" w:rsidRPr="001D16F2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D16F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Transition 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253BB0" w14:textId="77777777" w:rsidR="002A4945" w:rsidRPr="001D16F2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D16F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1D16F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  <w:lang w:val="en-US"/>
              </w:rPr>
              <w:t>T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6FCD0A" w14:textId="77777777" w:rsidR="002A4945" w:rsidRPr="001D16F2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D16F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DP (eV)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19ED5F" w14:textId="77777777" w:rsidR="002A4945" w:rsidRPr="001D16F2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D16F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CE (V)</w:t>
            </w:r>
          </w:p>
        </w:tc>
      </w:tr>
      <w:tr w:rsidR="002A4945" w:rsidRPr="00AA5EA7" w14:paraId="147D47BB" w14:textId="77777777" w:rsidTr="000816DF">
        <w:tc>
          <w:tcPr>
            <w:tcW w:w="1178" w:type="pct"/>
            <w:tcBorders>
              <w:top w:val="single" w:sz="4" w:space="0" w:color="auto"/>
            </w:tcBorders>
          </w:tcPr>
          <w:p w14:paraId="6483A1A0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Cer C12 (IS)</w:t>
            </w:r>
          </w:p>
        </w:tc>
        <w:tc>
          <w:tcPr>
            <w:tcW w:w="1178" w:type="pct"/>
            <w:tcBorders>
              <w:top w:val="single" w:sz="4" w:space="0" w:color="auto"/>
            </w:tcBorders>
          </w:tcPr>
          <w:p w14:paraId="28DC58C2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482.7 &gt; 264.4</w:t>
            </w:r>
          </w:p>
        </w:tc>
        <w:tc>
          <w:tcPr>
            <w:tcW w:w="733" w:type="pct"/>
            <w:tcBorders>
              <w:top w:val="single" w:sz="4" w:space="0" w:color="auto"/>
            </w:tcBorders>
          </w:tcPr>
          <w:p w14:paraId="2845D7F4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7.32</w:t>
            </w:r>
          </w:p>
        </w:tc>
        <w:tc>
          <w:tcPr>
            <w:tcW w:w="956" w:type="pct"/>
            <w:tcBorders>
              <w:top w:val="single" w:sz="4" w:space="0" w:color="auto"/>
            </w:tcBorders>
          </w:tcPr>
          <w:p w14:paraId="1A7A7E70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955" w:type="pct"/>
            <w:tcBorders>
              <w:top w:val="single" w:sz="4" w:space="0" w:color="auto"/>
            </w:tcBorders>
          </w:tcPr>
          <w:p w14:paraId="68515D83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29.0</w:t>
            </w:r>
          </w:p>
        </w:tc>
      </w:tr>
      <w:tr w:rsidR="002A4945" w:rsidRPr="00AA5EA7" w14:paraId="505F1DEF" w14:textId="77777777" w:rsidTr="000816DF">
        <w:tc>
          <w:tcPr>
            <w:tcW w:w="1178" w:type="pct"/>
          </w:tcPr>
          <w:p w14:paraId="25357BF2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Cer C14</w:t>
            </w:r>
          </w:p>
        </w:tc>
        <w:tc>
          <w:tcPr>
            <w:tcW w:w="1178" w:type="pct"/>
          </w:tcPr>
          <w:p w14:paraId="0FE0B06F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510.7 &gt; 264.4</w:t>
            </w:r>
          </w:p>
        </w:tc>
        <w:tc>
          <w:tcPr>
            <w:tcW w:w="733" w:type="pct"/>
          </w:tcPr>
          <w:p w14:paraId="39DD4AAC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8.41</w:t>
            </w:r>
          </w:p>
        </w:tc>
        <w:tc>
          <w:tcPr>
            <w:tcW w:w="956" w:type="pct"/>
          </w:tcPr>
          <w:p w14:paraId="798672BC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955" w:type="pct"/>
          </w:tcPr>
          <w:p w14:paraId="35EC96BA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29.5</w:t>
            </w:r>
          </w:p>
        </w:tc>
      </w:tr>
      <w:tr w:rsidR="002A4945" w:rsidRPr="00970B7F" w14:paraId="636EE8A6" w14:textId="77777777" w:rsidTr="000816DF">
        <w:tc>
          <w:tcPr>
            <w:tcW w:w="1178" w:type="pct"/>
          </w:tcPr>
          <w:p w14:paraId="6C0C34C9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Cer C16</w:t>
            </w:r>
          </w:p>
        </w:tc>
        <w:tc>
          <w:tcPr>
            <w:tcW w:w="1178" w:type="pct"/>
          </w:tcPr>
          <w:p w14:paraId="2B51F07E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538.8 &gt; 264.4</w:t>
            </w:r>
          </w:p>
        </w:tc>
        <w:tc>
          <w:tcPr>
            <w:tcW w:w="733" w:type="pct"/>
          </w:tcPr>
          <w:p w14:paraId="0183D3CA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9.78</w:t>
            </w:r>
          </w:p>
        </w:tc>
        <w:tc>
          <w:tcPr>
            <w:tcW w:w="956" w:type="pct"/>
          </w:tcPr>
          <w:p w14:paraId="3960A0D5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955" w:type="pct"/>
          </w:tcPr>
          <w:p w14:paraId="4B06EAEA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32.5</w:t>
            </w:r>
          </w:p>
        </w:tc>
      </w:tr>
      <w:tr w:rsidR="002A4945" w:rsidRPr="00970B7F" w14:paraId="0E4B70CA" w14:textId="77777777" w:rsidTr="000816DF">
        <w:tc>
          <w:tcPr>
            <w:tcW w:w="1178" w:type="pct"/>
          </w:tcPr>
          <w:p w14:paraId="30E019BF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Cer C18</w:t>
            </w:r>
          </w:p>
        </w:tc>
        <w:tc>
          <w:tcPr>
            <w:tcW w:w="1178" w:type="pct"/>
          </w:tcPr>
          <w:p w14:paraId="20488E61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566.8 &gt; 264.4</w:t>
            </w:r>
          </w:p>
        </w:tc>
        <w:tc>
          <w:tcPr>
            <w:tcW w:w="733" w:type="pct"/>
          </w:tcPr>
          <w:p w14:paraId="1A8AD87C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11.19</w:t>
            </w:r>
          </w:p>
        </w:tc>
        <w:tc>
          <w:tcPr>
            <w:tcW w:w="956" w:type="pct"/>
          </w:tcPr>
          <w:p w14:paraId="5B9FDE31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955" w:type="pct"/>
          </w:tcPr>
          <w:p w14:paraId="1F1BF324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34.5</w:t>
            </w:r>
          </w:p>
        </w:tc>
      </w:tr>
      <w:tr w:rsidR="002A4945" w:rsidRPr="00970B7F" w14:paraId="3389B0D7" w14:textId="77777777" w:rsidTr="000816DF">
        <w:tc>
          <w:tcPr>
            <w:tcW w:w="1178" w:type="pct"/>
          </w:tcPr>
          <w:p w14:paraId="7F32BE82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Cer C18:1</w:t>
            </w:r>
          </w:p>
        </w:tc>
        <w:tc>
          <w:tcPr>
            <w:tcW w:w="1178" w:type="pct"/>
          </w:tcPr>
          <w:p w14:paraId="58C38C38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564.8 &gt; 264.4</w:t>
            </w:r>
          </w:p>
        </w:tc>
        <w:tc>
          <w:tcPr>
            <w:tcW w:w="733" w:type="pct"/>
          </w:tcPr>
          <w:p w14:paraId="60E71815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10.27</w:t>
            </w:r>
          </w:p>
        </w:tc>
        <w:tc>
          <w:tcPr>
            <w:tcW w:w="956" w:type="pct"/>
          </w:tcPr>
          <w:p w14:paraId="1C93D25F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955" w:type="pct"/>
          </w:tcPr>
          <w:p w14:paraId="6DFA39D6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35.5</w:t>
            </w:r>
          </w:p>
        </w:tc>
      </w:tr>
      <w:tr w:rsidR="002A4945" w:rsidRPr="00970B7F" w14:paraId="04BCA851" w14:textId="77777777" w:rsidTr="000816DF">
        <w:tc>
          <w:tcPr>
            <w:tcW w:w="1178" w:type="pct"/>
          </w:tcPr>
          <w:p w14:paraId="445209BD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Cer C20</w:t>
            </w:r>
          </w:p>
        </w:tc>
        <w:tc>
          <w:tcPr>
            <w:tcW w:w="1178" w:type="pct"/>
          </w:tcPr>
          <w:p w14:paraId="1A4C6523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594.8 &gt; 264.4</w:t>
            </w:r>
          </w:p>
        </w:tc>
        <w:tc>
          <w:tcPr>
            <w:tcW w:w="733" w:type="pct"/>
          </w:tcPr>
          <w:p w14:paraId="7FD0C282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12.52</w:t>
            </w:r>
          </w:p>
        </w:tc>
        <w:tc>
          <w:tcPr>
            <w:tcW w:w="956" w:type="pct"/>
          </w:tcPr>
          <w:p w14:paraId="06C2EA6B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955" w:type="pct"/>
          </w:tcPr>
          <w:p w14:paraId="7EA7C1A4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36.0</w:t>
            </w:r>
          </w:p>
        </w:tc>
      </w:tr>
      <w:tr w:rsidR="002A4945" w:rsidRPr="00970B7F" w14:paraId="54B4EA07" w14:textId="77777777" w:rsidTr="000816DF">
        <w:tc>
          <w:tcPr>
            <w:tcW w:w="1178" w:type="pct"/>
          </w:tcPr>
          <w:p w14:paraId="5491E917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Cer C22</w:t>
            </w:r>
          </w:p>
        </w:tc>
        <w:tc>
          <w:tcPr>
            <w:tcW w:w="1178" w:type="pct"/>
          </w:tcPr>
          <w:p w14:paraId="7CA80400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622.9 &gt; 264.4</w:t>
            </w:r>
          </w:p>
        </w:tc>
        <w:tc>
          <w:tcPr>
            <w:tcW w:w="733" w:type="pct"/>
          </w:tcPr>
          <w:p w14:paraId="54AE5C60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13.73</w:t>
            </w:r>
          </w:p>
        </w:tc>
        <w:tc>
          <w:tcPr>
            <w:tcW w:w="956" w:type="pct"/>
          </w:tcPr>
          <w:p w14:paraId="401AA9C3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955" w:type="pct"/>
          </w:tcPr>
          <w:p w14:paraId="59EF8457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37.5</w:t>
            </w:r>
          </w:p>
        </w:tc>
      </w:tr>
      <w:tr w:rsidR="002A4945" w:rsidRPr="00970B7F" w14:paraId="62DCD8AF" w14:textId="77777777" w:rsidTr="000816DF">
        <w:tc>
          <w:tcPr>
            <w:tcW w:w="1178" w:type="pct"/>
          </w:tcPr>
          <w:p w14:paraId="3B82E204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Cer C24</w:t>
            </w:r>
          </w:p>
        </w:tc>
        <w:tc>
          <w:tcPr>
            <w:tcW w:w="1178" w:type="pct"/>
          </w:tcPr>
          <w:p w14:paraId="27257445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650.9 &gt; 264.4</w:t>
            </w:r>
          </w:p>
        </w:tc>
        <w:tc>
          <w:tcPr>
            <w:tcW w:w="733" w:type="pct"/>
          </w:tcPr>
          <w:p w14:paraId="62EA331C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14.84</w:t>
            </w:r>
          </w:p>
        </w:tc>
        <w:tc>
          <w:tcPr>
            <w:tcW w:w="956" w:type="pct"/>
          </w:tcPr>
          <w:p w14:paraId="4DB7B447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955" w:type="pct"/>
          </w:tcPr>
          <w:p w14:paraId="1B8BF258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41.5</w:t>
            </w:r>
          </w:p>
        </w:tc>
      </w:tr>
      <w:tr w:rsidR="002A4945" w:rsidRPr="00970B7F" w14:paraId="6CB24F8B" w14:textId="77777777" w:rsidTr="000816DF">
        <w:tc>
          <w:tcPr>
            <w:tcW w:w="1178" w:type="pct"/>
          </w:tcPr>
          <w:p w14:paraId="4D718CB0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Cer C24:1</w:t>
            </w:r>
          </w:p>
        </w:tc>
        <w:tc>
          <w:tcPr>
            <w:tcW w:w="1178" w:type="pct"/>
          </w:tcPr>
          <w:p w14:paraId="182F10FC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648.9 &gt; 264.4</w:t>
            </w:r>
          </w:p>
        </w:tc>
        <w:tc>
          <w:tcPr>
            <w:tcW w:w="733" w:type="pct"/>
          </w:tcPr>
          <w:p w14:paraId="60AB4D3D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13.84</w:t>
            </w:r>
          </w:p>
        </w:tc>
        <w:tc>
          <w:tcPr>
            <w:tcW w:w="956" w:type="pct"/>
          </w:tcPr>
          <w:p w14:paraId="26BF181F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955" w:type="pct"/>
          </w:tcPr>
          <w:p w14:paraId="0C0D1383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38.5</w:t>
            </w:r>
          </w:p>
        </w:tc>
      </w:tr>
      <w:tr w:rsidR="002A4945" w:rsidRPr="00970B7F" w14:paraId="69328CCD" w14:textId="77777777" w:rsidTr="000816DF">
        <w:tc>
          <w:tcPr>
            <w:tcW w:w="1178" w:type="pct"/>
          </w:tcPr>
          <w:p w14:paraId="0FA2883A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DHCer C16</w:t>
            </w:r>
          </w:p>
        </w:tc>
        <w:tc>
          <w:tcPr>
            <w:tcW w:w="1178" w:type="pct"/>
          </w:tcPr>
          <w:p w14:paraId="6950CEF1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540.4 &gt; 266.4</w:t>
            </w:r>
          </w:p>
        </w:tc>
        <w:tc>
          <w:tcPr>
            <w:tcW w:w="733" w:type="pct"/>
          </w:tcPr>
          <w:p w14:paraId="5C1FE464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10.20</w:t>
            </w:r>
          </w:p>
        </w:tc>
        <w:tc>
          <w:tcPr>
            <w:tcW w:w="956" w:type="pct"/>
          </w:tcPr>
          <w:p w14:paraId="4E89BF4C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955" w:type="pct"/>
          </w:tcPr>
          <w:p w14:paraId="157CA0D3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33.0</w:t>
            </w:r>
          </w:p>
        </w:tc>
      </w:tr>
      <w:tr w:rsidR="002A4945" w:rsidRPr="00970B7F" w14:paraId="2E7B3FFF" w14:textId="77777777" w:rsidTr="000816DF">
        <w:tc>
          <w:tcPr>
            <w:tcW w:w="1178" w:type="pct"/>
          </w:tcPr>
          <w:p w14:paraId="53507F9F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DHCer C18</w:t>
            </w:r>
          </w:p>
        </w:tc>
        <w:tc>
          <w:tcPr>
            <w:tcW w:w="1178" w:type="pct"/>
          </w:tcPr>
          <w:p w14:paraId="523CC6DC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568.5 &gt; 266.4</w:t>
            </w:r>
          </w:p>
        </w:tc>
        <w:tc>
          <w:tcPr>
            <w:tcW w:w="733" w:type="pct"/>
          </w:tcPr>
          <w:p w14:paraId="00A5C66F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11.58</w:t>
            </w:r>
          </w:p>
        </w:tc>
        <w:tc>
          <w:tcPr>
            <w:tcW w:w="956" w:type="pct"/>
          </w:tcPr>
          <w:p w14:paraId="72BA4200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955" w:type="pct"/>
          </w:tcPr>
          <w:p w14:paraId="6E82E43F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35.0</w:t>
            </w:r>
          </w:p>
        </w:tc>
      </w:tr>
      <w:tr w:rsidR="002A4945" w:rsidRPr="00970B7F" w14:paraId="2DD5AFE5" w14:textId="77777777" w:rsidTr="000816DF">
        <w:tc>
          <w:tcPr>
            <w:tcW w:w="1178" w:type="pct"/>
          </w:tcPr>
          <w:p w14:paraId="4952DDE5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DHCer C18:1</w:t>
            </w:r>
          </w:p>
        </w:tc>
        <w:tc>
          <w:tcPr>
            <w:tcW w:w="1178" w:type="pct"/>
          </w:tcPr>
          <w:p w14:paraId="0B17863E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566.5 &gt; 266.4</w:t>
            </w:r>
          </w:p>
        </w:tc>
        <w:tc>
          <w:tcPr>
            <w:tcW w:w="733" w:type="pct"/>
          </w:tcPr>
          <w:p w14:paraId="2085A927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10.69</w:t>
            </w:r>
          </w:p>
        </w:tc>
        <w:tc>
          <w:tcPr>
            <w:tcW w:w="956" w:type="pct"/>
          </w:tcPr>
          <w:p w14:paraId="42B71296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955" w:type="pct"/>
          </w:tcPr>
          <w:p w14:paraId="0450E108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35.0</w:t>
            </w:r>
          </w:p>
        </w:tc>
      </w:tr>
      <w:tr w:rsidR="002A4945" w:rsidRPr="00970B7F" w14:paraId="7EE2F69B" w14:textId="77777777" w:rsidTr="000816DF">
        <w:tc>
          <w:tcPr>
            <w:tcW w:w="1178" w:type="pct"/>
          </w:tcPr>
          <w:p w14:paraId="79C9C2AC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DHCer C24</w:t>
            </w:r>
          </w:p>
        </w:tc>
        <w:tc>
          <w:tcPr>
            <w:tcW w:w="1178" w:type="pct"/>
          </w:tcPr>
          <w:p w14:paraId="4C3E428F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652.5 &gt; 266.4</w:t>
            </w:r>
          </w:p>
        </w:tc>
        <w:tc>
          <w:tcPr>
            <w:tcW w:w="733" w:type="pct"/>
          </w:tcPr>
          <w:p w14:paraId="0B8C4E61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15.11</w:t>
            </w:r>
          </w:p>
        </w:tc>
        <w:tc>
          <w:tcPr>
            <w:tcW w:w="956" w:type="pct"/>
          </w:tcPr>
          <w:p w14:paraId="20A79E55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955" w:type="pct"/>
          </w:tcPr>
          <w:p w14:paraId="5971D41B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40.0</w:t>
            </w:r>
          </w:p>
        </w:tc>
      </w:tr>
      <w:tr w:rsidR="002A4945" w:rsidRPr="00970B7F" w14:paraId="4CB76B8C" w14:textId="77777777" w:rsidTr="000816DF">
        <w:tc>
          <w:tcPr>
            <w:tcW w:w="1178" w:type="pct"/>
            <w:tcBorders>
              <w:bottom w:val="single" w:sz="4" w:space="0" w:color="auto"/>
            </w:tcBorders>
          </w:tcPr>
          <w:p w14:paraId="641BA09A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DHCer C24:1</w:t>
            </w:r>
          </w:p>
        </w:tc>
        <w:tc>
          <w:tcPr>
            <w:tcW w:w="1178" w:type="pct"/>
            <w:tcBorders>
              <w:bottom w:val="single" w:sz="4" w:space="0" w:color="auto"/>
            </w:tcBorders>
          </w:tcPr>
          <w:p w14:paraId="12ED1D5F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650.5 &gt; 266.4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2D8C8ECB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14.16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14:paraId="044ECDF4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14:paraId="5E3FB2B3" w14:textId="77777777" w:rsidR="002A4945" w:rsidRPr="00970B7F" w:rsidRDefault="002A4945" w:rsidP="00081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70B7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38.5</w:t>
            </w:r>
          </w:p>
        </w:tc>
      </w:tr>
    </w:tbl>
    <w:p w14:paraId="33A5B0A1" w14:textId="77777777" w:rsidR="002A4945" w:rsidRPr="00970B7F" w:rsidRDefault="002A4945" w:rsidP="002A494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23D9EFB" w14:textId="292107BA" w:rsidR="002F6D09" w:rsidRDefault="002F6D09" w:rsidP="002F6D09">
      <w:pPr>
        <w:spacing w:after="0" w:line="48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4</w:t>
      </w:r>
      <w:r w:rsidRPr="00DC5BA3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NLC</w:t>
      </w:r>
      <w:r w:rsidR="00602B8F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morphology</w:t>
      </w:r>
    </w:p>
    <w:p w14:paraId="66750FFC" w14:textId="694BA8B1" w:rsidR="00602B8F" w:rsidRPr="00602B8F" w:rsidRDefault="00602B8F" w:rsidP="002A4945">
      <w:pPr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602B8F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Transmission electron microscopy (TEM) was performed using a Philips EM 400T microscope, (Eindhoven, Netherlands). Samples were prepared by deposition of a drop of diluted (100 folds) NLC1 suspension on the surface of a 200 mesh Formvar R -coated copper grid (TAAB Laboratories Equipment, Ltd., Aldermaston, </w:t>
      </w: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UK</w:t>
      </w:r>
      <w:r w:rsidRPr="00602B8F">
        <w:rPr>
          <w:rFonts w:ascii="Times New Roman" w:hAnsi="Times New Roman" w:cs="Times New Roman"/>
          <w:color w:val="FF0000"/>
          <w:sz w:val="24"/>
          <w:szCs w:val="24"/>
          <w:lang w:val="en-GB"/>
        </w:rPr>
        <w:t>), followed by a slow evaporation of water overnight at room temperature.</w:t>
      </w:r>
    </w:p>
    <w:p w14:paraId="57042ABD" w14:textId="123B31CE" w:rsidR="002F6D09" w:rsidRDefault="002F6D09" w:rsidP="002A4945">
      <w:pPr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F6D09">
        <w:rPr>
          <w:rFonts w:ascii="Times New Roman" w:hAnsi="Times New Roman" w:cs="Times New Roman"/>
          <w:color w:val="FF0000"/>
          <w:sz w:val="24"/>
          <w:szCs w:val="24"/>
          <w:lang w:val="en-US"/>
        </w:rPr>
        <w:lastRenderedPageBreak/>
        <w:t xml:space="preserve">Electron microscopy showed a particle size compatible with the one estimated by photon correlation spectroscopy data </w:t>
      </w:r>
      <w:r w:rsidR="00602B8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of NLC1, reported in table 2 of main document </w:t>
      </w:r>
      <w:r w:rsidRPr="002F6D0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(Figure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1S</w:t>
      </w:r>
      <w:r w:rsidRPr="002F6D0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). </w:t>
      </w:r>
    </w:p>
    <w:p w14:paraId="03F259D9" w14:textId="3921B763" w:rsidR="00821465" w:rsidRDefault="00821465" w:rsidP="002A4945">
      <w:pPr>
        <w:spacing w:after="0" w:line="480" w:lineRule="auto"/>
        <w:jc w:val="both"/>
        <w:rPr>
          <w:rFonts w:ascii="Times New Roman" w:hAnsi="Times New Roman" w:cs="Times New Roman"/>
          <w:i/>
          <w:noProof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color w:val="FF0000"/>
          <w:sz w:val="24"/>
          <w:szCs w:val="24"/>
          <w:lang w:val="en-US"/>
        </w:rPr>
        <w:t>Fig 1S. NLC1 nanoparticle TEM image.</w:t>
      </w:r>
    </w:p>
    <w:p w14:paraId="38AA6991" w14:textId="7CA0C247" w:rsidR="002F6D09" w:rsidRDefault="002F6D09" w:rsidP="002A4945">
      <w:pPr>
        <w:spacing w:after="0" w:line="48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it-IT"/>
        </w:rPr>
        <w:drawing>
          <wp:inline distT="0" distB="0" distL="0" distR="0" wp14:anchorId="3E4A1F7F" wp14:editId="3CA70ECC">
            <wp:extent cx="4038600" cy="344963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M NLC myriocin (NLC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3331" cy="345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714B5" w14:textId="77777777" w:rsidR="00821465" w:rsidRDefault="00821465" w:rsidP="002A4945">
      <w:pPr>
        <w:spacing w:after="0" w:line="48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</w:p>
    <w:p w14:paraId="045A353D" w14:textId="50BCB503" w:rsidR="00DC5BA3" w:rsidRDefault="002F6D09" w:rsidP="002A4945">
      <w:pPr>
        <w:spacing w:after="0" w:line="48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4</w:t>
      </w:r>
      <w:r w:rsidR="00DC5BA3" w:rsidRPr="00DC5BA3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. </w:t>
      </w:r>
      <w:r w:rsidR="00E54320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PK profile</w:t>
      </w:r>
      <w:r w:rsidR="00DC5BA3" w:rsidRPr="00DC5BA3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r w:rsidR="00E3404C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of</w:t>
      </w:r>
      <w:r w:rsidR="00DC5BA3" w:rsidRPr="00DC5BA3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 </w:t>
      </w:r>
      <w:r w:rsidR="00E3404C" w:rsidRPr="00DC5BA3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 xml:space="preserve">myriocin </w:t>
      </w:r>
      <w:r w:rsidR="00DC5BA3" w:rsidRPr="00DC5BA3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ophthalmic formulation</w:t>
      </w:r>
      <w:r w:rsidR="00E54320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s</w:t>
      </w:r>
      <w:r w:rsidR="00DC5BA3" w:rsidRPr="00DC5BA3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.</w:t>
      </w:r>
    </w:p>
    <w:p w14:paraId="2353C51A" w14:textId="6FF29FEC" w:rsidR="00E3404C" w:rsidRDefault="004F56AA" w:rsidP="002A4945">
      <w:pPr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In a preliminary study, N=</w:t>
      </w:r>
      <w:r w:rsidR="00E3404C">
        <w:rPr>
          <w:rFonts w:ascii="Times New Roman" w:hAnsi="Times New Roman" w:cs="Times New Roman"/>
          <w:color w:val="FF0000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rabbits per each experimental group (1 rabbit, 2 retinas per time-time point) were treated with myriocin suspension, Myr-SLN and NLC1.</w:t>
      </w:r>
      <w:r w:rsidR="008929C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Myr-SLN were prepared as described in (Amadio M. et al 2016 Pharmacological Research</w:t>
      </w:r>
      <w:r w:rsidR="00A71F7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– Leonardi A. et al 2015 International Journal of Pharmaceutics</w:t>
      </w:r>
      <w:r w:rsidR="008929C3">
        <w:rPr>
          <w:rFonts w:ascii="Times New Roman" w:hAnsi="Times New Roman" w:cs="Times New Roman"/>
          <w:color w:val="FF0000"/>
          <w:sz w:val="24"/>
          <w:szCs w:val="24"/>
          <w:lang w:val="en-US"/>
        </w:rPr>
        <w:t>), without addition of the cationic lipid d</w:t>
      </w:r>
      <w:r w:rsidR="008929C3" w:rsidRPr="008929C3">
        <w:rPr>
          <w:rFonts w:ascii="Times New Roman" w:hAnsi="Times New Roman" w:cs="Times New Roman"/>
          <w:color w:val="FF0000"/>
          <w:sz w:val="24"/>
          <w:szCs w:val="24"/>
          <w:lang w:val="en-US"/>
        </w:rPr>
        <w:t>idecylmethylammonium bromide</w:t>
      </w:r>
      <w:r w:rsidR="008929C3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A71F7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In particular, the lipid Softisan 100 was used at 1% w/v concentration </w:t>
      </w:r>
      <w:r w:rsidR="00E3404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and </w:t>
      </w:r>
      <w:r w:rsidR="00A71F7F">
        <w:rPr>
          <w:rFonts w:ascii="Times New Roman" w:hAnsi="Times New Roman" w:cs="Times New Roman"/>
          <w:color w:val="FF0000"/>
          <w:sz w:val="24"/>
          <w:szCs w:val="24"/>
          <w:lang w:val="en-US"/>
        </w:rPr>
        <w:t>dissolved in acetone: ethanol 1:1 solution</w:t>
      </w:r>
      <w:r w:rsidR="00E3404C">
        <w:rPr>
          <w:rFonts w:ascii="Times New Roman" w:hAnsi="Times New Roman" w:cs="Times New Roman"/>
          <w:color w:val="FF0000"/>
          <w:sz w:val="24"/>
          <w:szCs w:val="24"/>
          <w:lang w:val="en-US"/>
        </w:rPr>
        <w:t>, which constituted the lipid phase</w:t>
      </w:r>
      <w:r w:rsidR="00A71F7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Myr-SLN beard a Z-ave = 221.6 ±1.2 and a PDI = 0.16 ± 0.02. </w:t>
      </w:r>
    </w:p>
    <w:p w14:paraId="72D5B510" w14:textId="68EB3B6D" w:rsidR="00DC5BA3" w:rsidRDefault="004F56AA" w:rsidP="002A4945">
      <w:pPr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R</w:t>
      </w:r>
      <w:r w:rsidR="00DC5BA3">
        <w:rPr>
          <w:rFonts w:ascii="Times New Roman" w:hAnsi="Times New Roman" w:cs="Times New Roman"/>
          <w:color w:val="FF0000"/>
          <w:sz w:val="24"/>
          <w:szCs w:val="24"/>
          <w:lang w:val="en-US"/>
        </w:rPr>
        <w:t>abbits were topically ocular treated with 60 µg of m</w:t>
      </w:r>
      <w:r w:rsidR="00DC5BA3" w:rsidRPr="00DC5BA3">
        <w:rPr>
          <w:rFonts w:ascii="Times New Roman" w:hAnsi="Times New Roman" w:cs="Times New Roman"/>
          <w:color w:val="FF0000"/>
          <w:sz w:val="24"/>
          <w:szCs w:val="24"/>
          <w:lang w:val="en-US"/>
        </w:rPr>
        <w:t>yriocin formulated as aqueous suspension</w:t>
      </w:r>
      <w:r w:rsidR="00DC5BA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(1 mg/ml of myriocin suspended in phosphate buffered saline, PBS pH 7.4). Other two groups of </w:t>
      </w:r>
      <w:r w:rsidR="00241F8D">
        <w:rPr>
          <w:rFonts w:ascii="Times New Roman" w:hAnsi="Times New Roman" w:cs="Times New Roman"/>
          <w:color w:val="FF0000"/>
          <w:sz w:val="24"/>
          <w:szCs w:val="24"/>
          <w:lang w:val="en-US"/>
        </w:rPr>
        <w:t>rabbits</w:t>
      </w:r>
      <w:r w:rsidR="00DC5BA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were treated with </w:t>
      </w:r>
      <w:bookmarkStart w:id="1" w:name="_GoBack"/>
      <w:bookmarkEnd w:id="1"/>
      <w:r w:rsidR="00DC5BA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Myr-SLN (drug loading 0.55±0.07) and with NLC1 (drug loading 0.68±0.15). Myriocin retinal content has been determined as described in the methods section of </w:t>
      </w:r>
      <w:r w:rsidR="00DC5BA3">
        <w:rPr>
          <w:rFonts w:ascii="Times New Roman" w:hAnsi="Times New Roman" w:cs="Times New Roman"/>
          <w:color w:val="FF0000"/>
          <w:sz w:val="24"/>
          <w:szCs w:val="24"/>
          <w:lang w:val="en-US"/>
        </w:rPr>
        <w:lastRenderedPageBreak/>
        <w:t xml:space="preserve">main manuscript. The </w:t>
      </w:r>
      <w:r w:rsidR="00836510">
        <w:rPr>
          <w:rFonts w:ascii="Times New Roman" w:hAnsi="Times New Roman" w:cs="Times New Roman"/>
          <w:color w:val="FF0000"/>
          <w:sz w:val="24"/>
          <w:szCs w:val="24"/>
          <w:lang w:val="en-US"/>
        </w:rPr>
        <w:t>C</w:t>
      </w:r>
      <w:r w:rsidR="00836510" w:rsidRPr="00836510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>max</w:t>
      </w:r>
      <w:r w:rsidR="00836510">
        <w:rPr>
          <w:rFonts w:ascii="Times New Roman" w:hAnsi="Times New Roman" w:cs="Times New Roman"/>
          <w:color w:val="FF0000"/>
          <w:sz w:val="24"/>
          <w:szCs w:val="24"/>
          <w:lang w:val="en-US"/>
        </w:rPr>
        <w:t>, T</w:t>
      </w:r>
      <w:r w:rsidR="00836510" w:rsidRPr="00836510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>max</w:t>
      </w:r>
      <w:r w:rsidR="0083651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and AUC</w:t>
      </w:r>
      <w:r w:rsidR="00836510" w:rsidRPr="00836510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en-US"/>
        </w:rPr>
        <w:t xml:space="preserve">0-240 </w:t>
      </w:r>
      <w:r w:rsidR="00836510">
        <w:rPr>
          <w:rFonts w:ascii="Times New Roman" w:hAnsi="Times New Roman" w:cs="Times New Roman"/>
          <w:color w:val="FF0000"/>
          <w:sz w:val="24"/>
          <w:szCs w:val="24"/>
          <w:lang w:val="en-US"/>
        </w:rPr>
        <w:t>for retinal distribution of myriocin were determined and are listed in table S3.</w:t>
      </w:r>
    </w:p>
    <w:p w14:paraId="3E90F7DC" w14:textId="392D22BD" w:rsidR="00241F8D" w:rsidRDefault="00241F8D" w:rsidP="002A4945">
      <w:pPr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As reported in table S3, myriocin retinal availability is higher of about 3-4 logs when </w:t>
      </w:r>
      <w:r w:rsidR="00E3404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delivered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in nanostructured lipid carriers (Myr-NLC), in comparison to Myr-SLN and myriocin aqueous suspension. Therefore, the other pharmacokinetics in-vivo studies were carried out</w:t>
      </w:r>
      <w:r w:rsidR="00D679FD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on rabbits and mice with the Myr-NLC formulation</w:t>
      </w:r>
      <w:r w:rsidR="00AB6080">
        <w:rPr>
          <w:rFonts w:ascii="Times New Roman" w:hAnsi="Times New Roman" w:cs="Times New Roman"/>
          <w:color w:val="FF0000"/>
          <w:sz w:val="24"/>
          <w:szCs w:val="24"/>
          <w:lang w:val="en-US"/>
        </w:rPr>
        <w:t>, as described in the main manuscripts</w:t>
      </w:r>
      <w:r w:rsidR="00D679FD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</w:p>
    <w:p w14:paraId="6BF161E3" w14:textId="3AE25D4A" w:rsidR="00241F8D" w:rsidRDefault="00241F8D" w:rsidP="002A4945">
      <w:pPr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Table S3. Comparison of pharmacokinetics parameters for retinal myriocin distribution, after topical administration of different myriocin ophthalmic formulation.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3"/>
        <w:gridCol w:w="2443"/>
        <w:gridCol w:w="2443"/>
        <w:gridCol w:w="2443"/>
      </w:tblGrid>
      <w:tr w:rsidR="00836510" w14:paraId="1697C195" w14:textId="77777777" w:rsidTr="00836510">
        <w:tc>
          <w:tcPr>
            <w:tcW w:w="2443" w:type="dxa"/>
          </w:tcPr>
          <w:p w14:paraId="4C3E51FA" w14:textId="10C29CAC" w:rsidR="00836510" w:rsidRDefault="00836510" w:rsidP="002A4945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Formulation</w:t>
            </w:r>
          </w:p>
        </w:tc>
        <w:tc>
          <w:tcPr>
            <w:tcW w:w="2443" w:type="dxa"/>
          </w:tcPr>
          <w:p w14:paraId="0DDBAF80" w14:textId="7271E1BD" w:rsidR="00836510" w:rsidRPr="00EB7CED" w:rsidRDefault="00836510" w:rsidP="002A4945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</w:t>
            </w:r>
            <w:r w:rsidRPr="0083651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max</w:t>
            </w:r>
            <w:r w:rsidR="00EB7CE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(ng/g)</w:t>
            </w:r>
          </w:p>
        </w:tc>
        <w:tc>
          <w:tcPr>
            <w:tcW w:w="2443" w:type="dxa"/>
          </w:tcPr>
          <w:p w14:paraId="3FE88682" w14:textId="7195CAFE" w:rsidR="00836510" w:rsidRPr="00EB7CED" w:rsidRDefault="00836510" w:rsidP="002A4945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</w:t>
            </w:r>
            <w:r w:rsidRPr="0083651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max</w:t>
            </w:r>
            <w:r w:rsidR="00EB7CED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EB7CE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(min)</w:t>
            </w:r>
          </w:p>
        </w:tc>
        <w:tc>
          <w:tcPr>
            <w:tcW w:w="2443" w:type="dxa"/>
          </w:tcPr>
          <w:p w14:paraId="567D0E3B" w14:textId="6E05280C" w:rsidR="00836510" w:rsidRPr="00EB7CED" w:rsidRDefault="00836510" w:rsidP="002A4945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AUC</w:t>
            </w:r>
            <w:r w:rsidRPr="0083651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0-240</w:t>
            </w:r>
            <w:r w:rsidR="00EB7CED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EB7CED" w:rsidRPr="00EB7CE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(ng*min /g)</w:t>
            </w:r>
          </w:p>
        </w:tc>
      </w:tr>
      <w:tr w:rsidR="00836510" w14:paraId="776EFBEB" w14:textId="77777777" w:rsidTr="00836510">
        <w:tc>
          <w:tcPr>
            <w:tcW w:w="2443" w:type="dxa"/>
          </w:tcPr>
          <w:p w14:paraId="7E44C164" w14:textId="77777777" w:rsidR="00836510" w:rsidRDefault="00836510" w:rsidP="002A4945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Myriocin suspension</w:t>
            </w:r>
          </w:p>
          <w:p w14:paraId="56EA23EE" w14:textId="7C6CEC67" w:rsidR="00836510" w:rsidRDefault="00836510" w:rsidP="002A4945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(1 mg/ml)</w:t>
            </w:r>
          </w:p>
        </w:tc>
        <w:tc>
          <w:tcPr>
            <w:tcW w:w="2443" w:type="dxa"/>
          </w:tcPr>
          <w:p w14:paraId="6F714124" w14:textId="79B24639" w:rsidR="00836510" w:rsidRDefault="00EB7CED" w:rsidP="002A4945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1.55±0.</w:t>
            </w:r>
            <w:r w:rsidR="004F56A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443" w:type="dxa"/>
          </w:tcPr>
          <w:p w14:paraId="66DD008E" w14:textId="6A559E05" w:rsidR="00836510" w:rsidRDefault="00EB7CED" w:rsidP="002A4945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2443" w:type="dxa"/>
          </w:tcPr>
          <w:p w14:paraId="476B38CD" w14:textId="5575EB0F" w:rsidR="00836510" w:rsidRDefault="00EB7CED" w:rsidP="002A4945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169.4±</w:t>
            </w:r>
            <w:r w:rsidR="004F56A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.7</w:t>
            </w:r>
          </w:p>
        </w:tc>
      </w:tr>
      <w:tr w:rsidR="00836510" w14:paraId="5CEFC62C" w14:textId="77777777" w:rsidTr="00836510">
        <w:tc>
          <w:tcPr>
            <w:tcW w:w="2443" w:type="dxa"/>
          </w:tcPr>
          <w:p w14:paraId="4E7B31C3" w14:textId="77777777" w:rsidR="00836510" w:rsidRDefault="00836510" w:rsidP="002A4945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Myr-SLN</w:t>
            </w:r>
          </w:p>
          <w:p w14:paraId="77C35257" w14:textId="6C131CCF" w:rsidR="00836510" w:rsidRDefault="00836510" w:rsidP="002A4945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(drug loading 0.55 mg/ml)</w:t>
            </w:r>
          </w:p>
        </w:tc>
        <w:tc>
          <w:tcPr>
            <w:tcW w:w="2443" w:type="dxa"/>
          </w:tcPr>
          <w:p w14:paraId="1B3ACA12" w14:textId="1C1DCD0A" w:rsidR="00836510" w:rsidRDefault="00EB7CED" w:rsidP="002A4945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B7CE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.</w:t>
            </w:r>
            <w:r w:rsidRPr="00EB7CE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±0.</w:t>
            </w:r>
            <w:r w:rsidR="004F56A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443" w:type="dxa"/>
          </w:tcPr>
          <w:p w14:paraId="3966CEC2" w14:textId="4C594737" w:rsidR="00836510" w:rsidRDefault="00EB7CED" w:rsidP="002A4945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2443" w:type="dxa"/>
          </w:tcPr>
          <w:p w14:paraId="3816C77D" w14:textId="17F1FCE0" w:rsidR="00836510" w:rsidRDefault="00EB7CED" w:rsidP="002A4945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66.2±</w:t>
            </w:r>
            <w:r w:rsidR="004F56A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5.5</w:t>
            </w:r>
          </w:p>
        </w:tc>
      </w:tr>
      <w:tr w:rsidR="00836510" w14:paraId="3EE106B4" w14:textId="77777777" w:rsidTr="00836510">
        <w:tc>
          <w:tcPr>
            <w:tcW w:w="2443" w:type="dxa"/>
          </w:tcPr>
          <w:p w14:paraId="759275ED" w14:textId="12E08A81" w:rsidR="00836510" w:rsidRDefault="00836510" w:rsidP="002A4945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Myr-NLC (NLC1, drug loading 0.68 mg/ml)</w:t>
            </w:r>
          </w:p>
        </w:tc>
        <w:tc>
          <w:tcPr>
            <w:tcW w:w="2443" w:type="dxa"/>
          </w:tcPr>
          <w:p w14:paraId="0EC2ED2D" w14:textId="6E115A83" w:rsidR="00836510" w:rsidRDefault="00EB7CED" w:rsidP="002A4945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B7CE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1451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±370</w:t>
            </w:r>
          </w:p>
        </w:tc>
        <w:tc>
          <w:tcPr>
            <w:tcW w:w="2443" w:type="dxa"/>
          </w:tcPr>
          <w:p w14:paraId="6711965C" w14:textId="699FDE9B" w:rsidR="00836510" w:rsidRDefault="00EB7CED" w:rsidP="002A4945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180</w:t>
            </w:r>
          </w:p>
        </w:tc>
        <w:tc>
          <w:tcPr>
            <w:tcW w:w="2443" w:type="dxa"/>
          </w:tcPr>
          <w:p w14:paraId="28C23E69" w14:textId="35306072" w:rsidR="00836510" w:rsidRDefault="00EB7CED" w:rsidP="002A4945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  <w:r w:rsidR="004F56A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85</w:t>
            </w:r>
            <w:r w:rsidRPr="00EB7CE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192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±36000</w:t>
            </w:r>
          </w:p>
        </w:tc>
      </w:tr>
    </w:tbl>
    <w:p w14:paraId="4B4C487B" w14:textId="77777777" w:rsidR="00836510" w:rsidRPr="00DC5BA3" w:rsidRDefault="00836510" w:rsidP="002A4945">
      <w:pPr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20DFD5E7" w14:textId="7F7055B5" w:rsidR="002A4945" w:rsidRPr="00DC5BA3" w:rsidRDefault="002A4945">
      <w:pPr>
        <w:rPr>
          <w:lang w:val="en-US"/>
        </w:rPr>
      </w:pPr>
    </w:p>
    <w:sectPr w:rsidR="002A4945" w:rsidRPr="00DC5BA3" w:rsidSect="00D72D3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45"/>
    <w:rsid w:val="000355D1"/>
    <w:rsid w:val="00093D83"/>
    <w:rsid w:val="00097653"/>
    <w:rsid w:val="00241F8D"/>
    <w:rsid w:val="002A4945"/>
    <w:rsid w:val="002F6D09"/>
    <w:rsid w:val="00377657"/>
    <w:rsid w:val="004F56AA"/>
    <w:rsid w:val="0052376A"/>
    <w:rsid w:val="00602B8F"/>
    <w:rsid w:val="007B3682"/>
    <w:rsid w:val="00821465"/>
    <w:rsid w:val="00836510"/>
    <w:rsid w:val="008929C3"/>
    <w:rsid w:val="00A71F7F"/>
    <w:rsid w:val="00AB6080"/>
    <w:rsid w:val="00C27019"/>
    <w:rsid w:val="00CE170C"/>
    <w:rsid w:val="00D679FD"/>
    <w:rsid w:val="00D72D3E"/>
    <w:rsid w:val="00DC5BA3"/>
    <w:rsid w:val="00E25536"/>
    <w:rsid w:val="00E3404C"/>
    <w:rsid w:val="00E54320"/>
    <w:rsid w:val="00E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068A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494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chiara1">
    <w:name w:val="Griglia tabella chiara1"/>
    <w:basedOn w:val="Tabellanormale"/>
    <w:next w:val="Tabellanormale"/>
    <w:uiPriority w:val="40"/>
    <w:rsid w:val="002A4945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836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3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54320"/>
    <w:rPr>
      <w:rFonts w:ascii="Lucida Grande" w:eastAsiaTheme="minorHAnsi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494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chiara1">
    <w:name w:val="Griglia tabella chiara1"/>
    <w:basedOn w:val="Tabellanormale"/>
    <w:next w:val="Tabellanormale"/>
    <w:uiPriority w:val="40"/>
    <w:rsid w:val="002A4945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836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3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54320"/>
    <w:rPr>
      <w:rFonts w:ascii="Lucida Grande" w:eastAsiaTheme="minorHAnsi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1149</Words>
  <Characters>6554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Bucolo</dc:creator>
  <cp:keywords/>
  <dc:description/>
  <cp:lastModifiedBy>Claudio Bucolo</cp:lastModifiedBy>
  <cp:revision>17</cp:revision>
  <dcterms:created xsi:type="dcterms:W3CDTF">2018-11-06T15:38:00Z</dcterms:created>
  <dcterms:modified xsi:type="dcterms:W3CDTF">2019-01-17T09:17:00Z</dcterms:modified>
</cp:coreProperties>
</file>