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F" w:rsidRPr="00153AAB" w:rsidRDefault="00DF199F" w:rsidP="00DF199F">
      <w:pPr>
        <w:widowControl w:val="0"/>
        <w:spacing w:before="100" w:beforeAutospacing="1" w:after="100" w:afterAutospacing="1" w:line="240" w:lineRule="auto"/>
        <w:rPr>
          <w:b/>
          <w:sz w:val="36"/>
          <w:szCs w:val="36"/>
        </w:rPr>
      </w:pPr>
      <w:r w:rsidRPr="00153AAB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dditional file</w:t>
      </w:r>
      <w:r w:rsidRPr="0004000C">
        <w:rPr>
          <w:b/>
          <w:sz w:val="36"/>
        </w:rPr>
        <w:t xml:space="preserve"> 3</w:t>
      </w:r>
    </w:p>
    <w:p w:rsidR="00DF199F" w:rsidRPr="009B3A16" w:rsidRDefault="00DF199F" w:rsidP="00DF199F">
      <w:pPr>
        <w:widowControl w:val="0"/>
        <w:spacing w:before="100" w:beforeAutospacing="1" w:after="100" w:afterAutospacing="1" w:line="240" w:lineRule="auto"/>
        <w:rPr>
          <w:b/>
        </w:rPr>
      </w:pPr>
      <w:r>
        <w:rPr>
          <w:b/>
        </w:rPr>
        <w:t>Regression coefficients divided by phenotypic standard deviation</w:t>
      </w:r>
    </w:p>
    <w:p w:rsidR="00DF199F" w:rsidRPr="0004000C" w:rsidRDefault="00DF199F" w:rsidP="00DF199F">
      <w:pPr>
        <w:widowControl w:val="0"/>
        <w:spacing w:before="100" w:beforeAutospacing="1" w:after="100" w:afterAutospacing="1" w:line="240" w:lineRule="auto"/>
        <w:rPr>
          <w:b/>
        </w:rPr>
      </w:pPr>
      <w:r w:rsidRPr="0004000C">
        <w:rPr>
          <w:b/>
        </w:rPr>
        <w:t xml:space="preserve">Table </w:t>
      </w:r>
      <w:r>
        <w:rPr>
          <w:b/>
        </w:rPr>
        <w:t>S</w:t>
      </w:r>
      <w:r w:rsidR="008F5021">
        <w:rPr>
          <w:b/>
        </w:rPr>
        <w:t>6</w:t>
      </w:r>
      <w:r w:rsidRPr="0004000C">
        <w:rPr>
          <w:b/>
        </w:rPr>
        <w:t xml:space="preserve"> Regression coefficients divided by phenotypic standard deviation for the synthetic line for Models 2 </w:t>
      </w:r>
      <w:r w:rsidRPr="00153AAB">
        <w:rPr>
          <w:b/>
        </w:rPr>
        <w:t>to</w:t>
      </w:r>
      <w:r w:rsidRPr="0004000C">
        <w:rPr>
          <w:b/>
        </w:rPr>
        <w:t xml:space="preserve"> 4</w:t>
      </w:r>
    </w:p>
    <w:tbl>
      <w:tblPr>
        <w:tblW w:w="0" w:type="auto"/>
        <w:tblLayout w:type="fixed"/>
        <w:tblLook w:val="04A0"/>
      </w:tblPr>
      <w:tblGrid>
        <w:gridCol w:w="1418"/>
        <w:gridCol w:w="1701"/>
        <w:gridCol w:w="1276"/>
        <w:gridCol w:w="1134"/>
        <w:gridCol w:w="1303"/>
        <w:gridCol w:w="1124"/>
        <w:gridCol w:w="1116"/>
      </w:tblGrid>
      <w:tr w:rsidR="00DF199F" w:rsidRPr="00153AAB" w:rsidTr="006713B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</w:rPr>
            </w:pPr>
            <w:r w:rsidRPr="00153AAB">
              <w:rPr>
                <w:b/>
                <w:sz w:val="22"/>
              </w:rPr>
              <w:t>Trait</w:t>
            </w:r>
            <w:r>
              <w:rPr>
                <w:b/>
                <w:sz w:val="22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</w:rPr>
            </w:pPr>
            <w:r w:rsidRPr="0004000C">
              <w:rPr>
                <w:b/>
                <w:sz w:val="22"/>
              </w:rPr>
              <w:t>Heterozygosity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</w:rPr>
            </w:pPr>
            <w:r w:rsidRPr="00153AAB">
              <w:rPr>
                <w:b/>
                <w:sz w:val="22"/>
              </w:rPr>
              <w:t>Hetbreed</w:t>
            </w:r>
            <w:r>
              <w:rPr>
                <w:b/>
                <w:sz w:val="22"/>
                <w:vertAlign w:val="superscript"/>
              </w:rPr>
              <w:t>b</w:t>
            </w:r>
            <w:r w:rsidRPr="0004000C">
              <w:rPr>
                <w:b/>
                <w:sz w:val="22"/>
              </w:rPr>
              <w:t xml:space="preserve"> Line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  <w:vertAlign w:val="superscript"/>
              </w:rPr>
            </w:pPr>
            <w:r w:rsidRPr="0004000C">
              <w:rPr>
                <w:b/>
                <w:sz w:val="22"/>
              </w:rPr>
              <w:t>Hetbreed</w:t>
            </w:r>
            <w:r>
              <w:rPr>
                <w:b/>
                <w:sz w:val="22"/>
              </w:rPr>
              <w:t xml:space="preserve"> </w:t>
            </w:r>
            <w:r w:rsidRPr="00153AAB">
              <w:rPr>
                <w:b/>
                <w:sz w:val="22"/>
              </w:rPr>
              <w:t>F1</w:t>
            </w:r>
            <w:r>
              <w:rPr>
                <w:b/>
                <w:sz w:val="22"/>
                <w:vertAlign w:val="superscript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  <w:vertAlign w:val="superscript"/>
              </w:rPr>
            </w:pPr>
            <w:r w:rsidRPr="0004000C">
              <w:rPr>
                <w:b/>
                <w:sz w:val="22"/>
              </w:rPr>
              <w:t xml:space="preserve">Hetbreed </w:t>
            </w:r>
            <w:r w:rsidRPr="00153AAB">
              <w:rPr>
                <w:b/>
                <w:sz w:val="22"/>
              </w:rPr>
              <w:t>backcross</w:t>
            </w:r>
            <w:r>
              <w:rPr>
                <w:b/>
                <w:sz w:val="22"/>
                <w:vertAlign w:val="superscript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</w:rPr>
            </w:pPr>
            <w:r w:rsidRPr="0004000C">
              <w:rPr>
                <w:b/>
                <w:sz w:val="22"/>
              </w:rPr>
              <w:t>Hetbreed Line 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  <w:rPr>
                <w:b/>
              </w:rPr>
            </w:pPr>
            <w:r w:rsidRPr="0004000C">
              <w:rPr>
                <w:b/>
                <w:sz w:val="22"/>
              </w:rPr>
              <w:t>Expected heterosis</w:t>
            </w:r>
          </w:p>
        </w:tc>
      </w:tr>
      <w:tr w:rsidR="00DF199F" w:rsidRPr="00153AAB" w:rsidTr="006713B1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W21, kg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-16.14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-2.36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1.78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0.01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W150, kg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7.09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7.07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12.40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6.50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0.02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BF100, mm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-0.79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-2.09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-1.65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0.26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0.01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LD100, mm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1.21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15.57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-0.10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0.00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A40, 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-5.87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-6.92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1.31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-3.94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-4.53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0.01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DTP, 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-4.69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-5.35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-6.80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8.07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-3.74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0.00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TFI, kg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-3.26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-4.32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-4.90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-2.72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-2.16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0.01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LMP, 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0.47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-0.12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8.39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0.53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0.07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DP, 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-0.35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-3.44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-14.25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-0.29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0.03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IMF, g/100g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-1.34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-0.83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-0.02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PHL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-1.58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-2.98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-10.84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-1.43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0.06</w:t>
            </w:r>
          </w:p>
        </w:tc>
      </w:tr>
      <w:tr w:rsidR="00DF199F" w:rsidRPr="00153AAB" w:rsidTr="006713B1">
        <w:tc>
          <w:tcPr>
            <w:tcW w:w="1418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DRIP, 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3.80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-9.25</w:t>
            </w:r>
          </w:p>
        </w:tc>
        <w:tc>
          <w:tcPr>
            <w:tcW w:w="1303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0.83</w:t>
            </w:r>
          </w:p>
        </w:tc>
        <w:tc>
          <w:tcPr>
            <w:tcW w:w="1116" w:type="dxa"/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0.01</w:t>
            </w:r>
          </w:p>
        </w:tc>
      </w:tr>
      <w:tr w:rsidR="00DF199F" w:rsidRPr="00153AAB" w:rsidTr="006713B1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LB1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2.37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3.43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-69.57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NA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1.00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F199F" w:rsidRPr="0004000C" w:rsidRDefault="00DF199F" w:rsidP="006713B1">
            <w:pPr>
              <w:widowControl w:val="0"/>
              <w:spacing w:before="0" w:after="0" w:line="240" w:lineRule="auto"/>
            </w:pPr>
            <w:r w:rsidRPr="0004000C">
              <w:rPr>
                <w:sz w:val="22"/>
              </w:rPr>
              <w:t>0.00</w:t>
            </w:r>
          </w:p>
        </w:tc>
      </w:tr>
    </w:tbl>
    <w:p w:rsidR="00DF199F" w:rsidRPr="0012420F" w:rsidRDefault="00DF199F" w:rsidP="00DF199F">
      <w:pPr>
        <w:widowControl w:val="0"/>
        <w:spacing w:before="0" w:after="0" w:line="240" w:lineRule="auto"/>
        <w:rPr>
          <w:sz w:val="20"/>
          <w:szCs w:val="20"/>
        </w:rPr>
      </w:pPr>
      <w:r w:rsidRPr="0012420F">
        <w:rPr>
          <w:sz w:val="20"/>
          <w:szCs w:val="20"/>
          <w:vertAlign w:val="superscript"/>
        </w:rPr>
        <w:t>a</w:t>
      </w:r>
      <w:r w:rsidRPr="0012420F">
        <w:rPr>
          <w:sz w:val="20"/>
          <w:szCs w:val="20"/>
        </w:rPr>
        <w:t>W21</w:t>
      </w:r>
      <w:r w:rsidRPr="0004000C">
        <w:rPr>
          <w:sz w:val="20"/>
        </w:rPr>
        <w:t xml:space="preserve"> = 21d weight in kg, W150 = 150d weight in kg, BF100 = backfat at 100kg measured on live animals in mm, LD100 = loin depth at 100kg measured on live animals in mm, A40 = age at 40kg, DTP = days from 40-120kg, TFI = total feed intake from 40-120kg in kg (i.e. feed intake per 80 kg live weight gain), LMP = lean meat percentage, DP = dressing percentage (slaughter weight/live weight), IMF = intramuscular fat percentage measured in the laboratory, PHL = pH of loin, DRIP = drip loss is the percentage loss of water from a piece of loin muscle between</w:t>
      </w:r>
      <w:r w:rsidR="00B91E92">
        <w:rPr>
          <w:sz w:val="20"/>
        </w:rPr>
        <w:t xml:space="preserve"> </w:t>
      </w:r>
      <w:r w:rsidR="00B91E92" w:rsidRPr="00B91E92">
        <w:rPr>
          <w:sz w:val="20"/>
        </w:rPr>
        <w:t>96h post mortem to 120h post mortem</w:t>
      </w:r>
      <w:bookmarkStart w:id="0" w:name="_GoBack"/>
      <w:bookmarkEnd w:id="0"/>
      <w:r w:rsidRPr="0004000C">
        <w:rPr>
          <w:sz w:val="20"/>
        </w:rPr>
        <w:t>, LB1 = live born first parity.</w:t>
      </w:r>
    </w:p>
    <w:p w:rsidR="00DF199F" w:rsidRPr="0012420F" w:rsidRDefault="00DF199F" w:rsidP="00DF199F">
      <w:pPr>
        <w:widowControl w:val="0"/>
        <w:spacing w:before="0" w:after="0" w:line="240" w:lineRule="auto"/>
        <w:rPr>
          <w:sz w:val="20"/>
          <w:szCs w:val="20"/>
        </w:rPr>
      </w:pPr>
      <w:r w:rsidRPr="0012420F">
        <w:rPr>
          <w:sz w:val="20"/>
          <w:szCs w:val="20"/>
          <w:vertAlign w:val="superscript"/>
        </w:rPr>
        <w:t>b</w:t>
      </w:r>
      <w:r w:rsidRPr="0012420F">
        <w:rPr>
          <w:sz w:val="20"/>
          <w:szCs w:val="20"/>
        </w:rPr>
        <w:t>Hetbreed</w:t>
      </w:r>
      <w:r w:rsidRPr="0004000C">
        <w:rPr>
          <w:sz w:val="20"/>
        </w:rPr>
        <w:t xml:space="preserve"> is the model with heterozygosity within breed.</w:t>
      </w:r>
    </w:p>
    <w:p w:rsidR="00DF199F" w:rsidRPr="0012420F" w:rsidRDefault="00DF199F" w:rsidP="00DF199F">
      <w:pPr>
        <w:widowControl w:val="0"/>
        <w:spacing w:before="0" w:after="0" w:line="240" w:lineRule="auto"/>
        <w:rPr>
          <w:sz w:val="20"/>
          <w:szCs w:val="20"/>
        </w:rPr>
      </w:pPr>
      <w:r w:rsidRPr="0012420F">
        <w:rPr>
          <w:sz w:val="20"/>
          <w:szCs w:val="20"/>
          <w:vertAlign w:val="superscript"/>
        </w:rPr>
        <w:t>c</w:t>
      </w:r>
      <w:r w:rsidRPr="0012420F">
        <w:rPr>
          <w:sz w:val="20"/>
          <w:szCs w:val="20"/>
        </w:rPr>
        <w:t>Always</w:t>
      </w:r>
      <w:r w:rsidRPr="0004000C">
        <w:rPr>
          <w:sz w:val="20"/>
        </w:rPr>
        <w:t xml:space="preserve"> less than 300 animals with observations for the trait in F1.</w:t>
      </w:r>
    </w:p>
    <w:p w:rsidR="00DF199F" w:rsidRPr="0004000C" w:rsidRDefault="00DF199F" w:rsidP="00DF199F">
      <w:pPr>
        <w:widowControl w:val="0"/>
        <w:spacing w:before="0" w:after="0" w:line="240" w:lineRule="auto"/>
        <w:rPr>
          <w:sz w:val="20"/>
        </w:rPr>
      </w:pPr>
      <w:r w:rsidRPr="0012420F">
        <w:rPr>
          <w:sz w:val="20"/>
          <w:szCs w:val="20"/>
          <w:vertAlign w:val="superscript"/>
        </w:rPr>
        <w:t>d</w:t>
      </w:r>
      <w:r w:rsidRPr="0012420F">
        <w:rPr>
          <w:sz w:val="20"/>
          <w:szCs w:val="20"/>
        </w:rPr>
        <w:t>The</w:t>
      </w:r>
      <w:r w:rsidRPr="0004000C">
        <w:rPr>
          <w:sz w:val="20"/>
        </w:rPr>
        <w:t xml:space="preserve"> backcross is (Line 1 x F1) only.</w:t>
      </w:r>
      <w:r w:rsidRPr="0004000C">
        <w:rPr>
          <w:sz w:val="20"/>
          <w:vertAlign w:val="superscript"/>
        </w:rPr>
        <w:t xml:space="preserve"> </w:t>
      </w:r>
      <w:r w:rsidRPr="0004000C">
        <w:rPr>
          <w:sz w:val="20"/>
        </w:rPr>
        <w:t>Less than 30 animals with observations for the trait in backcross.</w:t>
      </w:r>
    </w:p>
    <w:p w:rsidR="00525266" w:rsidRDefault="00525266"/>
    <w:sectPr w:rsidR="00525266" w:rsidSect="00DD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199F"/>
    <w:rsid w:val="003B60B3"/>
    <w:rsid w:val="00525266"/>
    <w:rsid w:val="006C1559"/>
    <w:rsid w:val="00794C93"/>
    <w:rsid w:val="008F5021"/>
    <w:rsid w:val="00B22C82"/>
    <w:rsid w:val="00B91E92"/>
    <w:rsid w:val="00CF45B3"/>
    <w:rsid w:val="00D74F02"/>
    <w:rsid w:val="00DD6BB4"/>
    <w:rsid w:val="00DF199F"/>
    <w:rsid w:val="00E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9F"/>
    <w:pPr>
      <w:spacing w:before="240" w:after="24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C93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89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5B3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9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89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5B3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DF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Winther Iversen</dc:creator>
  <cp:keywords/>
  <dc:description/>
  <cp:lastModifiedBy>0005064</cp:lastModifiedBy>
  <cp:revision>4</cp:revision>
  <dcterms:created xsi:type="dcterms:W3CDTF">2019-01-24T13:40:00Z</dcterms:created>
  <dcterms:modified xsi:type="dcterms:W3CDTF">2019-02-20T12:57:00Z</dcterms:modified>
</cp:coreProperties>
</file>