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053" w:rsidRDefault="00710053" w:rsidP="00710053">
      <w:pPr>
        <w:spacing w:line="360" w:lineRule="auto"/>
        <w:ind w:right="-425"/>
        <w:contextualSpacing/>
        <w:jc w:val="both"/>
        <w:rPr>
          <w:rFonts w:ascii="Times New Roman" w:hAnsi="Times New Roman"/>
          <w:b/>
          <w:lang w:val="en-US"/>
        </w:rPr>
      </w:pPr>
      <w:r>
        <w:rPr>
          <w:rFonts w:ascii="Times New Roman" w:hAnsi="Times New Roman"/>
          <w:b/>
          <w:lang w:val="en-US"/>
        </w:rPr>
        <w:t>Supplementary Information</w:t>
      </w:r>
      <w:bookmarkStart w:id="0" w:name="_GoBack"/>
      <w:bookmarkEnd w:id="0"/>
    </w:p>
    <w:p w:rsidR="00710053" w:rsidRDefault="00710053" w:rsidP="00710053">
      <w:pPr>
        <w:spacing w:line="360" w:lineRule="auto"/>
        <w:ind w:right="-425"/>
        <w:contextualSpacing/>
        <w:jc w:val="both"/>
        <w:rPr>
          <w:rFonts w:ascii="Times New Roman" w:hAnsi="Times New Roman"/>
          <w:b/>
          <w:lang w:val="en-US"/>
        </w:rPr>
      </w:pPr>
      <w:r w:rsidRPr="00710053">
        <w:rPr>
          <w:rFonts w:ascii="Times New Roman" w:hAnsi="Times New Roman"/>
          <w:b/>
          <w:noProof/>
          <w:lang w:val="en-US"/>
        </w:rPr>
        <w:drawing>
          <wp:inline distT="0" distB="0" distL="0" distR="0">
            <wp:extent cx="5943600" cy="4410900"/>
            <wp:effectExtent l="0" t="0" r="0" b="8890"/>
            <wp:docPr id="1" name="Picture 1" descr="C:\Users\tanya.sinha\AppData\Local\Temp\Temp1_INEG_A_1526934.zip\gneg-2018-0033-20180919021429\doc\Supplementary 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sinha\AppData\Local\Temp\Temp1_INEG_A_1526934.zip\gneg-2018-0033-20180919021429\doc\Supplementary S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4410900"/>
                    </a:xfrm>
                    <a:prstGeom prst="rect">
                      <a:avLst/>
                    </a:prstGeom>
                    <a:noFill/>
                    <a:ln>
                      <a:noFill/>
                    </a:ln>
                  </pic:spPr>
                </pic:pic>
              </a:graphicData>
            </a:graphic>
          </wp:inline>
        </w:drawing>
      </w:r>
    </w:p>
    <w:p w:rsidR="00710053" w:rsidRDefault="00710053" w:rsidP="00710053">
      <w:pPr>
        <w:spacing w:line="360" w:lineRule="auto"/>
        <w:ind w:right="-425"/>
        <w:contextualSpacing/>
        <w:jc w:val="both"/>
        <w:rPr>
          <w:rFonts w:ascii="Times New Roman" w:hAnsi="Times New Roman"/>
          <w:b/>
          <w:lang w:val="en-US"/>
        </w:rPr>
      </w:pPr>
    </w:p>
    <w:p w:rsidR="00710053" w:rsidRDefault="00710053" w:rsidP="00710053">
      <w:pPr>
        <w:spacing w:line="360" w:lineRule="auto"/>
        <w:ind w:right="-425"/>
        <w:contextualSpacing/>
        <w:jc w:val="both"/>
        <w:rPr>
          <w:rFonts w:ascii="Times New Roman" w:hAnsi="Times New Roman"/>
          <w:b/>
          <w:lang w:val="en-US"/>
        </w:rPr>
      </w:pPr>
    </w:p>
    <w:p w:rsidR="00710053" w:rsidRDefault="00710053" w:rsidP="00710053">
      <w:pPr>
        <w:spacing w:line="360" w:lineRule="auto"/>
        <w:ind w:right="-425"/>
        <w:contextualSpacing/>
        <w:jc w:val="both"/>
        <w:rPr>
          <w:rFonts w:ascii="Times New Roman" w:hAnsi="Times New Roman"/>
          <w:b/>
          <w:lang w:val="en-US"/>
        </w:rPr>
      </w:pPr>
    </w:p>
    <w:p w:rsidR="00710053" w:rsidRPr="00460106" w:rsidRDefault="00710053" w:rsidP="00710053">
      <w:pPr>
        <w:spacing w:line="360" w:lineRule="auto"/>
        <w:ind w:right="-425"/>
        <w:contextualSpacing/>
        <w:jc w:val="both"/>
        <w:rPr>
          <w:rFonts w:ascii="Times New Roman" w:hAnsi="Times New Roman"/>
          <w:bCs/>
          <w:sz w:val="20"/>
          <w:szCs w:val="36"/>
          <w:lang w:val="en-US"/>
        </w:rPr>
      </w:pPr>
      <w:r w:rsidRPr="00460106">
        <w:rPr>
          <w:rFonts w:ascii="Times New Roman" w:hAnsi="Times New Roman"/>
          <w:b/>
          <w:lang w:val="en-US"/>
        </w:rPr>
        <w:t>S1. Food and kilocalorie intake</w:t>
      </w:r>
      <w:r w:rsidRPr="00460106">
        <w:rPr>
          <w:rFonts w:ascii="Times New Roman" w:hAnsi="Times New Roman"/>
          <w:lang w:val="en-US"/>
        </w:rPr>
        <w:t xml:space="preserve">. Average food intake per week (g) during T1 (A) and T2 (B). Average kilocalorie intake per week (kcal/kg) during T1 (C) and T2 (D). In (A), weeks 1, 3, 4, 5 and 7: *p &lt; 0.05 for AIN93G vs HSB. In (B), week 9: *p &lt; 0.05 for AIN93G + H2O vs HSB + H2O and HSB-AIN93G + H2O, for AIN93G + </w:t>
      </w:r>
      <w:proofErr w:type="spellStart"/>
      <w:r w:rsidRPr="00460106">
        <w:rPr>
          <w:rFonts w:ascii="Times New Roman" w:hAnsi="Times New Roman"/>
          <w:lang w:val="en-US"/>
        </w:rPr>
        <w:t>EtOH</w:t>
      </w:r>
      <w:proofErr w:type="spellEnd"/>
      <w:r w:rsidRPr="00460106">
        <w:rPr>
          <w:rFonts w:ascii="Times New Roman" w:hAnsi="Times New Roman"/>
          <w:lang w:val="en-US"/>
        </w:rPr>
        <w:t xml:space="preserve"> vs HSB + </w:t>
      </w:r>
      <w:proofErr w:type="spellStart"/>
      <w:r w:rsidRPr="00460106">
        <w:rPr>
          <w:rFonts w:ascii="Times New Roman" w:hAnsi="Times New Roman"/>
          <w:lang w:val="en-US"/>
        </w:rPr>
        <w:t>EtOH</w:t>
      </w:r>
      <w:proofErr w:type="spellEnd"/>
      <w:r w:rsidRPr="00460106">
        <w:rPr>
          <w:rFonts w:ascii="Times New Roman" w:hAnsi="Times New Roman"/>
          <w:lang w:val="en-US"/>
        </w:rPr>
        <w:t xml:space="preserve"> and HSB-AIN93G + </w:t>
      </w:r>
      <w:proofErr w:type="spellStart"/>
      <w:r w:rsidRPr="00460106">
        <w:rPr>
          <w:rFonts w:ascii="Times New Roman" w:hAnsi="Times New Roman"/>
          <w:lang w:val="en-US"/>
        </w:rPr>
        <w:t>EtOH</w:t>
      </w:r>
      <w:proofErr w:type="spellEnd"/>
      <w:r w:rsidRPr="00460106">
        <w:rPr>
          <w:rFonts w:ascii="Times New Roman" w:hAnsi="Times New Roman"/>
          <w:lang w:val="en-US"/>
        </w:rPr>
        <w:t xml:space="preserve">, for HSB + </w:t>
      </w:r>
      <w:proofErr w:type="spellStart"/>
      <w:r w:rsidRPr="00460106">
        <w:rPr>
          <w:rFonts w:ascii="Times New Roman" w:hAnsi="Times New Roman"/>
          <w:lang w:val="en-US"/>
        </w:rPr>
        <w:t>EtOH</w:t>
      </w:r>
      <w:proofErr w:type="spellEnd"/>
      <w:r w:rsidRPr="00460106">
        <w:rPr>
          <w:rFonts w:ascii="Times New Roman" w:hAnsi="Times New Roman"/>
          <w:lang w:val="en-US"/>
        </w:rPr>
        <w:t xml:space="preserve"> vs HSB-AIN93G + </w:t>
      </w:r>
      <w:proofErr w:type="spellStart"/>
      <w:r w:rsidRPr="00460106">
        <w:rPr>
          <w:rFonts w:ascii="Times New Roman" w:hAnsi="Times New Roman"/>
          <w:lang w:val="en-US"/>
        </w:rPr>
        <w:t>EtOH</w:t>
      </w:r>
      <w:proofErr w:type="spellEnd"/>
      <w:r w:rsidRPr="00460106">
        <w:rPr>
          <w:rFonts w:ascii="Times New Roman" w:hAnsi="Times New Roman"/>
          <w:lang w:val="en-US"/>
        </w:rPr>
        <w:t xml:space="preserve">; week 11: *p &lt; 0.05 for AIN93G + </w:t>
      </w:r>
      <w:proofErr w:type="spellStart"/>
      <w:r w:rsidRPr="00460106">
        <w:rPr>
          <w:rFonts w:ascii="Times New Roman" w:hAnsi="Times New Roman"/>
          <w:lang w:val="en-US"/>
        </w:rPr>
        <w:t>EtOH</w:t>
      </w:r>
      <w:proofErr w:type="spellEnd"/>
      <w:r w:rsidRPr="00460106">
        <w:rPr>
          <w:rFonts w:ascii="Times New Roman" w:hAnsi="Times New Roman"/>
          <w:lang w:val="en-US"/>
        </w:rPr>
        <w:t xml:space="preserve"> vs HSB-AIN93G + </w:t>
      </w:r>
      <w:proofErr w:type="spellStart"/>
      <w:r w:rsidRPr="00460106">
        <w:rPr>
          <w:rFonts w:ascii="Times New Roman" w:hAnsi="Times New Roman"/>
          <w:lang w:val="en-US"/>
        </w:rPr>
        <w:t>EtOH</w:t>
      </w:r>
      <w:proofErr w:type="spellEnd"/>
      <w:r w:rsidRPr="00460106">
        <w:rPr>
          <w:rFonts w:ascii="Times New Roman" w:hAnsi="Times New Roman"/>
          <w:lang w:val="en-US"/>
        </w:rPr>
        <w:t xml:space="preserve">; week 12: *p &lt; 0.05 for AIN93G + </w:t>
      </w:r>
      <w:proofErr w:type="spellStart"/>
      <w:r w:rsidRPr="00460106">
        <w:rPr>
          <w:rFonts w:ascii="Times New Roman" w:hAnsi="Times New Roman"/>
          <w:lang w:val="en-US"/>
        </w:rPr>
        <w:t>EtOH</w:t>
      </w:r>
      <w:proofErr w:type="spellEnd"/>
      <w:r w:rsidRPr="00460106">
        <w:rPr>
          <w:rFonts w:ascii="Times New Roman" w:hAnsi="Times New Roman"/>
          <w:lang w:val="en-US"/>
        </w:rPr>
        <w:t xml:space="preserve"> vs HSB + </w:t>
      </w:r>
      <w:proofErr w:type="spellStart"/>
      <w:r w:rsidRPr="00460106">
        <w:rPr>
          <w:rFonts w:ascii="Times New Roman" w:hAnsi="Times New Roman"/>
          <w:lang w:val="en-US"/>
        </w:rPr>
        <w:t>EtOH</w:t>
      </w:r>
      <w:proofErr w:type="spellEnd"/>
      <w:r w:rsidRPr="00460106">
        <w:rPr>
          <w:rFonts w:ascii="Times New Roman" w:hAnsi="Times New Roman"/>
          <w:lang w:val="en-US"/>
        </w:rPr>
        <w:t xml:space="preserve">. In (C), *p &lt; 0.05 for AIN93G vs HSB. In (D), week 9: *p &lt; 0.05 for AIN93G + H2O and AIN93G + </w:t>
      </w:r>
      <w:proofErr w:type="spellStart"/>
      <w:r w:rsidRPr="00460106">
        <w:rPr>
          <w:rFonts w:ascii="Times New Roman" w:hAnsi="Times New Roman"/>
          <w:lang w:val="en-US"/>
        </w:rPr>
        <w:t>EtOH</w:t>
      </w:r>
      <w:proofErr w:type="spellEnd"/>
      <w:r w:rsidRPr="00460106">
        <w:rPr>
          <w:rFonts w:ascii="Times New Roman" w:hAnsi="Times New Roman"/>
          <w:lang w:val="en-US"/>
        </w:rPr>
        <w:t xml:space="preserve"> vs HSB + H2O, HSB + </w:t>
      </w:r>
      <w:proofErr w:type="spellStart"/>
      <w:r w:rsidRPr="00460106">
        <w:rPr>
          <w:rFonts w:ascii="Times New Roman" w:hAnsi="Times New Roman"/>
          <w:lang w:val="en-US"/>
        </w:rPr>
        <w:t>EtOH</w:t>
      </w:r>
      <w:proofErr w:type="spellEnd"/>
      <w:r w:rsidRPr="00460106">
        <w:rPr>
          <w:rFonts w:ascii="Times New Roman" w:hAnsi="Times New Roman"/>
          <w:lang w:val="en-US"/>
        </w:rPr>
        <w:t xml:space="preserve">, HSB-AIN93G + H2O, and HSB-AIN93G + </w:t>
      </w:r>
      <w:proofErr w:type="spellStart"/>
      <w:r w:rsidRPr="00460106">
        <w:rPr>
          <w:rFonts w:ascii="Times New Roman" w:hAnsi="Times New Roman"/>
          <w:lang w:val="en-US"/>
        </w:rPr>
        <w:t>EtOH</w:t>
      </w:r>
      <w:proofErr w:type="spellEnd"/>
      <w:r w:rsidRPr="00460106">
        <w:rPr>
          <w:rFonts w:ascii="Times New Roman" w:hAnsi="Times New Roman"/>
          <w:lang w:val="en-US"/>
        </w:rPr>
        <w:t xml:space="preserve">; week 10: **p &lt; 0.05 for HSB + </w:t>
      </w:r>
      <w:proofErr w:type="spellStart"/>
      <w:r w:rsidRPr="00460106">
        <w:rPr>
          <w:rFonts w:ascii="Times New Roman" w:hAnsi="Times New Roman"/>
          <w:lang w:val="en-US"/>
        </w:rPr>
        <w:t>EtOH</w:t>
      </w:r>
      <w:proofErr w:type="spellEnd"/>
      <w:r w:rsidRPr="00460106">
        <w:rPr>
          <w:rFonts w:ascii="Times New Roman" w:hAnsi="Times New Roman"/>
          <w:lang w:val="en-US"/>
        </w:rPr>
        <w:t xml:space="preserve"> and HSB-AIN93G + </w:t>
      </w:r>
      <w:proofErr w:type="spellStart"/>
      <w:r w:rsidRPr="00460106">
        <w:rPr>
          <w:rFonts w:ascii="Times New Roman" w:hAnsi="Times New Roman"/>
          <w:lang w:val="en-US"/>
        </w:rPr>
        <w:t>EtOH</w:t>
      </w:r>
      <w:proofErr w:type="spellEnd"/>
      <w:r w:rsidRPr="00460106">
        <w:rPr>
          <w:rFonts w:ascii="Times New Roman" w:hAnsi="Times New Roman"/>
          <w:lang w:val="en-US"/>
        </w:rPr>
        <w:t xml:space="preserve"> vs AIN93G + </w:t>
      </w:r>
      <w:proofErr w:type="spellStart"/>
      <w:r w:rsidRPr="00460106">
        <w:rPr>
          <w:rFonts w:ascii="Times New Roman" w:hAnsi="Times New Roman"/>
          <w:lang w:val="en-US"/>
        </w:rPr>
        <w:t>EtOH</w:t>
      </w:r>
      <w:proofErr w:type="spellEnd"/>
      <w:r w:rsidRPr="00460106">
        <w:rPr>
          <w:rFonts w:ascii="Times New Roman" w:hAnsi="Times New Roman"/>
          <w:lang w:val="en-US"/>
        </w:rPr>
        <w:t xml:space="preserve">; and for HSB-AIN93G + H2O vs HSB + H2O; week 11: ***p &lt; 0.05 for HSB-AIN93G + </w:t>
      </w:r>
      <w:proofErr w:type="spellStart"/>
      <w:r w:rsidRPr="00460106">
        <w:rPr>
          <w:rFonts w:ascii="Times New Roman" w:hAnsi="Times New Roman"/>
          <w:lang w:val="en-US"/>
        </w:rPr>
        <w:t>EtOH</w:t>
      </w:r>
      <w:proofErr w:type="spellEnd"/>
      <w:r w:rsidRPr="00460106">
        <w:rPr>
          <w:rFonts w:ascii="Times New Roman" w:hAnsi="Times New Roman"/>
          <w:lang w:val="en-US"/>
        </w:rPr>
        <w:t xml:space="preserve"> vs HSB + </w:t>
      </w:r>
      <w:proofErr w:type="spellStart"/>
      <w:r w:rsidRPr="00460106">
        <w:rPr>
          <w:rFonts w:ascii="Times New Roman" w:hAnsi="Times New Roman"/>
          <w:lang w:val="en-US"/>
        </w:rPr>
        <w:t>EtOH</w:t>
      </w:r>
      <w:proofErr w:type="spellEnd"/>
      <w:r w:rsidRPr="00460106">
        <w:rPr>
          <w:rFonts w:ascii="Times New Roman" w:hAnsi="Times New Roman"/>
          <w:lang w:val="en-US"/>
        </w:rPr>
        <w:t xml:space="preserve">; and for AIN93G + </w:t>
      </w:r>
      <w:proofErr w:type="spellStart"/>
      <w:r w:rsidRPr="00460106">
        <w:rPr>
          <w:rFonts w:ascii="Times New Roman" w:hAnsi="Times New Roman"/>
          <w:lang w:val="en-US"/>
        </w:rPr>
        <w:t>EtOH</w:t>
      </w:r>
      <w:proofErr w:type="spellEnd"/>
      <w:r w:rsidRPr="00460106">
        <w:rPr>
          <w:rFonts w:ascii="Times New Roman" w:hAnsi="Times New Roman"/>
          <w:lang w:val="en-US"/>
        </w:rPr>
        <w:t xml:space="preserve"> vs HSB-AIN93G + H2O. Two-way repeated measures ANOVA followed by Tukey </w:t>
      </w:r>
      <w:r w:rsidRPr="00460106">
        <w:rPr>
          <w:rFonts w:ascii="Times New Roman" w:hAnsi="Times New Roman"/>
          <w:i/>
          <w:lang w:val="en-US"/>
        </w:rPr>
        <w:t>post hoc</w:t>
      </w:r>
      <w:r w:rsidRPr="00460106">
        <w:rPr>
          <w:rFonts w:ascii="Times New Roman" w:hAnsi="Times New Roman"/>
          <w:lang w:val="en-US"/>
        </w:rPr>
        <w:t xml:space="preserve"> test were used to determine statistically significant differences between the groups. Results are expressed as mean ± SEM. </w:t>
      </w:r>
      <w:r w:rsidRPr="00460106">
        <w:rPr>
          <w:rFonts w:ascii="Times New Roman" w:hAnsi="Times New Roman"/>
          <w:bCs/>
          <w:sz w:val="20"/>
          <w:szCs w:val="36"/>
          <w:lang w:val="en-US"/>
        </w:rPr>
        <w:t xml:space="preserve">The amount of </w:t>
      </w:r>
      <w:r w:rsidRPr="00460106">
        <w:rPr>
          <w:rFonts w:ascii="Times New Roman" w:hAnsi="Times New Roman"/>
          <w:bCs/>
          <w:sz w:val="20"/>
          <w:szCs w:val="36"/>
          <w:lang w:val="en-US"/>
        </w:rPr>
        <w:lastRenderedPageBreak/>
        <w:t xml:space="preserve">food ingested (in grams) was calculated by weighting the food pellets. Kilocalories intake was measured by calculating the average weekly food consumption (in grams), multiplying by the caloric value of each diet (AIN93G: 1g = 4kcal; HSB: 1g = 5kcal), and dividing by the mouse’s body weight (kg) obtained at the beginning of that experimental week (Wednesday). </w:t>
      </w:r>
      <w:bookmarkStart w:id="1" w:name="_Hlk505257263"/>
      <w:r w:rsidRPr="00460106">
        <w:rPr>
          <w:rFonts w:ascii="Times New Roman" w:hAnsi="Times New Roman"/>
          <w:bCs/>
          <w:sz w:val="20"/>
          <w:szCs w:val="36"/>
          <w:lang w:val="en-US"/>
        </w:rPr>
        <w:t>The graphs show the kilocalories ingested through the consumption of food only. Kilocalories ingested through the consumption of alcohol were not taken into account, since no evidence of a caloric deficit was found in our model.</w:t>
      </w:r>
    </w:p>
    <w:bookmarkEnd w:id="1"/>
    <w:p w:rsidR="009D6B3F" w:rsidRDefault="009D6B3F"/>
    <w:sectPr w:rsidR="009D6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053"/>
    <w:rsid w:val="00710053"/>
    <w:rsid w:val="009D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859B0-F137-4901-9CEE-2CDDCFB1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053"/>
    <w:rPr>
      <w:rFonts w:ascii="Calibri" w:eastAsia="Calibri" w:hAnsi="Calibri" w:cs="Times New Roman"/>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Sinha</dc:creator>
  <cp:keywords/>
  <dc:description/>
  <cp:lastModifiedBy>Tanya Sinha</cp:lastModifiedBy>
  <cp:revision>1</cp:revision>
  <dcterms:created xsi:type="dcterms:W3CDTF">2019-01-21T06:09:00Z</dcterms:created>
  <dcterms:modified xsi:type="dcterms:W3CDTF">2019-01-21T06:12:00Z</dcterms:modified>
</cp:coreProperties>
</file>