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B4E4F" w14:textId="21AFFAC6" w:rsidR="003070E0" w:rsidRPr="00DD2912" w:rsidRDefault="003070E0" w:rsidP="00B06805">
      <w:pPr>
        <w:jc w:val="center"/>
        <w:rPr>
          <w:rFonts w:ascii="Times New Roman" w:hAnsi="Times New Roman" w:cs="Times New Roman"/>
          <w:b/>
          <w:sz w:val="24"/>
        </w:rPr>
      </w:pPr>
      <w:r w:rsidRPr="00DD2912">
        <w:rPr>
          <w:rFonts w:ascii="Times New Roman" w:hAnsi="Times New Roman" w:cs="Times New Roman"/>
          <w:b/>
          <w:sz w:val="24"/>
        </w:rPr>
        <w:t>S1</w:t>
      </w:r>
      <w:r w:rsidR="00B217FF">
        <w:rPr>
          <w:rFonts w:ascii="Times New Roman" w:hAnsi="Times New Roman" w:cs="Times New Roman"/>
          <w:b/>
          <w:sz w:val="24"/>
        </w:rPr>
        <w:t xml:space="preserve"> Supporting Information</w:t>
      </w:r>
    </w:p>
    <w:p w14:paraId="3AE7ECD7" w14:textId="58F4C67F" w:rsidR="00FA12A3" w:rsidRDefault="00CE2D1C" w:rsidP="00524B57">
      <w:pPr>
        <w:rPr>
          <w:rFonts w:ascii="Times New Roman" w:hAnsi="Times New Roman" w:cs="Times New Roman"/>
          <w:sz w:val="24"/>
        </w:rPr>
      </w:pPr>
      <w:r w:rsidRPr="00DD2912">
        <w:rPr>
          <w:rFonts w:ascii="Times New Roman" w:hAnsi="Times New Roman" w:cs="Times New Roman"/>
          <w:sz w:val="24"/>
        </w:rPr>
        <w:t xml:space="preserve">In response to the </w:t>
      </w:r>
      <w:r w:rsidR="00EB6DB1" w:rsidRPr="00DD2912">
        <w:rPr>
          <w:rFonts w:ascii="Times New Roman" w:hAnsi="Times New Roman" w:cs="Times New Roman"/>
          <w:sz w:val="24"/>
        </w:rPr>
        <w:t xml:space="preserve">unexpected </w:t>
      </w:r>
      <w:r w:rsidRPr="00DD2912">
        <w:rPr>
          <w:rFonts w:ascii="Times New Roman" w:hAnsi="Times New Roman" w:cs="Times New Roman"/>
          <w:sz w:val="24"/>
        </w:rPr>
        <w:t xml:space="preserve">increase in total pellet offered for SBE60 cows in </w:t>
      </w:r>
      <w:proofErr w:type="spellStart"/>
      <w:r w:rsidRPr="00DD2912">
        <w:rPr>
          <w:rFonts w:ascii="Times New Roman" w:hAnsi="Times New Roman" w:cs="Times New Roman"/>
          <w:sz w:val="24"/>
        </w:rPr>
        <w:t>wk</w:t>
      </w:r>
      <w:proofErr w:type="spellEnd"/>
      <w:r w:rsidRPr="00DD2912">
        <w:rPr>
          <w:rFonts w:ascii="Times New Roman" w:hAnsi="Times New Roman" w:cs="Times New Roman"/>
          <w:sz w:val="24"/>
        </w:rPr>
        <w:t xml:space="preserve"> 2 and 3</w:t>
      </w:r>
      <w:r w:rsidR="004B09D6">
        <w:rPr>
          <w:rFonts w:ascii="Times New Roman" w:hAnsi="Times New Roman" w:cs="Times New Roman"/>
          <w:sz w:val="24"/>
        </w:rPr>
        <w:t xml:space="preserve"> </w:t>
      </w:r>
      <w:r w:rsidR="00B06805">
        <w:rPr>
          <w:rFonts w:ascii="Times New Roman" w:hAnsi="Times New Roman" w:cs="Times New Roman"/>
          <w:sz w:val="24"/>
        </w:rPr>
        <w:br/>
      </w:r>
      <w:r w:rsidR="006423AA">
        <w:rPr>
          <w:rFonts w:ascii="Times New Roman" w:hAnsi="Times New Roman" w:cs="Times New Roman"/>
          <w:sz w:val="24"/>
        </w:rPr>
        <w:t>(S1 Fig</w:t>
      </w:r>
      <w:r w:rsidR="004B09D6">
        <w:rPr>
          <w:rFonts w:ascii="Times New Roman" w:hAnsi="Times New Roman" w:cs="Times New Roman"/>
          <w:sz w:val="24"/>
        </w:rPr>
        <w:t>)</w:t>
      </w:r>
      <w:r w:rsidRPr="00DD2912">
        <w:rPr>
          <w:rFonts w:ascii="Times New Roman" w:hAnsi="Times New Roman" w:cs="Times New Roman"/>
          <w:sz w:val="24"/>
        </w:rPr>
        <w:t>, a more thorough investigation of the total pellet allocat</w:t>
      </w:r>
      <w:r w:rsidR="00ED173F">
        <w:rPr>
          <w:rFonts w:ascii="Times New Roman" w:hAnsi="Times New Roman" w:cs="Times New Roman"/>
          <w:sz w:val="24"/>
        </w:rPr>
        <w:t xml:space="preserve">ion </w:t>
      </w:r>
      <w:r w:rsidRPr="00DD2912">
        <w:rPr>
          <w:rFonts w:ascii="Times New Roman" w:hAnsi="Times New Roman" w:cs="Times New Roman"/>
          <w:sz w:val="24"/>
        </w:rPr>
        <w:t>was conducted</w:t>
      </w:r>
      <w:r w:rsidR="00ED173F">
        <w:rPr>
          <w:rFonts w:ascii="Times New Roman" w:hAnsi="Times New Roman" w:cs="Times New Roman"/>
          <w:sz w:val="24"/>
        </w:rPr>
        <w:t>. Pellet offered</w:t>
      </w:r>
      <w:r w:rsidRPr="00DD2912">
        <w:rPr>
          <w:rFonts w:ascii="Times New Roman" w:hAnsi="Times New Roman" w:cs="Times New Roman"/>
          <w:sz w:val="24"/>
        </w:rPr>
        <w:t xml:space="preserve"> on an individual cow basis by day appeared to be </w:t>
      </w:r>
      <w:r w:rsidR="00B06805">
        <w:rPr>
          <w:rFonts w:ascii="Times New Roman" w:hAnsi="Times New Roman" w:cs="Times New Roman"/>
          <w:sz w:val="24"/>
        </w:rPr>
        <w:t>increased for</w:t>
      </w:r>
      <w:r w:rsidR="00ED173F">
        <w:rPr>
          <w:rFonts w:ascii="Times New Roman" w:hAnsi="Times New Roman" w:cs="Times New Roman"/>
          <w:sz w:val="24"/>
        </w:rPr>
        <w:t xml:space="preserve"> SBE60 cow</w:t>
      </w:r>
      <w:r w:rsidR="00595C3C">
        <w:rPr>
          <w:rFonts w:ascii="Times New Roman" w:hAnsi="Times New Roman" w:cs="Times New Roman"/>
          <w:sz w:val="24"/>
        </w:rPr>
        <w:t>s</w:t>
      </w:r>
      <w:r w:rsidR="00ED173F">
        <w:rPr>
          <w:rFonts w:ascii="Times New Roman" w:hAnsi="Times New Roman" w:cs="Times New Roman"/>
          <w:sz w:val="24"/>
        </w:rPr>
        <w:t xml:space="preserve">, </w:t>
      </w:r>
      <w:r w:rsidR="00B06805">
        <w:rPr>
          <w:rFonts w:ascii="Times New Roman" w:hAnsi="Times New Roman" w:cs="Times New Roman"/>
          <w:sz w:val="24"/>
        </w:rPr>
        <w:t xml:space="preserve">but </w:t>
      </w:r>
      <w:r w:rsidR="00ED173F">
        <w:rPr>
          <w:rFonts w:ascii="Times New Roman" w:hAnsi="Times New Roman" w:cs="Times New Roman"/>
          <w:sz w:val="24"/>
        </w:rPr>
        <w:t>only</w:t>
      </w:r>
      <w:r w:rsidR="00524B57">
        <w:rPr>
          <w:rFonts w:ascii="Times New Roman" w:hAnsi="Times New Roman" w:cs="Times New Roman"/>
          <w:sz w:val="24"/>
        </w:rPr>
        <w:t xml:space="preserve"> for cows calving</w:t>
      </w:r>
      <w:r w:rsidR="00ED173F">
        <w:rPr>
          <w:rFonts w:ascii="Times New Roman" w:hAnsi="Times New Roman" w:cs="Times New Roman"/>
          <w:sz w:val="24"/>
        </w:rPr>
        <w:t xml:space="preserve"> </w:t>
      </w:r>
      <w:r w:rsidR="002F0EA9">
        <w:rPr>
          <w:rFonts w:ascii="Times New Roman" w:hAnsi="Times New Roman" w:cs="Times New Roman"/>
          <w:sz w:val="24"/>
        </w:rPr>
        <w:t>prior to 4/6/16</w:t>
      </w:r>
      <w:r w:rsidR="00524B57">
        <w:rPr>
          <w:rFonts w:ascii="Times New Roman" w:hAnsi="Times New Roman" w:cs="Times New Roman"/>
          <w:sz w:val="24"/>
        </w:rPr>
        <w:t xml:space="preserve">. Therefore, cows were clustered in 2 cohorts, those calving 2/23/16 to 4/5/16 (cohort 1) and those calving 4/6/16 to 5/23/16 (cohort 2). As shown in </w:t>
      </w:r>
      <w:r w:rsidR="00595C3C">
        <w:rPr>
          <w:rFonts w:ascii="Times New Roman" w:hAnsi="Times New Roman" w:cs="Times New Roman"/>
          <w:sz w:val="24"/>
        </w:rPr>
        <w:t>S1</w:t>
      </w:r>
      <w:r w:rsidR="006423AA">
        <w:rPr>
          <w:rFonts w:ascii="Times New Roman" w:hAnsi="Times New Roman" w:cs="Times New Roman"/>
          <w:sz w:val="24"/>
        </w:rPr>
        <w:t xml:space="preserve"> Fig</w:t>
      </w:r>
      <w:r w:rsidR="00524B57">
        <w:rPr>
          <w:rFonts w:ascii="Times New Roman" w:hAnsi="Times New Roman" w:cs="Times New Roman"/>
          <w:sz w:val="24"/>
        </w:rPr>
        <w:t xml:space="preserve">, cohort 1 </w:t>
      </w:r>
      <w:r w:rsidR="00B21933">
        <w:rPr>
          <w:rFonts w:ascii="Times New Roman" w:hAnsi="Times New Roman" w:cs="Times New Roman"/>
          <w:sz w:val="24"/>
        </w:rPr>
        <w:t>cows on SBE60 received additional pelleted feed, particularly for cows being milked more frequently</w:t>
      </w:r>
      <w:r w:rsidRPr="00DD2912">
        <w:rPr>
          <w:rFonts w:ascii="Times New Roman" w:hAnsi="Times New Roman" w:cs="Times New Roman"/>
          <w:sz w:val="24"/>
        </w:rPr>
        <w:t>.</w:t>
      </w:r>
      <w:r w:rsidR="00595C3C">
        <w:rPr>
          <w:rFonts w:ascii="Times New Roman" w:hAnsi="Times New Roman" w:cs="Times New Roman"/>
          <w:sz w:val="24"/>
        </w:rPr>
        <w:t xml:space="preserve"> In contrast, Con and SBE5 cows showed a steady increase in pellet offered</w:t>
      </w:r>
      <w:r w:rsidR="00B21933">
        <w:rPr>
          <w:rFonts w:ascii="Times New Roman" w:hAnsi="Times New Roman" w:cs="Times New Roman"/>
          <w:sz w:val="24"/>
        </w:rPr>
        <w:t xml:space="preserve"> across days</w:t>
      </w:r>
      <w:r w:rsidR="00595C3C">
        <w:rPr>
          <w:rFonts w:ascii="Times New Roman" w:hAnsi="Times New Roman" w:cs="Times New Roman"/>
          <w:sz w:val="24"/>
        </w:rPr>
        <w:t>, which did not depend on milking frequency, as the feed table was designed</w:t>
      </w:r>
      <w:r w:rsidR="006E13D1" w:rsidRPr="00DD2912">
        <w:rPr>
          <w:rFonts w:ascii="Times New Roman" w:hAnsi="Times New Roman" w:cs="Times New Roman"/>
          <w:sz w:val="24"/>
        </w:rPr>
        <w:t>.</w:t>
      </w:r>
      <w:r w:rsidR="004B09D6">
        <w:rPr>
          <w:rFonts w:ascii="Times New Roman" w:hAnsi="Times New Roman" w:cs="Times New Roman"/>
          <w:sz w:val="24"/>
        </w:rPr>
        <w:t xml:space="preserve"> In cohort 2, all treatment</w:t>
      </w:r>
      <w:r w:rsidR="00B06805">
        <w:rPr>
          <w:rFonts w:ascii="Times New Roman" w:hAnsi="Times New Roman" w:cs="Times New Roman"/>
          <w:sz w:val="24"/>
        </w:rPr>
        <w:t>s</w:t>
      </w:r>
      <w:r w:rsidR="004B09D6">
        <w:rPr>
          <w:rFonts w:ascii="Times New Roman" w:hAnsi="Times New Roman" w:cs="Times New Roman"/>
          <w:sz w:val="24"/>
        </w:rPr>
        <w:t xml:space="preserve"> received the expected steady increase in pellet allocation, with no evident bias.</w:t>
      </w:r>
      <w:r w:rsidR="006E13D1" w:rsidRPr="00DD2912">
        <w:rPr>
          <w:rFonts w:ascii="Times New Roman" w:hAnsi="Times New Roman" w:cs="Times New Roman"/>
          <w:sz w:val="24"/>
        </w:rPr>
        <w:t xml:space="preserve"> </w:t>
      </w:r>
      <w:r w:rsidR="00802F20">
        <w:rPr>
          <w:rFonts w:ascii="Times New Roman" w:hAnsi="Times New Roman" w:cs="Times New Roman"/>
          <w:sz w:val="24"/>
        </w:rPr>
        <w:br/>
      </w:r>
    </w:p>
    <w:p w14:paraId="6E75C888" w14:textId="78B3D334" w:rsidR="00FA12A3" w:rsidRDefault="00FA225E">
      <w:pPr>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14:anchorId="23D0BCB6" wp14:editId="1157BE91">
            <wp:simplePos x="0" y="0"/>
            <wp:positionH relativeFrom="column">
              <wp:posOffset>477520</wp:posOffset>
            </wp:positionH>
            <wp:positionV relativeFrom="paragraph">
              <wp:posOffset>608965</wp:posOffset>
            </wp:positionV>
            <wp:extent cx="5497830" cy="5327015"/>
            <wp:effectExtent l="0" t="0" r="7620"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U Scut Manuscript PlosOne SupplMat Fig1.tiff"/>
                    <pic:cNvPicPr/>
                  </pic:nvPicPr>
                  <pic:blipFill rotWithShape="1">
                    <a:blip r:embed="rId5" cstate="print">
                      <a:extLst>
                        <a:ext uri="{28A0092B-C50C-407E-A947-70E740481C1C}">
                          <a14:useLocalDpi xmlns:a14="http://schemas.microsoft.com/office/drawing/2010/main" val="0"/>
                        </a:ext>
                      </a:extLst>
                    </a:blip>
                    <a:srcRect t="2152" b="2714"/>
                    <a:stretch/>
                  </pic:blipFill>
                  <pic:spPr bwMode="auto">
                    <a:xfrm>
                      <a:off x="0" y="0"/>
                      <a:ext cx="5497830" cy="5327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23AA">
        <w:rPr>
          <w:rFonts w:ascii="Times New Roman" w:hAnsi="Times New Roman" w:cs="Times New Roman"/>
          <w:b/>
        </w:rPr>
        <w:t>S1 Fig</w:t>
      </w:r>
      <w:r w:rsidR="007140AA" w:rsidRPr="00212522">
        <w:rPr>
          <w:rFonts w:ascii="Times New Roman" w:hAnsi="Times New Roman" w:cs="Times New Roman"/>
          <w:b/>
        </w:rPr>
        <w:t>. Total pellet</w:t>
      </w:r>
      <w:r w:rsidR="00FA12A3" w:rsidRPr="00212522">
        <w:rPr>
          <w:rFonts w:ascii="Times New Roman" w:hAnsi="Times New Roman" w:cs="Times New Roman"/>
          <w:b/>
        </w:rPr>
        <w:t xml:space="preserve"> </w:t>
      </w:r>
      <w:r w:rsidR="00ED173F" w:rsidRPr="00212522">
        <w:rPr>
          <w:rFonts w:ascii="Times New Roman" w:hAnsi="Times New Roman" w:cs="Times New Roman"/>
          <w:b/>
        </w:rPr>
        <w:t>offered</w:t>
      </w:r>
      <w:r w:rsidR="00FA12A3" w:rsidRPr="00212522">
        <w:rPr>
          <w:rFonts w:ascii="Times New Roman" w:hAnsi="Times New Roman" w:cs="Times New Roman"/>
          <w:b/>
        </w:rPr>
        <w:t xml:space="preserve"> from 17-21 DIM </w:t>
      </w:r>
      <w:r w:rsidR="00DD2912" w:rsidRPr="00212522">
        <w:rPr>
          <w:rFonts w:ascii="Times New Roman" w:hAnsi="Times New Roman" w:cs="Times New Roman"/>
          <w:b/>
        </w:rPr>
        <w:t>by milking frequency and treatment group</w:t>
      </w:r>
      <w:r w:rsidR="00595C3C" w:rsidRPr="00212522">
        <w:rPr>
          <w:rFonts w:ascii="Times New Roman" w:hAnsi="Times New Roman" w:cs="Times New Roman"/>
          <w:b/>
        </w:rPr>
        <w:t xml:space="preserve"> </w:t>
      </w:r>
      <w:r w:rsidR="003A6949" w:rsidRPr="00212522">
        <w:rPr>
          <w:rFonts w:ascii="Times New Roman" w:hAnsi="Times New Roman" w:cs="Times New Roman"/>
          <w:b/>
        </w:rPr>
        <w:t>for (A)</w:t>
      </w:r>
      <w:r w:rsidR="00524B57" w:rsidRPr="00212522">
        <w:rPr>
          <w:rFonts w:ascii="Times New Roman" w:hAnsi="Times New Roman" w:cs="Times New Roman"/>
          <w:b/>
        </w:rPr>
        <w:t xml:space="preserve"> cohort 1</w:t>
      </w:r>
      <w:r w:rsidR="003A6949" w:rsidRPr="00212522">
        <w:rPr>
          <w:rFonts w:ascii="Times New Roman" w:hAnsi="Times New Roman" w:cs="Times New Roman"/>
          <w:b/>
        </w:rPr>
        <w:t xml:space="preserve"> and (B) cohort 2</w:t>
      </w:r>
      <w:r w:rsidR="00524B57" w:rsidRPr="00212522">
        <w:rPr>
          <w:rFonts w:ascii="Times New Roman" w:hAnsi="Times New Roman" w:cs="Times New Roman"/>
          <w:b/>
        </w:rPr>
        <w:t xml:space="preserve">. </w:t>
      </w:r>
      <w:r w:rsidR="00524B57" w:rsidRPr="00212522">
        <w:rPr>
          <w:rFonts w:ascii="Times New Roman" w:hAnsi="Times New Roman" w:cs="Times New Roman"/>
        </w:rPr>
        <w:t xml:space="preserve">Mean pellet offered is shown for cows grouped by number of </w:t>
      </w:r>
      <w:proofErr w:type="spellStart"/>
      <w:r w:rsidR="00524B57" w:rsidRPr="00212522">
        <w:rPr>
          <w:rFonts w:ascii="Times New Roman" w:hAnsi="Times New Roman" w:cs="Times New Roman"/>
        </w:rPr>
        <w:t>milkings</w:t>
      </w:r>
      <w:proofErr w:type="spellEnd"/>
      <w:r w:rsidR="00524B57" w:rsidRPr="00212522">
        <w:rPr>
          <w:rFonts w:ascii="Times New Roman" w:hAnsi="Times New Roman" w:cs="Times New Roman"/>
        </w:rPr>
        <w:t xml:space="preserve"> for the day </w:t>
      </w:r>
      <w:r w:rsidR="00656156" w:rsidRPr="00212522">
        <w:rPr>
          <w:rFonts w:ascii="Times New Roman" w:hAnsi="Times New Roman" w:cs="Times New Roman"/>
        </w:rPr>
        <w:t>in question, by treatment.</w:t>
      </w:r>
    </w:p>
    <w:p w14:paraId="280221E4" w14:textId="175FF533" w:rsidR="00B21933" w:rsidRDefault="00B21933">
      <w:pPr>
        <w:rPr>
          <w:rFonts w:ascii="Times New Roman" w:hAnsi="Times New Roman" w:cs="Times New Roman"/>
          <w:sz w:val="24"/>
        </w:rPr>
      </w:pPr>
      <w:r>
        <w:rPr>
          <w:rFonts w:ascii="Times New Roman" w:hAnsi="Times New Roman" w:cs="Times New Roman"/>
          <w:sz w:val="24"/>
        </w:rPr>
        <w:lastRenderedPageBreak/>
        <w:t>Unfortunately, the T4C software (Lely) controlling this system does not log settings or changes to settings over time. However, the feed table employed for the study differed from the general herd feed table. It appears likely that the SBE60 group was erroneously assigned to the herd settings for feed adjustment</w:t>
      </w:r>
      <w:r w:rsidR="00FA225E">
        <w:rPr>
          <w:rFonts w:ascii="Times New Roman" w:hAnsi="Times New Roman" w:cs="Times New Roman"/>
          <w:sz w:val="24"/>
        </w:rPr>
        <w:t xml:space="preserve"> during cohort 1</w:t>
      </w:r>
      <w:r>
        <w:rPr>
          <w:rFonts w:ascii="Times New Roman" w:hAnsi="Times New Roman" w:cs="Times New Roman"/>
          <w:sz w:val="24"/>
        </w:rPr>
        <w:t>, rather than the study setting; this only required a radio button toggle. A</w:t>
      </w:r>
      <w:r w:rsidRPr="00DD2912">
        <w:rPr>
          <w:rFonts w:ascii="Times New Roman" w:hAnsi="Times New Roman" w:cs="Times New Roman"/>
          <w:sz w:val="24"/>
        </w:rPr>
        <w:t>pproximately half</w:t>
      </w:r>
      <w:r>
        <w:rPr>
          <w:rFonts w:ascii="Times New Roman" w:hAnsi="Times New Roman" w:cs="Times New Roman"/>
          <w:sz w:val="24"/>
        </w:rPr>
        <w:t>-</w:t>
      </w:r>
      <w:r w:rsidRPr="00DD2912">
        <w:rPr>
          <w:rFonts w:ascii="Times New Roman" w:hAnsi="Times New Roman" w:cs="Times New Roman"/>
          <w:sz w:val="24"/>
        </w:rPr>
        <w:t>way through the</w:t>
      </w:r>
      <w:r>
        <w:rPr>
          <w:rFonts w:ascii="Times New Roman" w:hAnsi="Times New Roman" w:cs="Times New Roman"/>
          <w:sz w:val="24"/>
        </w:rPr>
        <w:t xml:space="preserve"> study, this</w:t>
      </w:r>
      <w:r w:rsidRPr="00DD2912">
        <w:rPr>
          <w:rFonts w:ascii="Times New Roman" w:hAnsi="Times New Roman" w:cs="Times New Roman"/>
          <w:sz w:val="24"/>
        </w:rPr>
        <w:t xml:space="preserve"> setting </w:t>
      </w:r>
      <w:r w:rsidR="00FA225E">
        <w:rPr>
          <w:rFonts w:ascii="Times New Roman" w:hAnsi="Times New Roman" w:cs="Times New Roman"/>
          <w:sz w:val="24"/>
        </w:rPr>
        <w:t xml:space="preserve">was apparently </w:t>
      </w:r>
      <w:r w:rsidRPr="00DD2912">
        <w:rPr>
          <w:rFonts w:ascii="Times New Roman" w:hAnsi="Times New Roman" w:cs="Times New Roman"/>
          <w:sz w:val="24"/>
        </w:rPr>
        <w:t>corrected</w:t>
      </w:r>
      <w:r w:rsidR="00FA225E">
        <w:rPr>
          <w:rFonts w:ascii="Times New Roman" w:hAnsi="Times New Roman" w:cs="Times New Roman"/>
          <w:sz w:val="24"/>
        </w:rPr>
        <w:t xml:space="preserve"> (</w:t>
      </w:r>
      <w:r w:rsidR="00B06805">
        <w:rPr>
          <w:rFonts w:ascii="Times New Roman" w:hAnsi="Times New Roman" w:cs="Times New Roman"/>
          <w:sz w:val="24"/>
        </w:rPr>
        <w:t>cohort 2)</w:t>
      </w:r>
      <w:r w:rsidRPr="00DD2912">
        <w:rPr>
          <w:rFonts w:ascii="Times New Roman" w:hAnsi="Times New Roman" w:cs="Times New Roman"/>
          <w:sz w:val="24"/>
        </w:rPr>
        <w:t>.</w:t>
      </w:r>
      <w:bookmarkStart w:id="0" w:name="_GoBack"/>
      <w:bookmarkEnd w:id="0"/>
    </w:p>
    <w:p w14:paraId="74DAE14C" w14:textId="21E3EE95" w:rsidR="007C5C5D" w:rsidRDefault="007C5C5D">
      <w:pPr>
        <w:rPr>
          <w:rFonts w:ascii="Times New Roman" w:hAnsi="Times New Roman" w:cs="Times New Roman"/>
          <w:sz w:val="24"/>
        </w:rPr>
      </w:pPr>
      <w:r>
        <w:rPr>
          <w:rFonts w:ascii="Times New Roman" w:hAnsi="Times New Roman" w:cs="Times New Roman"/>
          <w:sz w:val="24"/>
        </w:rPr>
        <w:t>Considering</w:t>
      </w:r>
      <w:r w:rsidR="003A6949">
        <w:rPr>
          <w:rFonts w:ascii="Times New Roman" w:hAnsi="Times New Roman" w:cs="Times New Roman"/>
          <w:sz w:val="24"/>
        </w:rPr>
        <w:t xml:space="preserve"> the short-term differences in pellet allocation for SBE60, we were concerned about potential bias in</w:t>
      </w:r>
      <w:r w:rsidR="00B06805">
        <w:rPr>
          <w:rFonts w:ascii="Times New Roman" w:hAnsi="Times New Roman" w:cs="Times New Roman"/>
          <w:sz w:val="24"/>
        </w:rPr>
        <w:t xml:space="preserve"> dependent variables</w:t>
      </w:r>
      <w:r w:rsidR="003A6949">
        <w:rPr>
          <w:rFonts w:ascii="Times New Roman" w:hAnsi="Times New Roman" w:cs="Times New Roman"/>
          <w:sz w:val="24"/>
        </w:rPr>
        <w:t xml:space="preserve">. Fortunately, the time-specific nature of the problem allowed us to empirically look for evidence of bias in our key outcomes. For whole-lactation milk yield, we re-assessed the data using the full model described in the main </w:t>
      </w:r>
      <w:r>
        <w:rPr>
          <w:rFonts w:ascii="Times New Roman" w:hAnsi="Times New Roman" w:cs="Times New Roman"/>
          <w:sz w:val="24"/>
        </w:rPr>
        <w:t>text but</w:t>
      </w:r>
      <w:r w:rsidR="003A6949">
        <w:rPr>
          <w:rFonts w:ascii="Times New Roman" w:hAnsi="Times New Roman" w:cs="Times New Roman"/>
          <w:sz w:val="24"/>
        </w:rPr>
        <w:t xml:space="preserve"> add</w:t>
      </w:r>
      <w:r>
        <w:rPr>
          <w:rFonts w:ascii="Times New Roman" w:hAnsi="Times New Roman" w:cs="Times New Roman"/>
          <w:sz w:val="24"/>
        </w:rPr>
        <w:t>ed</w:t>
      </w:r>
      <w:r w:rsidR="003A6949">
        <w:rPr>
          <w:rFonts w:ascii="Times New Roman" w:hAnsi="Times New Roman" w:cs="Times New Roman"/>
          <w:sz w:val="24"/>
        </w:rPr>
        <w:t xml:space="preserve"> cohort and cohort</w:t>
      </w:r>
      <w:r>
        <w:rPr>
          <w:rFonts w:ascii="Times New Roman" w:hAnsi="Times New Roman" w:cs="Times New Roman"/>
          <w:sz w:val="24"/>
        </w:rPr>
        <w:t xml:space="preserve"> ×</w:t>
      </w:r>
      <w:r w:rsidR="003A6949">
        <w:rPr>
          <w:rFonts w:ascii="Times New Roman" w:hAnsi="Times New Roman" w:cs="Times New Roman"/>
          <w:sz w:val="24"/>
        </w:rPr>
        <w:t xml:space="preserve"> treatment interaction</w:t>
      </w:r>
      <w:r>
        <w:rPr>
          <w:rFonts w:ascii="Times New Roman" w:hAnsi="Times New Roman" w:cs="Times New Roman"/>
          <w:sz w:val="24"/>
        </w:rPr>
        <w:t xml:space="preserve"> terms to the model</w:t>
      </w:r>
      <w:r w:rsidR="003A6949">
        <w:rPr>
          <w:rFonts w:ascii="Times New Roman" w:hAnsi="Times New Roman" w:cs="Times New Roman"/>
          <w:sz w:val="24"/>
        </w:rPr>
        <w:t xml:space="preserve">. </w:t>
      </w:r>
    </w:p>
    <w:p w14:paraId="0C0206AA" w14:textId="2B943E9F" w:rsidR="00FA12A3" w:rsidRPr="00BB2E87" w:rsidRDefault="003A6949">
      <w:pPr>
        <w:rPr>
          <w:rFonts w:ascii="Times New Roman" w:hAnsi="Times New Roman" w:cs="Times New Roman"/>
          <w:sz w:val="24"/>
        </w:rPr>
      </w:pPr>
      <w:r>
        <w:rPr>
          <w:rFonts w:ascii="Times New Roman" w:hAnsi="Times New Roman" w:cs="Times New Roman"/>
          <w:sz w:val="24"/>
        </w:rPr>
        <w:t>If the short-term increased allocation of pellet to SBE60 cows in cohort 1 explained the increase in whole-</w:t>
      </w:r>
      <w:r w:rsidR="007C5C5D">
        <w:rPr>
          <w:rFonts w:ascii="Times New Roman" w:hAnsi="Times New Roman" w:cs="Times New Roman"/>
          <w:sz w:val="24"/>
        </w:rPr>
        <w:t>lactation milk yield, we would have expected a significant cohort × treatment interaction, reflecting an increase in milk yield for SBE60 only in cohort 1. However, t</w:t>
      </w:r>
      <w:r w:rsidR="00BB2E87" w:rsidRPr="00BB2E87">
        <w:rPr>
          <w:rFonts w:ascii="Times New Roman" w:hAnsi="Times New Roman" w:cs="Times New Roman"/>
          <w:sz w:val="24"/>
        </w:rPr>
        <w:t xml:space="preserve">here was no </w:t>
      </w:r>
      <w:r w:rsidR="007C5C5D">
        <w:rPr>
          <w:rFonts w:ascii="Times New Roman" w:hAnsi="Times New Roman" w:cs="Times New Roman"/>
          <w:sz w:val="24"/>
        </w:rPr>
        <w:t xml:space="preserve">evidence of cohort or </w:t>
      </w:r>
      <w:r w:rsidR="00BB2E87" w:rsidRPr="00BB2E87">
        <w:rPr>
          <w:rFonts w:ascii="Times New Roman" w:hAnsi="Times New Roman" w:cs="Times New Roman"/>
          <w:sz w:val="24"/>
        </w:rPr>
        <w:t>cohort</w:t>
      </w:r>
      <w:r w:rsidR="007C5C5D">
        <w:rPr>
          <w:rFonts w:ascii="Times New Roman" w:hAnsi="Times New Roman" w:cs="Times New Roman"/>
          <w:sz w:val="24"/>
        </w:rPr>
        <w:t xml:space="preserve"> × t</w:t>
      </w:r>
      <w:r w:rsidR="007140AA">
        <w:rPr>
          <w:rFonts w:ascii="Times New Roman" w:hAnsi="Times New Roman" w:cs="Times New Roman"/>
          <w:sz w:val="24"/>
        </w:rPr>
        <w:t xml:space="preserve">reatment </w:t>
      </w:r>
      <w:r w:rsidR="007C5C5D">
        <w:rPr>
          <w:rFonts w:ascii="Times New Roman" w:hAnsi="Times New Roman" w:cs="Times New Roman"/>
          <w:sz w:val="24"/>
        </w:rPr>
        <w:t>effects in this analysis</w:t>
      </w:r>
      <w:r w:rsidR="006423AA">
        <w:rPr>
          <w:rFonts w:ascii="Times New Roman" w:hAnsi="Times New Roman" w:cs="Times New Roman"/>
          <w:sz w:val="24"/>
        </w:rPr>
        <w:t xml:space="preserve"> (</w:t>
      </w:r>
      <w:r w:rsidR="007C5C5D">
        <w:rPr>
          <w:rFonts w:ascii="Times New Roman" w:hAnsi="Times New Roman" w:cs="Times New Roman"/>
          <w:sz w:val="24"/>
        </w:rPr>
        <w:t>S</w:t>
      </w:r>
      <w:r w:rsidR="007140AA">
        <w:rPr>
          <w:rFonts w:ascii="Times New Roman" w:hAnsi="Times New Roman" w:cs="Times New Roman"/>
          <w:sz w:val="24"/>
        </w:rPr>
        <w:t>2</w:t>
      </w:r>
      <w:r w:rsidR="006423AA">
        <w:rPr>
          <w:rFonts w:ascii="Times New Roman" w:hAnsi="Times New Roman" w:cs="Times New Roman"/>
          <w:sz w:val="24"/>
        </w:rPr>
        <w:t xml:space="preserve"> Fig</w:t>
      </w:r>
      <w:r w:rsidR="00BB2E87">
        <w:rPr>
          <w:rFonts w:ascii="Times New Roman" w:hAnsi="Times New Roman" w:cs="Times New Roman"/>
          <w:sz w:val="24"/>
        </w:rPr>
        <w:t>).</w:t>
      </w:r>
      <w:r w:rsidR="007C5C5D">
        <w:rPr>
          <w:rFonts w:ascii="Times New Roman" w:hAnsi="Times New Roman" w:cs="Times New Roman"/>
          <w:sz w:val="24"/>
        </w:rPr>
        <w:t xml:space="preserve"> The model accounting for this unplanned treatment variable revealed a significant effect of SBE60 on whole-lactation milk yield, consistent with the results analyzed without a cohort effect.</w:t>
      </w:r>
      <w:r w:rsidR="00BB2E87">
        <w:rPr>
          <w:rFonts w:ascii="Times New Roman" w:hAnsi="Times New Roman" w:cs="Times New Roman"/>
          <w:sz w:val="24"/>
        </w:rPr>
        <w:t xml:space="preserve"> Thus</w:t>
      </w:r>
      <w:r w:rsidR="007C5C5D">
        <w:rPr>
          <w:rFonts w:ascii="Times New Roman" w:hAnsi="Times New Roman" w:cs="Times New Roman"/>
          <w:sz w:val="24"/>
        </w:rPr>
        <w:t>,</w:t>
      </w:r>
      <w:r w:rsidR="00BB2E87">
        <w:rPr>
          <w:rFonts w:ascii="Times New Roman" w:hAnsi="Times New Roman" w:cs="Times New Roman"/>
          <w:sz w:val="24"/>
        </w:rPr>
        <w:t xml:space="preserve"> we are confident th</w:t>
      </w:r>
      <w:r w:rsidR="007C5C5D">
        <w:rPr>
          <w:rFonts w:ascii="Times New Roman" w:hAnsi="Times New Roman" w:cs="Times New Roman"/>
          <w:sz w:val="24"/>
        </w:rPr>
        <w:t>at</w:t>
      </w:r>
      <w:r w:rsidR="00BB2E87">
        <w:rPr>
          <w:rFonts w:ascii="Times New Roman" w:hAnsi="Times New Roman" w:cs="Times New Roman"/>
          <w:sz w:val="24"/>
        </w:rPr>
        <w:t xml:space="preserve"> treatment effect</w:t>
      </w:r>
      <w:r w:rsidR="00D01A13">
        <w:rPr>
          <w:rFonts w:ascii="Times New Roman" w:hAnsi="Times New Roman" w:cs="Times New Roman"/>
          <w:sz w:val="24"/>
        </w:rPr>
        <w:t>s</w:t>
      </w:r>
      <w:r w:rsidR="00BB2E87">
        <w:rPr>
          <w:rFonts w:ascii="Times New Roman" w:hAnsi="Times New Roman" w:cs="Times New Roman"/>
          <w:sz w:val="24"/>
        </w:rPr>
        <w:t xml:space="preserve"> of </w:t>
      </w:r>
      <w:r w:rsidR="00D01A13">
        <w:rPr>
          <w:rFonts w:ascii="Times New Roman" w:hAnsi="Times New Roman" w:cs="Times New Roman"/>
          <w:sz w:val="24"/>
        </w:rPr>
        <w:t xml:space="preserve">SBE60 on </w:t>
      </w:r>
      <w:r w:rsidR="00BB2E87">
        <w:rPr>
          <w:rFonts w:ascii="Times New Roman" w:hAnsi="Times New Roman" w:cs="Times New Roman"/>
          <w:sz w:val="24"/>
        </w:rPr>
        <w:t xml:space="preserve">305-d milk yield </w:t>
      </w:r>
      <w:r w:rsidR="00D01A13">
        <w:rPr>
          <w:rFonts w:ascii="Times New Roman" w:hAnsi="Times New Roman" w:cs="Times New Roman"/>
          <w:sz w:val="24"/>
        </w:rPr>
        <w:t>are not primarily attributable to the altered feeding scheme for some cows on this treatment</w:t>
      </w:r>
      <w:r w:rsidR="00BB2E87">
        <w:rPr>
          <w:rFonts w:ascii="Times New Roman" w:hAnsi="Times New Roman" w:cs="Times New Roman"/>
          <w:sz w:val="24"/>
        </w:rPr>
        <w:t>.</w:t>
      </w:r>
      <w:r w:rsidR="00802F20">
        <w:rPr>
          <w:rFonts w:ascii="Times New Roman" w:hAnsi="Times New Roman" w:cs="Times New Roman"/>
          <w:sz w:val="24"/>
        </w:rPr>
        <w:br/>
      </w:r>
    </w:p>
    <w:p w14:paraId="44C66A85" w14:textId="0C9A39AC" w:rsidR="00272FF0" w:rsidRPr="00513FD3" w:rsidRDefault="007C5C5D">
      <w:pPr>
        <w:rPr>
          <w:rFonts w:ascii="Times New Roman" w:hAnsi="Times New Roman" w:cs="Times New Roman"/>
          <w:sz w:val="24"/>
        </w:rPr>
      </w:pPr>
      <w:r w:rsidRPr="00513FD3">
        <w:rPr>
          <w:rFonts w:ascii="Times New Roman" w:hAnsi="Times New Roman" w:cs="Times New Roman"/>
          <w:b/>
          <w:sz w:val="24"/>
        </w:rPr>
        <w:t>S</w:t>
      </w:r>
      <w:r w:rsidR="007140AA" w:rsidRPr="00513FD3">
        <w:rPr>
          <w:rFonts w:ascii="Times New Roman" w:hAnsi="Times New Roman" w:cs="Times New Roman"/>
          <w:b/>
          <w:sz w:val="24"/>
        </w:rPr>
        <w:t>2</w:t>
      </w:r>
      <w:r w:rsidR="006423AA">
        <w:rPr>
          <w:rFonts w:ascii="Times New Roman" w:hAnsi="Times New Roman" w:cs="Times New Roman"/>
          <w:b/>
          <w:sz w:val="24"/>
        </w:rPr>
        <w:t xml:space="preserve"> Fig</w:t>
      </w:r>
      <w:r w:rsidR="0031034E" w:rsidRPr="00513FD3">
        <w:rPr>
          <w:rFonts w:ascii="Times New Roman" w:hAnsi="Times New Roman" w:cs="Times New Roman"/>
          <w:b/>
          <w:sz w:val="24"/>
        </w:rPr>
        <w:t xml:space="preserve">. </w:t>
      </w:r>
      <w:r w:rsidR="00D01A13" w:rsidRPr="00513FD3">
        <w:rPr>
          <w:rFonts w:ascii="Times New Roman" w:hAnsi="Times New Roman" w:cs="Times New Roman"/>
          <w:b/>
          <w:sz w:val="24"/>
        </w:rPr>
        <w:t>Whole-</w:t>
      </w:r>
      <w:r w:rsidR="006163F5" w:rsidRPr="00513FD3">
        <w:rPr>
          <w:rFonts w:ascii="Times New Roman" w:hAnsi="Times New Roman" w:cs="Times New Roman"/>
          <w:b/>
          <w:sz w:val="24"/>
        </w:rPr>
        <w:t xml:space="preserve">lactation (305-d) milk yields for treatments in cohorts 1 and 2. </w:t>
      </w:r>
      <w:r w:rsidR="00802F20" w:rsidRPr="00513FD3">
        <w:rPr>
          <w:rFonts w:ascii="Times New Roman" w:hAnsi="Times New Roman" w:cs="Times New Roman"/>
          <w:sz w:val="24"/>
        </w:rPr>
        <w:t>Enrolled cows were divided into cohorts 1 (during the pellet allocation problem) and 2 (after the problem was resolved)</w:t>
      </w:r>
      <w:r w:rsidR="0031034E" w:rsidRPr="00513FD3">
        <w:rPr>
          <w:rFonts w:ascii="Times New Roman" w:hAnsi="Times New Roman" w:cs="Times New Roman"/>
          <w:sz w:val="24"/>
        </w:rPr>
        <w:t>.</w:t>
      </w:r>
      <w:r w:rsidR="00931789" w:rsidRPr="00513FD3">
        <w:rPr>
          <w:rFonts w:ascii="Times New Roman" w:hAnsi="Times New Roman" w:cs="Times New Roman"/>
          <w:sz w:val="24"/>
        </w:rPr>
        <w:t xml:space="preserve"> </w:t>
      </w:r>
      <w:r w:rsidR="00802F20" w:rsidRPr="00513FD3">
        <w:rPr>
          <w:rFonts w:ascii="Times New Roman" w:hAnsi="Times New Roman" w:cs="Times New Roman"/>
          <w:sz w:val="24"/>
        </w:rPr>
        <w:t>Mean milk yield across 305 d was not influenced by</w:t>
      </w:r>
      <w:r w:rsidR="00931789" w:rsidRPr="00513FD3">
        <w:rPr>
          <w:rFonts w:ascii="Times New Roman" w:hAnsi="Times New Roman" w:cs="Times New Roman"/>
          <w:sz w:val="24"/>
        </w:rPr>
        <w:t xml:space="preserve"> cohort (</w:t>
      </w:r>
      <w:r w:rsidR="00931789" w:rsidRPr="00513FD3">
        <w:rPr>
          <w:rFonts w:ascii="Times New Roman" w:hAnsi="Times New Roman" w:cs="Times New Roman"/>
          <w:i/>
          <w:sz w:val="24"/>
        </w:rPr>
        <w:t>P</w:t>
      </w:r>
      <w:r w:rsidR="00931789" w:rsidRPr="00513FD3">
        <w:rPr>
          <w:rFonts w:ascii="Times New Roman" w:hAnsi="Times New Roman" w:cs="Times New Roman"/>
          <w:sz w:val="24"/>
        </w:rPr>
        <w:t xml:space="preserve"> = 0.73) or cohort</w:t>
      </w:r>
      <w:r w:rsidR="00802F20" w:rsidRPr="00513FD3">
        <w:rPr>
          <w:rFonts w:ascii="Times New Roman" w:hAnsi="Times New Roman" w:cs="Times New Roman"/>
          <w:sz w:val="24"/>
        </w:rPr>
        <w:t xml:space="preserve"> × </w:t>
      </w:r>
      <w:r w:rsidR="00931789" w:rsidRPr="00513FD3">
        <w:rPr>
          <w:rFonts w:ascii="Times New Roman" w:hAnsi="Times New Roman" w:cs="Times New Roman"/>
          <w:sz w:val="24"/>
        </w:rPr>
        <w:t>t</w:t>
      </w:r>
      <w:r w:rsidR="00802F20" w:rsidRPr="00513FD3">
        <w:rPr>
          <w:rFonts w:ascii="Times New Roman" w:hAnsi="Times New Roman" w:cs="Times New Roman"/>
          <w:sz w:val="24"/>
        </w:rPr>
        <w:t>reatment</w:t>
      </w:r>
      <w:r w:rsidR="00931789" w:rsidRPr="00513FD3">
        <w:rPr>
          <w:rFonts w:ascii="Times New Roman" w:hAnsi="Times New Roman" w:cs="Times New Roman"/>
          <w:sz w:val="24"/>
        </w:rPr>
        <w:t xml:space="preserve"> interaction (</w:t>
      </w:r>
      <w:r w:rsidR="00931789" w:rsidRPr="00513FD3">
        <w:rPr>
          <w:rFonts w:ascii="Times New Roman" w:hAnsi="Times New Roman" w:cs="Times New Roman"/>
          <w:i/>
          <w:sz w:val="24"/>
        </w:rPr>
        <w:t>P</w:t>
      </w:r>
      <w:r w:rsidR="00931789" w:rsidRPr="00513FD3">
        <w:rPr>
          <w:rFonts w:ascii="Times New Roman" w:hAnsi="Times New Roman" w:cs="Times New Roman"/>
          <w:sz w:val="24"/>
        </w:rPr>
        <w:t xml:space="preserve"> = 0.62).</w:t>
      </w:r>
      <w:r w:rsidR="00802F20" w:rsidRPr="00513FD3">
        <w:rPr>
          <w:rFonts w:ascii="Times New Roman" w:hAnsi="Times New Roman" w:cs="Times New Roman"/>
          <w:sz w:val="24"/>
        </w:rPr>
        <w:t xml:space="preserve"> </w:t>
      </w:r>
      <w:r w:rsidR="00FA225E">
        <w:rPr>
          <w:rFonts w:ascii="Times New Roman" w:hAnsi="Times New Roman" w:cs="Times New Roman"/>
          <w:sz w:val="24"/>
        </w:rPr>
        <w:t>*</w:t>
      </w:r>
      <w:r w:rsidR="00802F20" w:rsidRPr="00513FD3">
        <w:rPr>
          <w:rFonts w:ascii="Times New Roman" w:hAnsi="Times New Roman" w:cs="Times New Roman"/>
          <w:sz w:val="24"/>
        </w:rPr>
        <w:t>SBE60 differed from Con (</w:t>
      </w:r>
      <w:r w:rsidR="00802F20" w:rsidRPr="00513FD3">
        <w:rPr>
          <w:rFonts w:ascii="Times New Roman" w:hAnsi="Times New Roman" w:cs="Times New Roman"/>
          <w:i/>
          <w:sz w:val="24"/>
        </w:rPr>
        <w:t>P</w:t>
      </w:r>
      <w:r w:rsidR="00802F20" w:rsidRPr="00513FD3">
        <w:rPr>
          <w:rFonts w:ascii="Times New Roman" w:hAnsi="Times New Roman" w:cs="Times New Roman"/>
          <w:sz w:val="24"/>
        </w:rPr>
        <w:t xml:space="preserve"> = 0.03), whereas SBE5 did not differ from Con (</w:t>
      </w:r>
      <w:r w:rsidR="00802F20" w:rsidRPr="00513FD3">
        <w:rPr>
          <w:rFonts w:ascii="Times New Roman" w:hAnsi="Times New Roman" w:cs="Times New Roman"/>
          <w:i/>
          <w:sz w:val="24"/>
        </w:rPr>
        <w:t>P</w:t>
      </w:r>
      <w:r w:rsidR="00802F20" w:rsidRPr="00513FD3">
        <w:rPr>
          <w:rFonts w:ascii="Times New Roman" w:hAnsi="Times New Roman" w:cs="Times New Roman"/>
          <w:sz w:val="24"/>
        </w:rPr>
        <w:t xml:space="preserve"> = 0.54); treatment × week interaction was also significant (</w:t>
      </w:r>
      <w:r w:rsidR="00802F20" w:rsidRPr="00513FD3">
        <w:rPr>
          <w:rFonts w:ascii="Times New Roman" w:hAnsi="Times New Roman" w:cs="Times New Roman"/>
          <w:i/>
          <w:sz w:val="24"/>
        </w:rPr>
        <w:t>P</w:t>
      </w:r>
      <w:r w:rsidR="00802F20" w:rsidRPr="00513FD3">
        <w:rPr>
          <w:rFonts w:ascii="Times New Roman" w:hAnsi="Times New Roman" w:cs="Times New Roman"/>
          <w:sz w:val="24"/>
        </w:rPr>
        <w:t xml:space="preserve"> = 0.02). Values are LS means ± SEM, </w:t>
      </w:r>
      <w:r w:rsidR="00802F20" w:rsidRPr="00513FD3">
        <w:rPr>
          <w:rFonts w:ascii="Times New Roman" w:hAnsi="Times New Roman" w:cs="Times New Roman"/>
          <w:i/>
          <w:sz w:val="24"/>
        </w:rPr>
        <w:t>n</w:t>
      </w:r>
      <w:r w:rsidR="00802F20" w:rsidRPr="00513FD3">
        <w:rPr>
          <w:rFonts w:ascii="Times New Roman" w:hAnsi="Times New Roman" w:cs="Times New Roman"/>
          <w:sz w:val="24"/>
        </w:rPr>
        <w:t xml:space="preserve"> = 17 – 24.</w:t>
      </w:r>
    </w:p>
    <w:p w14:paraId="0AF14417" w14:textId="77777777" w:rsidR="00701343" w:rsidRDefault="00701343" w:rsidP="00D01A13">
      <w:pPr>
        <w:jc w:val="center"/>
      </w:pPr>
      <w:r>
        <w:rPr>
          <w:noProof/>
        </w:rPr>
        <w:drawing>
          <wp:inline distT="0" distB="0" distL="0" distR="0" wp14:anchorId="0C8087EE" wp14:editId="482D6758">
            <wp:extent cx="5160818" cy="2860964"/>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70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F7434"/>
    <w:multiLevelType w:val="hybridMultilevel"/>
    <w:tmpl w:val="E6CEE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57"/>
    <w:rsid w:val="001971E6"/>
    <w:rsid w:val="001F0F00"/>
    <w:rsid w:val="00212522"/>
    <w:rsid w:val="00226E6F"/>
    <w:rsid w:val="00272FF0"/>
    <w:rsid w:val="002A4EEF"/>
    <w:rsid w:val="002D4F0A"/>
    <w:rsid w:val="002F0EA9"/>
    <w:rsid w:val="003070E0"/>
    <w:rsid w:val="0031034E"/>
    <w:rsid w:val="00321BD0"/>
    <w:rsid w:val="003927A5"/>
    <w:rsid w:val="003A6949"/>
    <w:rsid w:val="003D6AD2"/>
    <w:rsid w:val="003F7A62"/>
    <w:rsid w:val="0045274D"/>
    <w:rsid w:val="004B09D6"/>
    <w:rsid w:val="004D69E5"/>
    <w:rsid w:val="00513FD3"/>
    <w:rsid w:val="00524B57"/>
    <w:rsid w:val="00595C3C"/>
    <w:rsid w:val="005E00BA"/>
    <w:rsid w:val="006163F5"/>
    <w:rsid w:val="006423AA"/>
    <w:rsid w:val="00656156"/>
    <w:rsid w:val="006E13D1"/>
    <w:rsid w:val="006F47F0"/>
    <w:rsid w:val="00701343"/>
    <w:rsid w:val="007140AA"/>
    <w:rsid w:val="00760FB3"/>
    <w:rsid w:val="007C358C"/>
    <w:rsid w:val="007C5C5D"/>
    <w:rsid w:val="00802F20"/>
    <w:rsid w:val="00810E92"/>
    <w:rsid w:val="008D456D"/>
    <w:rsid w:val="00931789"/>
    <w:rsid w:val="00971457"/>
    <w:rsid w:val="009E3B87"/>
    <w:rsid w:val="00A60679"/>
    <w:rsid w:val="00B06805"/>
    <w:rsid w:val="00B217FF"/>
    <w:rsid w:val="00B21933"/>
    <w:rsid w:val="00B9187E"/>
    <w:rsid w:val="00BB2E87"/>
    <w:rsid w:val="00BE6E32"/>
    <w:rsid w:val="00C234D3"/>
    <w:rsid w:val="00CC594C"/>
    <w:rsid w:val="00CD461F"/>
    <w:rsid w:val="00CE2D1C"/>
    <w:rsid w:val="00D01A13"/>
    <w:rsid w:val="00DD2912"/>
    <w:rsid w:val="00EB6DB1"/>
    <w:rsid w:val="00ED173F"/>
    <w:rsid w:val="00FA0B57"/>
    <w:rsid w:val="00FA12A3"/>
    <w:rsid w:val="00FA225E"/>
    <w:rsid w:val="00FC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75C4"/>
  <w15:chartTrackingRefBased/>
  <w15:docId w15:val="{973F81C9-1020-4428-B1E3-A5333453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58C"/>
    <w:rPr>
      <w:sz w:val="16"/>
      <w:szCs w:val="16"/>
    </w:rPr>
  </w:style>
  <w:style w:type="paragraph" w:styleId="CommentText">
    <w:name w:val="annotation text"/>
    <w:basedOn w:val="Normal"/>
    <w:link w:val="CommentTextChar"/>
    <w:uiPriority w:val="99"/>
    <w:semiHidden/>
    <w:unhideWhenUsed/>
    <w:rsid w:val="007C358C"/>
    <w:pPr>
      <w:spacing w:line="240" w:lineRule="auto"/>
    </w:pPr>
    <w:rPr>
      <w:sz w:val="20"/>
      <w:szCs w:val="20"/>
    </w:rPr>
  </w:style>
  <w:style w:type="character" w:customStyle="1" w:styleId="CommentTextChar">
    <w:name w:val="Comment Text Char"/>
    <w:basedOn w:val="DefaultParagraphFont"/>
    <w:link w:val="CommentText"/>
    <w:uiPriority w:val="99"/>
    <w:semiHidden/>
    <w:rsid w:val="007C358C"/>
    <w:rPr>
      <w:sz w:val="20"/>
      <w:szCs w:val="20"/>
    </w:rPr>
  </w:style>
  <w:style w:type="paragraph" w:styleId="CommentSubject">
    <w:name w:val="annotation subject"/>
    <w:basedOn w:val="CommentText"/>
    <w:next w:val="CommentText"/>
    <w:link w:val="CommentSubjectChar"/>
    <w:uiPriority w:val="99"/>
    <w:semiHidden/>
    <w:unhideWhenUsed/>
    <w:rsid w:val="007C358C"/>
    <w:rPr>
      <w:b/>
      <w:bCs/>
    </w:rPr>
  </w:style>
  <w:style w:type="character" w:customStyle="1" w:styleId="CommentSubjectChar">
    <w:name w:val="Comment Subject Char"/>
    <w:basedOn w:val="CommentTextChar"/>
    <w:link w:val="CommentSubject"/>
    <w:uiPriority w:val="99"/>
    <w:semiHidden/>
    <w:rsid w:val="007C358C"/>
    <w:rPr>
      <w:b/>
      <w:bCs/>
      <w:sz w:val="20"/>
      <w:szCs w:val="20"/>
    </w:rPr>
  </w:style>
  <w:style w:type="paragraph" w:styleId="BalloonText">
    <w:name w:val="Balloon Text"/>
    <w:basedOn w:val="Normal"/>
    <w:link w:val="BalloonTextChar"/>
    <w:uiPriority w:val="99"/>
    <w:semiHidden/>
    <w:unhideWhenUsed/>
    <w:rsid w:val="007C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8C"/>
    <w:rPr>
      <w:rFonts w:ascii="Segoe UI" w:hAnsi="Segoe UI" w:cs="Segoe UI"/>
      <w:sz w:val="18"/>
      <w:szCs w:val="18"/>
    </w:rPr>
  </w:style>
  <w:style w:type="paragraph" w:styleId="NormalWeb">
    <w:name w:val="Normal (Web)"/>
    <w:basedOn w:val="Normal"/>
    <w:uiPriority w:val="99"/>
    <w:semiHidden/>
    <w:unhideWhenUsed/>
    <w:rsid w:val="003D6AD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tiff"/><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Cohort 1</c:v>
                </c:pt>
              </c:strCache>
            </c:strRef>
          </c:tx>
          <c:spPr>
            <a:solidFill>
              <a:schemeClr val="bg1"/>
            </a:solidFill>
            <a:ln w="25400">
              <a:solidFill>
                <a:schemeClr val="tx1"/>
              </a:solidFill>
            </a:ln>
            <a:effectLst/>
          </c:spPr>
          <c:invertIfNegative val="0"/>
          <c:errBars>
            <c:errBarType val="both"/>
            <c:errValType val="cust"/>
            <c:noEndCap val="0"/>
            <c:plus>
              <c:numRef>
                <c:f>Sheet1!$F$2:$F$4</c:f>
                <c:numCache>
                  <c:formatCode>General</c:formatCode>
                  <c:ptCount val="3"/>
                  <c:pt idx="0">
                    <c:v>2.61</c:v>
                  </c:pt>
                  <c:pt idx="1">
                    <c:v>2.72</c:v>
                  </c:pt>
                  <c:pt idx="2">
                    <c:v>2.5099999999999998</c:v>
                  </c:pt>
                </c:numCache>
              </c:numRef>
            </c:plus>
            <c:minus>
              <c:numRef>
                <c:f>Sheet1!$F$2:$F$4</c:f>
                <c:numCache>
                  <c:formatCode>General</c:formatCode>
                  <c:ptCount val="3"/>
                  <c:pt idx="0">
                    <c:v>2.61</c:v>
                  </c:pt>
                  <c:pt idx="1">
                    <c:v>2.72</c:v>
                  </c:pt>
                  <c:pt idx="2">
                    <c:v>2.5099999999999998</c:v>
                  </c:pt>
                </c:numCache>
              </c:numRef>
            </c:minus>
            <c:spPr>
              <a:noFill/>
              <a:ln w="9525" cap="flat" cmpd="sng" algn="ctr">
                <a:solidFill>
                  <a:schemeClr val="tx1">
                    <a:lumMod val="65000"/>
                    <a:lumOff val="35000"/>
                  </a:schemeClr>
                </a:solidFill>
                <a:round/>
              </a:ln>
              <a:effectLst/>
            </c:spPr>
          </c:errBars>
          <c:cat>
            <c:strRef>
              <c:f>Sheet1!$A$2:$A$4</c:f>
              <c:strCache>
                <c:ptCount val="3"/>
                <c:pt idx="0">
                  <c:v>Con</c:v>
                </c:pt>
                <c:pt idx="1">
                  <c:v>SBE5</c:v>
                </c:pt>
                <c:pt idx="2">
                  <c:v>SBE60*</c:v>
                </c:pt>
              </c:strCache>
            </c:strRef>
          </c:cat>
          <c:val>
            <c:numRef>
              <c:f>Sheet1!$B$2:$B$4</c:f>
              <c:numCache>
                <c:formatCode>General</c:formatCode>
                <c:ptCount val="3"/>
                <c:pt idx="0">
                  <c:v>34.31</c:v>
                </c:pt>
                <c:pt idx="1">
                  <c:v>36.01</c:v>
                </c:pt>
                <c:pt idx="2">
                  <c:v>40.81</c:v>
                </c:pt>
              </c:numCache>
            </c:numRef>
          </c:val>
          <c:extLst>
            <c:ext xmlns:c16="http://schemas.microsoft.com/office/drawing/2014/chart" uri="{C3380CC4-5D6E-409C-BE32-E72D297353CC}">
              <c16:uniqueId val="{00000000-68C8-44E6-A741-529529738917}"/>
            </c:ext>
          </c:extLst>
        </c:ser>
        <c:ser>
          <c:idx val="1"/>
          <c:order val="1"/>
          <c:tx>
            <c:strRef>
              <c:f>Sheet1!$C$1</c:f>
              <c:strCache>
                <c:ptCount val="1"/>
                <c:pt idx="0">
                  <c:v>Cohort 2</c:v>
                </c:pt>
              </c:strCache>
            </c:strRef>
          </c:tx>
          <c:spPr>
            <a:solidFill>
              <a:schemeClr val="tx1"/>
            </a:solidFill>
            <a:ln>
              <a:noFill/>
            </a:ln>
            <a:effectLst/>
          </c:spPr>
          <c:invertIfNegative val="0"/>
          <c:errBars>
            <c:errBarType val="both"/>
            <c:errValType val="cust"/>
            <c:noEndCap val="0"/>
            <c:plus>
              <c:numRef>
                <c:f>Sheet1!$G$2:$G$4</c:f>
                <c:numCache>
                  <c:formatCode>General</c:formatCode>
                  <c:ptCount val="3"/>
                  <c:pt idx="0">
                    <c:v>2.5099999999999998</c:v>
                  </c:pt>
                  <c:pt idx="1">
                    <c:v>2.4</c:v>
                  </c:pt>
                  <c:pt idx="2">
                    <c:v>2.54</c:v>
                  </c:pt>
                </c:numCache>
              </c:numRef>
            </c:plus>
            <c:minus>
              <c:numRef>
                <c:f>Sheet1!$G$2:$G$4</c:f>
                <c:numCache>
                  <c:formatCode>General</c:formatCode>
                  <c:ptCount val="3"/>
                  <c:pt idx="0">
                    <c:v>2.5099999999999998</c:v>
                  </c:pt>
                  <c:pt idx="1">
                    <c:v>2.4</c:v>
                  </c:pt>
                  <c:pt idx="2">
                    <c:v>2.54</c:v>
                  </c:pt>
                </c:numCache>
              </c:numRef>
            </c:minus>
            <c:spPr>
              <a:noFill/>
              <a:ln w="9525" cap="flat" cmpd="sng" algn="ctr">
                <a:solidFill>
                  <a:schemeClr val="tx1">
                    <a:lumMod val="65000"/>
                    <a:lumOff val="35000"/>
                  </a:schemeClr>
                </a:solidFill>
                <a:round/>
              </a:ln>
              <a:effectLst/>
            </c:spPr>
          </c:errBars>
          <c:cat>
            <c:strRef>
              <c:f>Sheet1!$A$2:$A$4</c:f>
              <c:strCache>
                <c:ptCount val="3"/>
                <c:pt idx="0">
                  <c:v>Con</c:v>
                </c:pt>
                <c:pt idx="1">
                  <c:v>SBE5</c:v>
                </c:pt>
                <c:pt idx="2">
                  <c:v>SBE60*</c:v>
                </c:pt>
              </c:strCache>
            </c:strRef>
          </c:cat>
          <c:val>
            <c:numRef>
              <c:f>Sheet1!$C$2:$C$4</c:f>
              <c:numCache>
                <c:formatCode>General</c:formatCode>
                <c:ptCount val="3"/>
                <c:pt idx="0">
                  <c:v>36.450000000000003</c:v>
                </c:pt>
                <c:pt idx="1">
                  <c:v>37.369999999999997</c:v>
                </c:pt>
                <c:pt idx="2">
                  <c:v>39.08</c:v>
                </c:pt>
              </c:numCache>
            </c:numRef>
          </c:val>
          <c:extLst>
            <c:ext xmlns:c16="http://schemas.microsoft.com/office/drawing/2014/chart" uri="{C3380CC4-5D6E-409C-BE32-E72D297353CC}">
              <c16:uniqueId val="{00000001-68C8-44E6-A741-529529738917}"/>
            </c:ext>
          </c:extLst>
        </c:ser>
        <c:dLbls>
          <c:showLegendKey val="0"/>
          <c:showVal val="0"/>
          <c:showCatName val="0"/>
          <c:showSerName val="0"/>
          <c:showPercent val="0"/>
          <c:showBubbleSize val="0"/>
        </c:dLbls>
        <c:gapWidth val="219"/>
        <c:overlap val="-27"/>
        <c:axId val="539348448"/>
        <c:axId val="539344920"/>
      </c:barChart>
      <c:catAx>
        <c:axId val="5393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9344920"/>
        <c:crosses val="autoZero"/>
        <c:auto val="1"/>
        <c:lblAlgn val="ctr"/>
        <c:lblOffset val="100"/>
        <c:noMultiLvlLbl val="0"/>
      </c:catAx>
      <c:valAx>
        <c:axId val="539344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1" i="0">
                    <a:solidFill>
                      <a:sysClr val="windowText" lastClr="000000"/>
                    </a:solidFill>
                    <a:latin typeface="Times New Roman" panose="02020603050405020304" pitchFamily="18" charset="0"/>
                    <a:cs typeface="Times New Roman" panose="02020603050405020304" pitchFamily="18" charset="0"/>
                  </a:rPr>
                  <a:t>Milk yield, kg/d</a:t>
                </a:r>
              </a:p>
            </c:rich>
          </c:tx>
          <c:layout>
            <c:manualLayout>
              <c:xMode val="edge"/>
              <c:yMode val="edge"/>
              <c:x val="6.9444444444444441E-3"/>
              <c:y val="0.29467566554180724"/>
            </c:manualLayout>
          </c:layout>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934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Olagaray</dc:creator>
  <cp:keywords/>
  <dc:description/>
  <cp:lastModifiedBy>Barry Bradford</cp:lastModifiedBy>
  <cp:revision>2</cp:revision>
  <dcterms:created xsi:type="dcterms:W3CDTF">2019-01-08T21:55:00Z</dcterms:created>
  <dcterms:modified xsi:type="dcterms:W3CDTF">2019-01-08T21:55:00Z</dcterms:modified>
</cp:coreProperties>
</file>