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EA" w:rsidRP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b/>
          <w:color w:val="auto"/>
        </w:rPr>
      </w:pPr>
      <w:r w:rsidRPr="00F937EA">
        <w:rPr>
          <w:rFonts w:hint="eastAsia"/>
          <w:b/>
          <w:color w:val="auto"/>
        </w:rPr>
        <w:t>Additional file 3</w:t>
      </w:r>
    </w:p>
    <w:p w:rsidR="00F937EA" w:rsidRPr="004B731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bCs/>
          <w:color w:val="auto"/>
        </w:rPr>
      </w:pPr>
      <w:r w:rsidRPr="00321C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9pt;margin-top:18.65pt;width:346.25pt;height:266.45pt;z-index:251660288">
            <v:imagedata r:id="rId4" o:title=""/>
            <w10:wrap type="square"/>
          </v:shape>
          <o:OLEObject Type="Embed" ProgID="Photoshop.Image.12" ShapeID="_x0000_s1026" DrawAspect="Content" ObjectID="_1604730710" r:id="rId5">
            <o:FieldCodes>\s</o:FieldCodes>
          </o:OLEObject>
        </w:pict>
      </w:r>
      <w:r w:rsidRPr="004B731A">
        <w:rPr>
          <w:rFonts w:hint="eastAsia"/>
          <w:bCs/>
          <w:color w:val="auto"/>
        </w:rPr>
        <w:t xml:space="preserve"> </w:t>
      </w: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color w:val="auto"/>
        </w:rPr>
      </w:pP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color w:val="auto"/>
        </w:rPr>
      </w:pP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color w:val="auto"/>
        </w:rPr>
      </w:pP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color w:val="auto"/>
        </w:rPr>
      </w:pP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color w:val="auto"/>
        </w:rPr>
      </w:pP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color w:val="auto"/>
        </w:rPr>
      </w:pP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color w:val="auto"/>
        </w:rPr>
      </w:pP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color w:val="auto"/>
        </w:rPr>
      </w:pP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color w:val="auto"/>
        </w:rPr>
      </w:pP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color w:val="auto"/>
        </w:rPr>
      </w:pP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b/>
          <w:color w:val="auto"/>
        </w:rPr>
      </w:pP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b/>
          <w:color w:val="auto"/>
        </w:rPr>
      </w:pPr>
    </w:p>
    <w:p w:rsidR="00F937E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b/>
          <w:color w:val="auto"/>
        </w:rPr>
      </w:pPr>
    </w:p>
    <w:p w:rsidR="00F937EA" w:rsidRPr="004B731A" w:rsidRDefault="00F937EA" w:rsidP="00F937EA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color w:val="auto"/>
        </w:rPr>
      </w:pPr>
      <w:r w:rsidRPr="00E937D2">
        <w:rPr>
          <w:b/>
          <w:color w:val="auto"/>
        </w:rPr>
        <w:t xml:space="preserve">Figure </w:t>
      </w:r>
      <w:r w:rsidRPr="00E937D2">
        <w:rPr>
          <w:rFonts w:hint="eastAsia"/>
          <w:b/>
          <w:color w:val="auto"/>
        </w:rPr>
        <w:t>S</w:t>
      </w:r>
      <w:r w:rsidRPr="00E937D2">
        <w:rPr>
          <w:b/>
          <w:color w:val="auto"/>
        </w:rPr>
        <w:t>3</w:t>
      </w:r>
      <w:r w:rsidRPr="00E937D2">
        <w:rPr>
          <w:rFonts w:hint="eastAsia"/>
          <w:b/>
          <w:color w:val="auto"/>
        </w:rPr>
        <w:t xml:space="preserve">. </w:t>
      </w:r>
      <w:proofErr w:type="gramStart"/>
      <w:r w:rsidRPr="004B731A">
        <w:rPr>
          <w:rFonts w:hint="eastAsia"/>
          <w:b/>
          <w:color w:val="auto"/>
        </w:rPr>
        <w:t>c-</w:t>
      </w:r>
      <w:proofErr w:type="spellStart"/>
      <w:r w:rsidRPr="004B731A">
        <w:rPr>
          <w:rFonts w:hint="eastAsia"/>
          <w:b/>
          <w:color w:val="auto"/>
        </w:rPr>
        <w:t>Src</w:t>
      </w:r>
      <w:proofErr w:type="spellEnd"/>
      <w:proofErr w:type="gramEnd"/>
      <w:r w:rsidRPr="004B731A">
        <w:rPr>
          <w:rFonts w:hint="eastAsia"/>
          <w:b/>
          <w:color w:val="auto"/>
        </w:rPr>
        <w:t xml:space="preserve"> </w:t>
      </w:r>
      <w:proofErr w:type="spellStart"/>
      <w:r w:rsidRPr="004B731A">
        <w:rPr>
          <w:rFonts w:hint="eastAsia"/>
          <w:b/>
          <w:color w:val="auto"/>
        </w:rPr>
        <w:t>phosphorylates</w:t>
      </w:r>
      <w:proofErr w:type="spellEnd"/>
      <w:r w:rsidRPr="004B731A">
        <w:rPr>
          <w:rFonts w:hint="eastAsia"/>
          <w:b/>
          <w:color w:val="auto"/>
        </w:rPr>
        <w:t xml:space="preserve"> DMAP1 at Tyr246 and disrupts Bub3/DMAP1 complex formation.</w:t>
      </w:r>
      <w:r w:rsidRPr="004B731A">
        <w:rPr>
          <w:rFonts w:hint="eastAsia"/>
          <w:color w:val="auto"/>
        </w:rPr>
        <w:t xml:space="preserve"> </w:t>
      </w:r>
      <w:r w:rsidRPr="00E74A04">
        <w:rPr>
          <w:color w:val="auto"/>
        </w:rPr>
        <w:t>(</w:t>
      </w:r>
      <w:r w:rsidRPr="00E74A04">
        <w:rPr>
          <w:rFonts w:hint="eastAsia"/>
          <w:color w:val="auto"/>
        </w:rPr>
        <w:t xml:space="preserve">A) </w:t>
      </w:r>
      <w:r w:rsidRPr="00E74A04">
        <w:rPr>
          <w:color w:val="auto"/>
        </w:rPr>
        <w:t>PANC-1</w:t>
      </w:r>
      <w:r w:rsidRPr="00E74A04">
        <w:rPr>
          <w:rFonts w:hint="eastAsia"/>
          <w:color w:val="auto"/>
        </w:rPr>
        <w:t xml:space="preserve"> expressed with indicated Flag-Bub3 </w:t>
      </w:r>
      <w:r w:rsidRPr="00E74A04">
        <w:rPr>
          <w:bCs/>
          <w:color w:val="auto"/>
        </w:rPr>
        <w:t xml:space="preserve">were synchronized by </w:t>
      </w:r>
      <w:proofErr w:type="spellStart"/>
      <w:r w:rsidRPr="00E74A04">
        <w:rPr>
          <w:bCs/>
          <w:color w:val="auto"/>
        </w:rPr>
        <w:t>thymidine</w:t>
      </w:r>
      <w:proofErr w:type="spellEnd"/>
      <w:r w:rsidRPr="00E74A04">
        <w:rPr>
          <w:bCs/>
          <w:color w:val="auto"/>
        </w:rPr>
        <w:t xml:space="preserve"> double block (2 </w:t>
      </w:r>
      <w:proofErr w:type="spellStart"/>
      <w:r w:rsidRPr="00E74A04">
        <w:rPr>
          <w:bCs/>
          <w:color w:val="auto"/>
        </w:rPr>
        <w:t>mM</w:t>
      </w:r>
      <w:proofErr w:type="spellEnd"/>
      <w:r w:rsidRPr="00E74A04">
        <w:rPr>
          <w:bCs/>
          <w:color w:val="auto"/>
        </w:rPr>
        <w:t xml:space="preserve">) </w:t>
      </w:r>
      <w:r w:rsidRPr="00E74A04">
        <w:rPr>
          <w:rFonts w:hint="eastAsia"/>
          <w:bCs/>
          <w:color w:val="auto"/>
        </w:rPr>
        <w:t xml:space="preserve">and </w:t>
      </w:r>
      <w:r w:rsidRPr="00E74A04">
        <w:rPr>
          <w:bCs/>
          <w:color w:val="auto"/>
        </w:rPr>
        <w:t xml:space="preserve">were released for </w:t>
      </w:r>
      <w:r w:rsidRPr="00E74A04">
        <w:rPr>
          <w:rFonts w:hint="eastAsia"/>
          <w:bCs/>
          <w:color w:val="auto"/>
        </w:rPr>
        <w:t>8</w:t>
      </w:r>
      <w:r w:rsidRPr="00E74A04">
        <w:rPr>
          <w:bCs/>
          <w:color w:val="auto"/>
        </w:rPr>
        <w:t xml:space="preserve"> h, followed by </w:t>
      </w:r>
      <w:proofErr w:type="spellStart"/>
      <w:r w:rsidRPr="00E74A04">
        <w:rPr>
          <w:bCs/>
          <w:color w:val="auto"/>
        </w:rPr>
        <w:t>nocodazole</w:t>
      </w:r>
      <w:proofErr w:type="spellEnd"/>
      <w:r w:rsidRPr="00E74A04">
        <w:rPr>
          <w:bCs/>
          <w:color w:val="auto"/>
        </w:rPr>
        <w:t xml:space="preserve"> (200 </w:t>
      </w:r>
      <w:proofErr w:type="spellStart"/>
      <w:r w:rsidRPr="00E74A04">
        <w:rPr>
          <w:bCs/>
          <w:color w:val="auto"/>
        </w:rPr>
        <w:t>nM</w:t>
      </w:r>
      <w:proofErr w:type="spellEnd"/>
      <w:r w:rsidRPr="00E74A04">
        <w:rPr>
          <w:bCs/>
          <w:color w:val="auto"/>
        </w:rPr>
        <w:t>) treatment for 1</w:t>
      </w:r>
      <w:r w:rsidRPr="00E74A04">
        <w:rPr>
          <w:rFonts w:hint="eastAsia"/>
          <w:bCs/>
          <w:color w:val="auto"/>
        </w:rPr>
        <w:t>6</w:t>
      </w:r>
      <w:r w:rsidRPr="00E74A04">
        <w:rPr>
          <w:bCs/>
          <w:color w:val="auto"/>
        </w:rPr>
        <w:t xml:space="preserve"> h</w:t>
      </w:r>
      <w:r w:rsidRPr="00E74A04">
        <w:rPr>
          <w:rFonts w:hint="eastAsia"/>
          <w:bCs/>
          <w:color w:val="auto"/>
        </w:rPr>
        <w:t xml:space="preserve">. Cells were treated </w:t>
      </w:r>
      <w:r w:rsidRPr="00E74A04">
        <w:rPr>
          <w:bCs/>
          <w:color w:val="auto"/>
        </w:rPr>
        <w:t>with</w:t>
      </w:r>
      <w:r w:rsidRPr="00E74A04">
        <w:rPr>
          <w:rFonts w:hint="eastAsia"/>
          <w:bCs/>
          <w:color w:val="auto"/>
        </w:rPr>
        <w:t xml:space="preserve"> or without </w:t>
      </w:r>
      <w:r w:rsidRPr="00E74A04">
        <w:rPr>
          <w:bCs/>
          <w:color w:val="auto"/>
        </w:rPr>
        <w:t>S</w:t>
      </w:r>
      <w:r w:rsidRPr="00E74A04">
        <w:rPr>
          <w:rFonts w:hint="eastAsia"/>
          <w:bCs/>
          <w:color w:val="auto"/>
        </w:rPr>
        <w:t xml:space="preserve">U6656 (shown as </w:t>
      </w:r>
      <w:r w:rsidRPr="00E74A04">
        <w:rPr>
          <w:bCs/>
          <w:color w:val="auto"/>
        </w:rPr>
        <w:t>‘</w:t>
      </w:r>
      <w:r w:rsidRPr="00E74A04">
        <w:rPr>
          <w:rFonts w:hint="eastAsia"/>
          <w:bCs/>
          <w:color w:val="auto"/>
        </w:rPr>
        <w:t>SU</w:t>
      </w:r>
      <w:r w:rsidRPr="00E74A04">
        <w:rPr>
          <w:bCs/>
          <w:color w:val="auto"/>
        </w:rPr>
        <w:t>’</w:t>
      </w:r>
      <w:r w:rsidRPr="00E74A04">
        <w:rPr>
          <w:rFonts w:hint="eastAsia"/>
          <w:bCs/>
          <w:color w:val="auto"/>
        </w:rPr>
        <w:t>)</w:t>
      </w:r>
      <w:r w:rsidRPr="00E74A04">
        <w:rPr>
          <w:rFonts w:hint="eastAsia"/>
          <w:color w:val="auto"/>
        </w:rPr>
        <w:t xml:space="preserve"> (</w:t>
      </w:r>
      <w:r w:rsidRPr="00E74A04">
        <w:rPr>
          <w:color w:val="auto"/>
        </w:rPr>
        <w:t xml:space="preserve">10 </w:t>
      </w:r>
      <w:r w:rsidRPr="00E74A04">
        <w:rPr>
          <w:rFonts w:ascii="Symbol" w:hAnsi="Symbol"/>
          <w:color w:val="auto"/>
        </w:rPr>
        <w:t></w:t>
      </w:r>
      <w:r w:rsidRPr="00E74A04">
        <w:rPr>
          <w:color w:val="auto"/>
        </w:rPr>
        <w:t>M</w:t>
      </w:r>
      <w:r w:rsidRPr="00E74A04">
        <w:rPr>
          <w:rFonts w:hint="eastAsia"/>
          <w:color w:val="auto"/>
        </w:rPr>
        <w:t xml:space="preserve">) for </w:t>
      </w:r>
      <w:r w:rsidRPr="00E74A04">
        <w:rPr>
          <w:color w:val="auto"/>
        </w:rPr>
        <w:t>1</w:t>
      </w:r>
      <w:r w:rsidRPr="00E74A04">
        <w:rPr>
          <w:rFonts w:hint="eastAsia"/>
          <w:color w:val="auto"/>
        </w:rPr>
        <w:t xml:space="preserve"> h </w:t>
      </w:r>
      <w:r w:rsidRPr="00E74A04">
        <w:rPr>
          <w:rFonts w:hint="eastAsia"/>
          <w:bCs/>
          <w:color w:val="auto"/>
        </w:rPr>
        <w:t xml:space="preserve">post </w:t>
      </w:r>
      <w:proofErr w:type="spellStart"/>
      <w:r w:rsidRPr="00E74A04">
        <w:rPr>
          <w:rFonts w:hint="eastAsia"/>
          <w:bCs/>
          <w:color w:val="auto"/>
        </w:rPr>
        <w:t>nocodazole</w:t>
      </w:r>
      <w:proofErr w:type="spellEnd"/>
      <w:r w:rsidRPr="00E74A04">
        <w:rPr>
          <w:rFonts w:hint="eastAsia"/>
          <w:bCs/>
          <w:color w:val="auto"/>
        </w:rPr>
        <w:t xml:space="preserve"> treatment for 10 h. </w:t>
      </w:r>
      <w:proofErr w:type="spellStart"/>
      <w:r w:rsidRPr="00E74A04">
        <w:rPr>
          <w:rFonts w:hint="eastAsia"/>
          <w:color w:val="auto"/>
        </w:rPr>
        <w:t>I</w:t>
      </w:r>
      <w:r w:rsidRPr="00E74A04">
        <w:rPr>
          <w:color w:val="auto"/>
        </w:rPr>
        <w:t>mmunoblotting</w:t>
      </w:r>
      <w:proofErr w:type="spellEnd"/>
      <w:r w:rsidRPr="00E74A04">
        <w:rPr>
          <w:color w:val="auto"/>
        </w:rPr>
        <w:t xml:space="preserve"> analyses were performed using the indicated antibodies</w:t>
      </w:r>
      <w:r w:rsidRPr="00E74A04">
        <w:rPr>
          <w:rFonts w:hint="eastAsia"/>
          <w:color w:val="auto"/>
        </w:rPr>
        <w:t>.</w:t>
      </w:r>
      <w:r w:rsidRPr="00E74A04">
        <w:rPr>
          <w:color w:val="auto"/>
        </w:rPr>
        <w:t xml:space="preserve"> (</w:t>
      </w:r>
      <w:r w:rsidRPr="00E74A04">
        <w:rPr>
          <w:rFonts w:hint="eastAsia"/>
          <w:color w:val="auto"/>
        </w:rPr>
        <w:t xml:space="preserve">B) </w:t>
      </w:r>
      <w:r w:rsidRPr="00E74A04">
        <w:rPr>
          <w:color w:val="auto"/>
        </w:rPr>
        <w:t>PA</w:t>
      </w:r>
      <w:r w:rsidRPr="004B731A">
        <w:rPr>
          <w:color w:val="auto"/>
        </w:rPr>
        <w:t>NC-1</w:t>
      </w:r>
      <w:r w:rsidRPr="004B731A">
        <w:rPr>
          <w:rFonts w:hint="eastAsia"/>
          <w:color w:val="auto"/>
        </w:rPr>
        <w:t xml:space="preserve"> </w:t>
      </w:r>
      <w:r w:rsidRPr="004B731A">
        <w:rPr>
          <w:color w:val="auto"/>
        </w:rPr>
        <w:t>cells</w:t>
      </w:r>
      <w:r w:rsidRPr="004B731A">
        <w:rPr>
          <w:rFonts w:hint="eastAsia"/>
          <w:color w:val="auto"/>
        </w:rPr>
        <w:t xml:space="preserve"> were </w:t>
      </w:r>
      <w:r w:rsidRPr="004B731A">
        <w:rPr>
          <w:bCs/>
          <w:color w:val="auto"/>
        </w:rPr>
        <w:t xml:space="preserve">synchronized </w:t>
      </w:r>
      <w:r w:rsidRPr="004B731A">
        <w:rPr>
          <w:rFonts w:hint="eastAsia"/>
          <w:bCs/>
          <w:color w:val="auto"/>
        </w:rPr>
        <w:t xml:space="preserve">in </w:t>
      </w:r>
      <w:proofErr w:type="spellStart"/>
      <w:r w:rsidRPr="004B731A">
        <w:rPr>
          <w:rFonts w:hint="eastAsia"/>
          <w:bCs/>
          <w:color w:val="auto"/>
        </w:rPr>
        <w:t>interphase</w:t>
      </w:r>
      <w:proofErr w:type="spellEnd"/>
      <w:r w:rsidRPr="004B731A">
        <w:rPr>
          <w:rFonts w:hint="eastAsia"/>
          <w:bCs/>
          <w:color w:val="auto"/>
        </w:rPr>
        <w:t xml:space="preserve"> or</w:t>
      </w:r>
      <w:r w:rsidRPr="004B731A">
        <w:rPr>
          <w:bCs/>
          <w:color w:val="auto"/>
        </w:rPr>
        <w:t xml:space="preserve"> </w:t>
      </w:r>
      <w:r w:rsidRPr="004B731A">
        <w:rPr>
          <w:rFonts w:hint="eastAsia"/>
          <w:bCs/>
          <w:color w:val="auto"/>
        </w:rPr>
        <w:t>mitosis. Cellular</w:t>
      </w:r>
      <w:r w:rsidRPr="004B731A">
        <w:rPr>
          <w:bCs/>
          <w:color w:val="auto"/>
        </w:rPr>
        <w:t xml:space="preserve"> extracts </w:t>
      </w:r>
      <w:r w:rsidRPr="004B731A">
        <w:rPr>
          <w:rFonts w:hint="eastAsia"/>
          <w:bCs/>
          <w:color w:val="auto"/>
        </w:rPr>
        <w:t xml:space="preserve">were </w:t>
      </w:r>
      <w:r w:rsidRPr="004B731A">
        <w:rPr>
          <w:bCs/>
          <w:color w:val="auto"/>
        </w:rPr>
        <w:t xml:space="preserve">subjected to </w:t>
      </w:r>
      <w:proofErr w:type="spellStart"/>
      <w:r w:rsidRPr="004B731A">
        <w:rPr>
          <w:bCs/>
          <w:color w:val="auto"/>
        </w:rPr>
        <w:t>immunoprecipitation</w:t>
      </w:r>
      <w:proofErr w:type="spellEnd"/>
      <w:r w:rsidRPr="004B731A">
        <w:rPr>
          <w:rFonts w:hint="eastAsia"/>
          <w:bCs/>
          <w:color w:val="auto"/>
        </w:rPr>
        <w:t xml:space="preserve"> </w:t>
      </w:r>
      <w:r w:rsidRPr="004B731A">
        <w:rPr>
          <w:bCs/>
          <w:color w:val="auto"/>
        </w:rPr>
        <w:t>with an anti-</w:t>
      </w:r>
      <w:proofErr w:type="spellStart"/>
      <w:r w:rsidRPr="004B731A">
        <w:rPr>
          <w:rFonts w:hint="eastAsia"/>
          <w:bCs/>
          <w:color w:val="auto"/>
        </w:rPr>
        <w:t>Src</w:t>
      </w:r>
      <w:proofErr w:type="spellEnd"/>
      <w:r w:rsidRPr="004B731A">
        <w:rPr>
          <w:rFonts w:hint="eastAsia"/>
          <w:bCs/>
          <w:color w:val="auto"/>
        </w:rPr>
        <w:t xml:space="preserve"> </w:t>
      </w:r>
      <w:r w:rsidRPr="004B731A">
        <w:rPr>
          <w:bCs/>
          <w:color w:val="auto"/>
        </w:rPr>
        <w:t>antibody</w:t>
      </w:r>
      <w:r w:rsidRPr="004B731A">
        <w:rPr>
          <w:rFonts w:hint="eastAsia"/>
          <w:bCs/>
          <w:color w:val="auto"/>
        </w:rPr>
        <w:t>.</w:t>
      </w:r>
      <w:r w:rsidRPr="004B731A">
        <w:rPr>
          <w:color w:val="auto"/>
        </w:rPr>
        <w:t xml:space="preserve"> </w:t>
      </w:r>
      <w:proofErr w:type="spellStart"/>
      <w:r w:rsidRPr="004B731A">
        <w:rPr>
          <w:rFonts w:hint="eastAsia"/>
          <w:color w:val="auto"/>
        </w:rPr>
        <w:t>I</w:t>
      </w:r>
      <w:r w:rsidRPr="004B731A">
        <w:rPr>
          <w:color w:val="auto"/>
        </w:rPr>
        <w:t>mmunoblotting</w:t>
      </w:r>
      <w:proofErr w:type="spellEnd"/>
      <w:r w:rsidRPr="004B731A">
        <w:rPr>
          <w:color w:val="auto"/>
        </w:rPr>
        <w:t xml:space="preserve"> analyses were performed using the indicated antibodies</w:t>
      </w:r>
      <w:r w:rsidRPr="004B731A">
        <w:rPr>
          <w:rFonts w:hint="eastAsia"/>
          <w:color w:val="auto"/>
        </w:rPr>
        <w:t>.</w:t>
      </w:r>
    </w:p>
    <w:p w:rsidR="0033333C" w:rsidRDefault="0033333C"/>
    <w:sectPr w:rsidR="0033333C" w:rsidSect="00333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7EA"/>
    <w:rsid w:val="00313F50"/>
    <w:rsid w:val="0033333C"/>
    <w:rsid w:val="00F9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7E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yxb</dc:creator>
  <cp:lastModifiedBy>yxb</cp:lastModifiedBy>
  <cp:revision>1</cp:revision>
  <dcterms:created xsi:type="dcterms:W3CDTF">2018-11-26T01:44:00Z</dcterms:created>
  <dcterms:modified xsi:type="dcterms:W3CDTF">2018-11-26T01:44:00Z</dcterms:modified>
</cp:coreProperties>
</file>