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2402"/>
      </w:tblGrid>
      <w:tr w:rsidR="0068064E" w:rsidRPr="0055588D" w14:paraId="504190B0" w14:textId="77777777" w:rsidTr="00D96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E97DA" w14:textId="3E4A6587" w:rsidR="0068064E" w:rsidRPr="0055588D" w:rsidRDefault="0068064E" w:rsidP="0068064E">
            <w:pPr>
              <w:spacing w:after="120" w:line="240" w:lineRule="auto"/>
              <w:rPr>
                <w:rFonts w:ascii="Arial Narrow" w:eastAsia="Times New Roman" w:hAnsi="Arial Narrow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Table A</w:t>
            </w:r>
            <w:r w:rsid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2</w:t>
            </w: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18C4C836" w14:textId="16C47458" w:rsidR="0068064E" w:rsidRPr="0055588D" w:rsidRDefault="0068064E" w:rsidP="0068064E">
            <w:pPr>
              <w:spacing w:after="120" w:line="240" w:lineRule="auto"/>
              <w:rPr>
                <w:rFonts w:ascii="Arial Narrow" w:eastAsia="Times New Roman" w:hAnsi="Arial Narrow" w:cstheme="minorHAnsi"/>
                <w:i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i/>
                <w:color w:val="auto"/>
                <w:sz w:val="20"/>
                <w:szCs w:val="20"/>
              </w:rPr>
              <w:t xml:space="preserve">Theoretical Grounding of Reviewed Articles </w:t>
            </w:r>
          </w:p>
        </w:tc>
      </w:tr>
      <w:tr w:rsidR="0068064E" w:rsidRPr="0055588D" w14:paraId="4B591B01" w14:textId="77777777" w:rsidTr="00D9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1FD8D" w14:textId="173CD211" w:rsidR="0068064E" w:rsidRPr="0055588D" w:rsidRDefault="0068064E" w:rsidP="00D96041">
            <w:pPr>
              <w:spacing w:after="120" w:line="240" w:lineRule="auto"/>
              <w:jc w:val="center"/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Theoretical Framework or Model Used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8DB11" w14:textId="13539A4A" w:rsidR="0068064E" w:rsidRPr="0055588D" w:rsidRDefault="0068064E" w:rsidP="00D96041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>Referencing Article</w:t>
            </w:r>
          </w:p>
        </w:tc>
      </w:tr>
      <w:tr w:rsidR="0068064E" w:rsidRPr="0055588D" w14:paraId="3437E131" w14:textId="77777777" w:rsidTr="00D9604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9C4C6" w14:textId="7D3AA375" w:rsidR="0068064E" w:rsidRPr="0055588D" w:rsidRDefault="0068064E" w:rsidP="00D96041">
            <w:pPr>
              <w:spacing w:before="60" w:after="120" w:line="240" w:lineRule="auto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Bourdieu’s theoretical framework of social space and symbolic power (Bourdieu, 1989)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EADA0" w14:textId="4D9DC819" w:rsidR="0068064E" w:rsidRPr="0055588D" w:rsidRDefault="0068064E" w:rsidP="00D96041">
            <w:pPr>
              <w:spacing w:before="60" w:after="120" w:line="240" w:lineRule="auto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>Gum et al., 2012</w:t>
            </w:r>
          </w:p>
        </w:tc>
      </w:tr>
      <w:tr w:rsidR="0068064E" w:rsidRPr="0055588D" w14:paraId="06937877" w14:textId="77777777" w:rsidTr="00D9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FE2BC" w14:textId="3396BEAE" w:rsidR="0068064E" w:rsidRPr="0055588D" w:rsidRDefault="0068064E" w:rsidP="00D96041">
            <w:pPr>
              <w:spacing w:after="120" w:line="240" w:lineRule="auto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Goffman’s theory of impression management (Goffman, 1956)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2E00" w14:textId="391DD72D" w:rsidR="0068064E" w:rsidRPr="0055588D" w:rsidRDefault="0068064E" w:rsidP="00D96041">
            <w:pPr>
              <w:spacing w:after="120" w:line="240" w:lineRule="auto"/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>Lewin &amp; Reeves, 2011</w:t>
            </w:r>
          </w:p>
        </w:tc>
      </w:tr>
      <w:tr w:rsidR="0068064E" w:rsidRPr="0055588D" w14:paraId="1CE6FB2A" w14:textId="77777777" w:rsidTr="00D9604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9E4E" w14:textId="29B53193" w:rsidR="0068064E" w:rsidRPr="0055588D" w:rsidRDefault="0068064E" w:rsidP="00D96041">
            <w:pPr>
              <w:spacing w:after="120" w:line="240" w:lineRule="auto"/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The spatial becomes the social (</w:t>
            </w:r>
            <w:proofErr w:type="spellStart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Pred</w:t>
            </w:r>
            <w:proofErr w:type="spellEnd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, 1985); Space–time geography (Giddens, 1985); Social relations in space (</w:t>
            </w:r>
            <w:proofErr w:type="spellStart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Gesler</w:t>
            </w:r>
            <w:proofErr w:type="spellEnd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, 1999); Discourses and places (</w:t>
            </w:r>
            <w:proofErr w:type="spellStart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Gesler</w:t>
            </w:r>
            <w:proofErr w:type="spellEnd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, 1999)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0588" w14:textId="273B9C2F" w:rsidR="0068064E" w:rsidRPr="0055588D" w:rsidRDefault="0068064E" w:rsidP="00D96041">
            <w:pPr>
              <w:spacing w:after="120" w:line="240" w:lineRule="auto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>Liu et al., 2014</w:t>
            </w:r>
          </w:p>
        </w:tc>
      </w:tr>
      <w:tr w:rsidR="0068064E" w:rsidRPr="0055588D" w14:paraId="0770CFF4" w14:textId="77777777" w:rsidTr="00D9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91F2" w14:textId="7FF53978" w:rsidR="0068064E" w:rsidRPr="0055588D" w:rsidRDefault="0068064E" w:rsidP="00D96041">
            <w:pPr>
              <w:spacing w:after="120" w:line="240" w:lineRule="auto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hAnsi="Arial Narrow" w:cstheme="minorHAnsi"/>
                <w:b w:val="0"/>
                <w:color w:val="auto"/>
                <w:sz w:val="20"/>
                <w:szCs w:val="20"/>
                <w:shd w:val="clear" w:color="auto" w:fill="FFFFFF"/>
              </w:rPr>
              <w:t>Systems Engineering Initiative for Patient Safety (SEIPS) model of work system and patient safety (</w:t>
            </w:r>
            <w:proofErr w:type="spellStart"/>
            <w:r w:rsidRPr="0055588D">
              <w:rPr>
                <w:rFonts w:ascii="Arial Narrow" w:hAnsi="Arial Narrow" w:cstheme="minorHAnsi"/>
                <w:b w:val="0"/>
                <w:color w:val="auto"/>
                <w:sz w:val="20"/>
                <w:szCs w:val="20"/>
                <w:shd w:val="clear" w:color="auto" w:fill="FFFFFF"/>
              </w:rPr>
              <w:t>Carayon</w:t>
            </w:r>
            <w:proofErr w:type="spellEnd"/>
            <w:r w:rsidRPr="0055588D">
              <w:rPr>
                <w:rFonts w:ascii="Arial Narrow" w:hAnsi="Arial Narrow" w:cstheme="minorHAnsi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et al., 2006)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9A77" w14:textId="77777777" w:rsidR="0068064E" w:rsidRPr="0055588D" w:rsidRDefault="0068064E" w:rsidP="00D96041">
            <w:pPr>
              <w:spacing w:after="120" w:line="240" w:lineRule="auto"/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55588D"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  <w:t>Mundt</w:t>
            </w:r>
            <w:proofErr w:type="spellEnd"/>
            <w:r w:rsidRPr="0055588D"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55588D"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  <w:t>Swedlund</w:t>
            </w:r>
            <w:proofErr w:type="spellEnd"/>
            <w:r w:rsidRPr="0055588D"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  <w:t>, 2016</w:t>
            </w:r>
          </w:p>
          <w:p w14:paraId="247DC164" w14:textId="77777777" w:rsidR="0068064E" w:rsidRPr="0055588D" w:rsidRDefault="0068064E" w:rsidP="00D96041">
            <w:pPr>
              <w:spacing w:after="120" w:line="240" w:lineRule="auto"/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</w:p>
        </w:tc>
      </w:tr>
      <w:tr w:rsidR="0068064E" w:rsidRPr="0055588D" w14:paraId="0437429B" w14:textId="77777777" w:rsidTr="00D9604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C0B" w14:textId="34A00941" w:rsidR="0068064E" w:rsidRPr="0055588D" w:rsidRDefault="0068064E" w:rsidP="00D96041">
            <w:pPr>
              <w:spacing w:after="120" w:line="240" w:lineRule="auto"/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Karasek’s</w:t>
            </w:r>
            <w:proofErr w:type="spellEnd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 xml:space="preserve"> Demand-control-support model (</w:t>
            </w:r>
            <w:proofErr w:type="spellStart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Karasek</w:t>
            </w:r>
            <w:proofErr w:type="spellEnd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 xml:space="preserve"> &amp; Theorell, 1990)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5E45" w14:textId="7A8FCB85" w:rsidR="0068064E" w:rsidRPr="0055588D" w:rsidRDefault="0068064E" w:rsidP="00D96041">
            <w:pPr>
              <w:spacing w:after="120" w:line="240" w:lineRule="auto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 xml:space="preserve">Parker et al., </w:t>
            </w:r>
            <w:proofErr w:type="gramStart"/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 xml:space="preserve">2012;  </w:t>
            </w:r>
            <w:proofErr w:type="spellStart"/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>Zborowsky</w:t>
            </w:r>
            <w:proofErr w:type="spellEnd"/>
            <w:proofErr w:type="gramEnd"/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 xml:space="preserve"> et al., 2010</w:t>
            </w:r>
          </w:p>
        </w:tc>
      </w:tr>
      <w:tr w:rsidR="0068064E" w:rsidRPr="0055588D" w14:paraId="6AE806E7" w14:textId="77777777" w:rsidTr="00D9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160D4" w14:textId="4B5A47A0" w:rsidR="0068064E" w:rsidRPr="0055588D" w:rsidRDefault="0068064E" w:rsidP="00D96041">
            <w:pPr>
              <w:spacing w:after="120" w:line="240" w:lineRule="auto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Distributed Cognition for Teamwork (</w:t>
            </w:r>
            <w:proofErr w:type="spellStart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DiCoT</w:t>
            </w:r>
            <w:proofErr w:type="spellEnd"/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) (Furniss &amp; Blandford, 2006)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92C9" w14:textId="5F5D9719" w:rsidR="0068064E" w:rsidRPr="0055588D" w:rsidRDefault="0068064E" w:rsidP="00D96041">
            <w:pPr>
              <w:spacing w:after="120" w:line="240" w:lineRule="auto"/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proofErr w:type="spellStart"/>
            <w:r w:rsidRPr="0055588D"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  <w:t>Rajkomar</w:t>
            </w:r>
            <w:proofErr w:type="spellEnd"/>
            <w:r w:rsidRPr="0055588D">
              <w:rPr>
                <w:rFonts w:ascii="Arial Narrow" w:eastAsia="Times New Roman" w:hAnsi="Arial Narrow" w:cstheme="minorHAnsi"/>
                <w:bCs/>
                <w:color w:val="auto"/>
                <w:sz w:val="20"/>
                <w:szCs w:val="20"/>
              </w:rPr>
              <w:t xml:space="preserve"> et al., 2012</w:t>
            </w:r>
          </w:p>
        </w:tc>
      </w:tr>
      <w:tr w:rsidR="0068064E" w:rsidRPr="0055588D" w14:paraId="4A7CE91E" w14:textId="77777777" w:rsidTr="00D9604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79B0B" w14:textId="50CFB15C" w:rsidR="0068064E" w:rsidRPr="0055588D" w:rsidRDefault="0068064E" w:rsidP="00D96041">
            <w:pPr>
              <w:spacing w:after="120" w:line="240" w:lineRule="auto"/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b w:val="0"/>
                <w:color w:val="auto"/>
                <w:sz w:val="20"/>
                <w:szCs w:val="20"/>
              </w:rPr>
              <w:t>Systems theories (Barbour et al., 2016; Donabedian, 1966)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D846" w14:textId="4AD3F86E" w:rsidR="0068064E" w:rsidRPr="0055588D" w:rsidRDefault="0068064E" w:rsidP="00D96041">
            <w:pPr>
              <w:spacing w:after="120" w:line="240" w:lineRule="auto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</w:pPr>
            <w:r w:rsidRPr="0055588D">
              <w:rPr>
                <w:rFonts w:ascii="Arial Narrow" w:eastAsia="Times New Roman" w:hAnsi="Arial Narrow" w:cstheme="minorHAnsi"/>
                <w:color w:val="auto"/>
                <w:sz w:val="20"/>
                <w:szCs w:val="20"/>
              </w:rPr>
              <w:t>Real et al., 2016</w:t>
            </w:r>
          </w:p>
        </w:tc>
      </w:tr>
    </w:tbl>
    <w:p w14:paraId="1FB9329E" w14:textId="3728C74D" w:rsidR="006F5D54" w:rsidRPr="0055588D" w:rsidRDefault="0055588D"/>
    <w:p w14:paraId="3272A9DE" w14:textId="77777777" w:rsidR="00B259C3" w:rsidRPr="0055588D" w:rsidRDefault="00B259C3"/>
    <w:p w14:paraId="488D684B" w14:textId="7F201F95" w:rsidR="00BB3E8A" w:rsidRPr="0055588D" w:rsidRDefault="009239EB" w:rsidP="00BB3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8D">
        <w:rPr>
          <w:rFonts w:ascii="Times New Roman" w:hAnsi="Times New Roman" w:cs="Times New Roman"/>
          <w:b/>
          <w:sz w:val="24"/>
          <w:szCs w:val="24"/>
        </w:rPr>
        <w:t>References</w:t>
      </w:r>
      <w:r w:rsidR="00BB3E8A" w:rsidRPr="0055588D">
        <w:rPr>
          <w:rFonts w:ascii="Times New Roman" w:hAnsi="Times New Roman" w:cs="Times New Roman"/>
          <w:b/>
          <w:sz w:val="24"/>
          <w:szCs w:val="24"/>
        </w:rPr>
        <w:t xml:space="preserve"> for Appendix Table 1. Theoretical Grounding of Reviewed Articles</w:t>
      </w:r>
    </w:p>
    <w:p w14:paraId="30771858" w14:textId="2CF95C61" w:rsidR="00BB3E8A" w:rsidRPr="0055588D" w:rsidRDefault="00BB3E8A" w:rsidP="00BB3E8A">
      <w:pPr>
        <w:pStyle w:val="NormalWeb"/>
        <w:ind w:left="480" w:hanging="480"/>
      </w:pPr>
      <w:r w:rsidRPr="0055588D">
        <w:t xml:space="preserve">Bourdieu, P. (1989). Social </w:t>
      </w:r>
      <w:r w:rsidR="00411063" w:rsidRPr="0055588D">
        <w:t>s</w:t>
      </w:r>
      <w:r w:rsidRPr="0055588D">
        <w:t xml:space="preserve">pace and </w:t>
      </w:r>
      <w:r w:rsidR="00411063" w:rsidRPr="0055588D">
        <w:t>s</w:t>
      </w:r>
      <w:r w:rsidRPr="0055588D">
        <w:t xml:space="preserve">ymbolic </w:t>
      </w:r>
      <w:r w:rsidR="00411063" w:rsidRPr="0055588D">
        <w:t>p</w:t>
      </w:r>
      <w:r w:rsidRPr="0055588D">
        <w:t xml:space="preserve">ower. </w:t>
      </w:r>
      <w:r w:rsidRPr="0055588D">
        <w:rPr>
          <w:i/>
          <w:iCs/>
        </w:rPr>
        <w:t>Sociological Theory</w:t>
      </w:r>
      <w:r w:rsidRPr="0055588D">
        <w:t xml:space="preserve">, </w:t>
      </w:r>
      <w:r w:rsidRPr="0055588D">
        <w:rPr>
          <w:i/>
          <w:iCs/>
        </w:rPr>
        <w:t>7</w:t>
      </w:r>
      <w:r w:rsidRPr="0055588D">
        <w:t>(1), 14</w:t>
      </w:r>
      <w:r w:rsidR="00411063" w:rsidRPr="0055588D">
        <w:t>-25</w:t>
      </w:r>
      <w:r w:rsidRPr="0055588D">
        <w:t xml:space="preserve"> http://doi.org/10.2307/202060</w:t>
      </w:r>
    </w:p>
    <w:p w14:paraId="4B01F696" w14:textId="2A5C5A9D" w:rsidR="00C623C7" w:rsidRPr="0055588D" w:rsidRDefault="00C623C7" w:rsidP="00C623C7">
      <w:pPr>
        <w:pStyle w:val="NormalWeb"/>
        <w:ind w:left="480" w:hanging="480"/>
      </w:pPr>
      <w:r w:rsidRPr="0055588D">
        <w:t xml:space="preserve">Barbour, J. B., Gill, R., &amp; Dean, M. (2016). Work space, gendered occupations, and the organization of health. In T. R. Harrison &amp; E. A. Williams (Eds.), </w:t>
      </w:r>
      <w:r w:rsidRPr="0055588D">
        <w:rPr>
          <w:i/>
        </w:rPr>
        <w:t>Organizations, communication, and health</w:t>
      </w:r>
      <w:r w:rsidRPr="0055588D">
        <w:t xml:space="preserve"> (pp.101–118). New York, NY: Routledge.</w:t>
      </w:r>
    </w:p>
    <w:p w14:paraId="5010C36C" w14:textId="0F1E5C33" w:rsidR="009239EB" w:rsidRPr="0055588D" w:rsidRDefault="009239EB" w:rsidP="00C623C7">
      <w:pPr>
        <w:pStyle w:val="NormalWeb"/>
        <w:ind w:left="480" w:hanging="480"/>
      </w:pPr>
      <w:proofErr w:type="spellStart"/>
      <w:r w:rsidRPr="0055588D">
        <w:t>Carayon</w:t>
      </w:r>
      <w:proofErr w:type="spellEnd"/>
      <w:r w:rsidRPr="0055588D">
        <w:t xml:space="preserve">, P., </w:t>
      </w:r>
      <w:proofErr w:type="spellStart"/>
      <w:r w:rsidRPr="0055588D">
        <w:t>Schoofs</w:t>
      </w:r>
      <w:proofErr w:type="spellEnd"/>
      <w:r w:rsidRPr="0055588D">
        <w:t xml:space="preserve"> </w:t>
      </w:r>
      <w:proofErr w:type="spellStart"/>
      <w:r w:rsidRPr="0055588D">
        <w:t>Hundt</w:t>
      </w:r>
      <w:proofErr w:type="spellEnd"/>
      <w:r w:rsidRPr="0055588D">
        <w:t xml:space="preserve">, A., Karsh, B.-T., </w:t>
      </w:r>
      <w:proofErr w:type="spellStart"/>
      <w:r w:rsidRPr="0055588D">
        <w:t>Gurses</w:t>
      </w:r>
      <w:proofErr w:type="spellEnd"/>
      <w:r w:rsidRPr="0055588D">
        <w:t xml:space="preserve">, A. P., Alvarado, C. J., Smith, M., &amp; Flatley Brennan, P. (2006). Work system design for patient safety: </w:t>
      </w:r>
      <w:r w:rsidR="00411063" w:rsidRPr="0055588D">
        <w:t>T</w:t>
      </w:r>
      <w:r w:rsidRPr="0055588D">
        <w:t xml:space="preserve">he SEIPS model. </w:t>
      </w:r>
      <w:r w:rsidRPr="0055588D">
        <w:rPr>
          <w:i/>
          <w:iCs/>
        </w:rPr>
        <w:t>Quality and Safety in Health Care</w:t>
      </w:r>
      <w:r w:rsidRPr="0055588D">
        <w:t xml:space="preserve">, </w:t>
      </w:r>
      <w:r w:rsidRPr="0055588D">
        <w:rPr>
          <w:i/>
          <w:iCs/>
        </w:rPr>
        <w:t>15</w:t>
      </w:r>
      <w:r w:rsidRPr="0055588D">
        <w:t>(suppl_1), i50–i58. http://doi.org/10.1136/qshc.2005.015842</w:t>
      </w:r>
    </w:p>
    <w:p w14:paraId="051A7B6E" w14:textId="77777777" w:rsidR="00C623C7" w:rsidRPr="0055588D" w:rsidRDefault="00C623C7" w:rsidP="005E37C7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55588D">
        <w:rPr>
          <w:rFonts w:ascii="Times New Roman" w:hAnsi="Times New Roman" w:cs="Times New Roman"/>
          <w:sz w:val="24"/>
          <w:szCs w:val="24"/>
        </w:rPr>
        <w:t xml:space="preserve">Donabedian, A. (1966). Evaluating the quality of medical care. </w:t>
      </w:r>
      <w:r w:rsidRPr="0055588D">
        <w:rPr>
          <w:rFonts w:ascii="Times New Roman" w:hAnsi="Times New Roman" w:cs="Times New Roman"/>
          <w:i/>
          <w:sz w:val="24"/>
          <w:szCs w:val="24"/>
        </w:rPr>
        <w:t xml:space="preserve">Milbank Memorial Fund Quarterly, 44, </w:t>
      </w:r>
      <w:r w:rsidRPr="0055588D">
        <w:rPr>
          <w:rFonts w:ascii="Times New Roman" w:hAnsi="Times New Roman" w:cs="Times New Roman"/>
          <w:sz w:val="24"/>
          <w:szCs w:val="24"/>
        </w:rPr>
        <w:t>166–206. doi:10.2307/3348969</w:t>
      </w:r>
    </w:p>
    <w:p w14:paraId="4DBC2F52" w14:textId="77777777" w:rsidR="00BB3E8A" w:rsidRPr="0055588D" w:rsidRDefault="00BB3E8A" w:rsidP="00BB3E8A">
      <w:pPr>
        <w:pStyle w:val="NormalWeb"/>
        <w:ind w:left="480" w:hanging="480"/>
      </w:pPr>
      <w:r w:rsidRPr="0055588D">
        <w:t xml:space="preserve">Furniss, D., &amp; Blandford, A. (2006). Understanding emergency medical dispatch in terms of distributed cognition: A case study. </w:t>
      </w:r>
      <w:r w:rsidRPr="0055588D">
        <w:rPr>
          <w:i/>
          <w:iCs/>
        </w:rPr>
        <w:t>Ergonomics</w:t>
      </w:r>
      <w:r w:rsidRPr="0055588D">
        <w:t xml:space="preserve">, </w:t>
      </w:r>
      <w:r w:rsidRPr="0055588D">
        <w:rPr>
          <w:i/>
          <w:iCs/>
        </w:rPr>
        <w:t>49</w:t>
      </w:r>
      <w:r w:rsidRPr="0055588D">
        <w:t>(12–13), 1174–1203. http://doi.org/10.1080/00140130600612663</w:t>
      </w:r>
    </w:p>
    <w:p w14:paraId="4CBF75B7" w14:textId="77777777" w:rsidR="00BB3E8A" w:rsidRPr="0055588D" w:rsidRDefault="00BB3E8A" w:rsidP="00BB3E8A">
      <w:pPr>
        <w:pStyle w:val="NormalWeb"/>
        <w:ind w:left="480" w:hanging="480"/>
      </w:pPr>
      <w:proofErr w:type="spellStart"/>
      <w:r w:rsidRPr="0055588D">
        <w:lastRenderedPageBreak/>
        <w:t>Gesler</w:t>
      </w:r>
      <w:proofErr w:type="spellEnd"/>
      <w:r w:rsidRPr="0055588D">
        <w:t xml:space="preserve">, W. M. (1999). Words in wards: Language, health and place. </w:t>
      </w:r>
      <w:r w:rsidRPr="0055588D">
        <w:rPr>
          <w:i/>
          <w:iCs/>
        </w:rPr>
        <w:t>Health and Place</w:t>
      </w:r>
      <w:r w:rsidRPr="0055588D">
        <w:t xml:space="preserve">, </w:t>
      </w:r>
      <w:r w:rsidRPr="0055588D">
        <w:rPr>
          <w:i/>
          <w:iCs/>
        </w:rPr>
        <w:t>5</w:t>
      </w:r>
      <w:r w:rsidRPr="0055588D">
        <w:t>(1), 13–25. http://doi.org/10.1016/S1353-8292(98)00038-0</w:t>
      </w:r>
    </w:p>
    <w:p w14:paraId="234B2BE4" w14:textId="7A1AB691" w:rsidR="009239EB" w:rsidRPr="0055588D" w:rsidRDefault="009239EB" w:rsidP="005E37C7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55588D">
        <w:rPr>
          <w:rFonts w:ascii="Times New Roman" w:hAnsi="Times New Roman" w:cs="Times New Roman"/>
          <w:sz w:val="24"/>
          <w:szCs w:val="24"/>
        </w:rPr>
        <w:t xml:space="preserve">Giddens, A., 1985. Time, space and regionalization. In </w:t>
      </w:r>
      <w:r w:rsidR="00411063" w:rsidRPr="0055588D">
        <w:rPr>
          <w:rFonts w:ascii="Times New Roman" w:hAnsi="Times New Roman" w:cs="Times New Roman"/>
          <w:sz w:val="24"/>
          <w:szCs w:val="24"/>
        </w:rPr>
        <w:t xml:space="preserve">D. </w:t>
      </w:r>
      <w:r w:rsidRPr="0055588D">
        <w:rPr>
          <w:rFonts w:ascii="Times New Roman" w:hAnsi="Times New Roman" w:cs="Times New Roman"/>
          <w:sz w:val="24"/>
          <w:szCs w:val="24"/>
        </w:rPr>
        <w:t xml:space="preserve">Gregory, </w:t>
      </w:r>
      <w:r w:rsidR="00411063" w:rsidRPr="0055588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5588D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="00411063" w:rsidRPr="0055588D">
        <w:rPr>
          <w:rFonts w:ascii="Times New Roman" w:hAnsi="Times New Roman" w:cs="Times New Roman"/>
          <w:sz w:val="24"/>
          <w:szCs w:val="24"/>
        </w:rPr>
        <w:t xml:space="preserve"> </w:t>
      </w:r>
      <w:r w:rsidRPr="0055588D">
        <w:rPr>
          <w:rFonts w:ascii="Times New Roman" w:hAnsi="Times New Roman" w:cs="Times New Roman"/>
          <w:sz w:val="24"/>
          <w:szCs w:val="24"/>
        </w:rPr>
        <w:t xml:space="preserve">(Eds.), </w:t>
      </w:r>
      <w:r w:rsidRPr="0055588D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r w:rsidR="00411063" w:rsidRPr="0055588D">
        <w:rPr>
          <w:rFonts w:ascii="Times New Roman" w:hAnsi="Times New Roman" w:cs="Times New Roman"/>
          <w:i/>
          <w:sz w:val="24"/>
          <w:szCs w:val="24"/>
        </w:rPr>
        <w:t>r</w:t>
      </w:r>
      <w:r w:rsidRPr="0055588D">
        <w:rPr>
          <w:rFonts w:ascii="Times New Roman" w:hAnsi="Times New Roman" w:cs="Times New Roman"/>
          <w:i/>
          <w:sz w:val="24"/>
          <w:szCs w:val="24"/>
        </w:rPr>
        <w:t xml:space="preserve">elations and </w:t>
      </w:r>
      <w:r w:rsidR="00411063" w:rsidRPr="0055588D">
        <w:rPr>
          <w:rFonts w:ascii="Times New Roman" w:hAnsi="Times New Roman" w:cs="Times New Roman"/>
          <w:i/>
          <w:sz w:val="24"/>
          <w:szCs w:val="24"/>
        </w:rPr>
        <w:t>s</w:t>
      </w:r>
      <w:r w:rsidRPr="0055588D">
        <w:rPr>
          <w:rFonts w:ascii="Times New Roman" w:hAnsi="Times New Roman" w:cs="Times New Roman"/>
          <w:i/>
          <w:sz w:val="24"/>
          <w:szCs w:val="24"/>
        </w:rPr>
        <w:t xml:space="preserve">patial </w:t>
      </w:r>
      <w:r w:rsidR="00411063" w:rsidRPr="0055588D">
        <w:rPr>
          <w:rFonts w:ascii="Times New Roman" w:hAnsi="Times New Roman" w:cs="Times New Roman"/>
          <w:i/>
          <w:sz w:val="24"/>
          <w:szCs w:val="24"/>
        </w:rPr>
        <w:t>s</w:t>
      </w:r>
      <w:r w:rsidRPr="0055588D">
        <w:rPr>
          <w:rFonts w:ascii="Times New Roman" w:hAnsi="Times New Roman" w:cs="Times New Roman"/>
          <w:i/>
          <w:sz w:val="24"/>
          <w:szCs w:val="24"/>
        </w:rPr>
        <w:t>tructures.</w:t>
      </w:r>
      <w:r w:rsidRPr="0055588D">
        <w:rPr>
          <w:rFonts w:ascii="Times New Roman" w:hAnsi="Times New Roman" w:cs="Times New Roman"/>
          <w:sz w:val="24"/>
          <w:szCs w:val="24"/>
        </w:rPr>
        <w:t xml:space="preserve"> Macmillan, Basingstoke, </w:t>
      </w:r>
      <w:r w:rsidR="00411063" w:rsidRPr="0055588D">
        <w:rPr>
          <w:rFonts w:ascii="Times New Roman" w:hAnsi="Times New Roman" w:cs="Times New Roman"/>
          <w:sz w:val="24"/>
          <w:szCs w:val="24"/>
        </w:rPr>
        <w:t>(</w:t>
      </w:r>
      <w:r w:rsidRPr="0055588D">
        <w:rPr>
          <w:rFonts w:ascii="Times New Roman" w:hAnsi="Times New Roman" w:cs="Times New Roman"/>
          <w:sz w:val="24"/>
          <w:szCs w:val="24"/>
        </w:rPr>
        <w:t>pp. 265–295</w:t>
      </w:r>
      <w:r w:rsidR="00411063" w:rsidRPr="0055588D">
        <w:rPr>
          <w:rFonts w:ascii="Times New Roman" w:hAnsi="Times New Roman" w:cs="Times New Roman"/>
          <w:sz w:val="24"/>
          <w:szCs w:val="24"/>
        </w:rPr>
        <w:t>).</w:t>
      </w:r>
    </w:p>
    <w:p w14:paraId="3862E988" w14:textId="77777777" w:rsidR="00411063" w:rsidRPr="0055588D" w:rsidRDefault="00411063" w:rsidP="0041106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Pred</w:t>
      </w:r>
      <w:proofErr w:type="spellEnd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A. (2014). The social becomes the spatial, the spatial becomes the social: Enclosures, social change and the becoming of places in the Swedish province of </w:t>
      </w:r>
      <w:proofErr w:type="spellStart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Skane</w:t>
      </w:r>
      <w:proofErr w:type="spellEnd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(1985). In J. J. </w:t>
      </w:r>
      <w:proofErr w:type="spellStart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Gieseking</w:t>
      </w:r>
      <w:proofErr w:type="spellEnd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W. Mangold, C. Katz, S. Low, &amp; S. </w:t>
      </w:r>
      <w:proofErr w:type="spellStart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Saegert</w:t>
      </w:r>
      <w:proofErr w:type="spellEnd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(Eds.), </w:t>
      </w:r>
      <w:r w:rsidRPr="00555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people, place, and space reader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(pp. 128–132). https://doi.org/10.4324/9781315816852</w:t>
      </w:r>
    </w:p>
    <w:p w14:paraId="78CE1846" w14:textId="68D91BD4" w:rsidR="005471CD" w:rsidRPr="0055588D" w:rsidRDefault="005471CD" w:rsidP="00BB3E8A">
      <w:pPr>
        <w:pStyle w:val="NormalWeb"/>
        <w:ind w:left="480" w:hanging="480"/>
      </w:pPr>
      <w:proofErr w:type="spellStart"/>
      <w:r w:rsidRPr="0055588D">
        <w:t>Karasek</w:t>
      </w:r>
      <w:proofErr w:type="spellEnd"/>
      <w:r w:rsidRPr="0055588D">
        <w:t xml:space="preserve">, R. A. &amp; Theorell, T. (1990). </w:t>
      </w:r>
      <w:r w:rsidRPr="0055588D">
        <w:rPr>
          <w:i/>
        </w:rPr>
        <w:t xml:space="preserve">Healthy work: Stress, productivity and the reconstruction of working life. </w:t>
      </w:r>
      <w:r w:rsidRPr="0055588D">
        <w:t xml:space="preserve">New York: Basic Books. </w:t>
      </w:r>
    </w:p>
    <w:p w14:paraId="65C44E22" w14:textId="4272DB03" w:rsidR="00C623C7" w:rsidRPr="005E37C7" w:rsidRDefault="005E37C7" w:rsidP="00BB3E8A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Karasek</w:t>
      </w:r>
      <w:proofErr w:type="spellEnd"/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R. A. (1979). Job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emands,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ecision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atitude, and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ental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train: Implications for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 </w:t>
      </w:r>
      <w:r w:rsidR="003836CB"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edesign. </w:t>
      </w:r>
      <w:r w:rsidRPr="00555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Administrative Science Quar</w:t>
      </w:r>
      <w:bookmarkStart w:id="0" w:name="_GoBack"/>
      <w:bookmarkEnd w:id="0"/>
      <w:r w:rsidRPr="00555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terly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55588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24</w:t>
      </w:r>
      <w:r w:rsidRPr="0055588D">
        <w:rPr>
          <w:rFonts w:ascii="Times New Roman" w:eastAsia="Times New Roman" w:hAnsi="Times New Roman" w:cs="Times New Roman"/>
          <w:color w:val="auto"/>
          <w:sz w:val="24"/>
          <w:szCs w:val="24"/>
        </w:rPr>
        <w:t>(2), 285. http://doi.org/10.2307/2392498</w:t>
      </w:r>
    </w:p>
    <w:sectPr w:rsidR="00C623C7" w:rsidRPr="005E37C7" w:rsidSect="005A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310E"/>
    <w:multiLevelType w:val="multilevel"/>
    <w:tmpl w:val="5E1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07"/>
    <w:rsid w:val="00132707"/>
    <w:rsid w:val="001E31D9"/>
    <w:rsid w:val="00354736"/>
    <w:rsid w:val="003836CB"/>
    <w:rsid w:val="00411063"/>
    <w:rsid w:val="004E792E"/>
    <w:rsid w:val="005471CD"/>
    <w:rsid w:val="0055588D"/>
    <w:rsid w:val="005A3BD4"/>
    <w:rsid w:val="005E37C7"/>
    <w:rsid w:val="0068064E"/>
    <w:rsid w:val="009239EB"/>
    <w:rsid w:val="00A44B07"/>
    <w:rsid w:val="00AA19C2"/>
    <w:rsid w:val="00B259C3"/>
    <w:rsid w:val="00BB3E8A"/>
    <w:rsid w:val="00BF00D6"/>
    <w:rsid w:val="00C02303"/>
    <w:rsid w:val="00C623C7"/>
    <w:rsid w:val="00D96041"/>
    <w:rsid w:val="00EF0E72"/>
    <w:rsid w:val="00F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9A70"/>
  <w15:docId w15:val="{5E45B380-79B9-4F54-B8EF-2E27E6D8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3270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32707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0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0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03"/>
    <w:rPr>
      <w:rFonts w:ascii="Tahoma" w:eastAsia="Calibri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2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7C7"/>
    <w:rPr>
      <w:color w:val="0000FF"/>
      <w:u w:val="single"/>
    </w:rPr>
  </w:style>
  <w:style w:type="character" w:customStyle="1" w:styleId="journalname">
    <w:name w:val="journalname"/>
    <w:basedOn w:val="DefaultParagraphFont"/>
    <w:rsid w:val="005E37C7"/>
  </w:style>
  <w:style w:type="character" w:customStyle="1" w:styleId="year">
    <w:name w:val="year"/>
    <w:basedOn w:val="DefaultParagraphFont"/>
    <w:rsid w:val="005E37C7"/>
  </w:style>
  <w:style w:type="character" w:customStyle="1" w:styleId="page">
    <w:name w:val="page"/>
    <w:basedOn w:val="DefaultParagraphFont"/>
    <w:rsid w:val="005E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Peavey_MCcomp</dc:creator>
  <cp:lastModifiedBy>Peavey, Erin</cp:lastModifiedBy>
  <cp:revision>2</cp:revision>
  <dcterms:created xsi:type="dcterms:W3CDTF">2018-11-28T15:42:00Z</dcterms:created>
  <dcterms:modified xsi:type="dcterms:W3CDTF">2018-11-28T15:42:00Z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