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46" w:rsidRPr="00742CC4" w:rsidRDefault="00A24146" w:rsidP="00A24146">
      <w:pPr>
        <w:pStyle w:val="Titre1"/>
        <w:rPr>
          <w:lang w:val="en-US"/>
        </w:rPr>
      </w:pPr>
      <w:r w:rsidRPr="00742CC4">
        <w:rPr>
          <w:lang w:val="en-US"/>
        </w:rPr>
        <w:t>Appendices</w:t>
      </w:r>
    </w:p>
    <w:p w:rsidR="00A24146" w:rsidRPr="00742CC4" w:rsidRDefault="00A24146" w:rsidP="00A24146">
      <w:pPr>
        <w:pStyle w:val="Tabletitle"/>
        <w:rPr>
          <w:lang w:val="en-US"/>
        </w:rPr>
      </w:pPr>
      <w:r w:rsidRPr="00742CC4">
        <w:rPr>
          <w:lang w:val="en-US"/>
        </w:rPr>
        <w:t>Supplementary Table 1. Definition for success and clinical improvement assessment 6 months after the last application of the patch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70"/>
        <w:gridCol w:w="2268"/>
        <w:gridCol w:w="2268"/>
        <w:gridCol w:w="2266"/>
      </w:tblGrid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Definition</w:t>
            </w:r>
          </w:p>
        </w:tc>
        <w:tc>
          <w:tcPr>
            <w:tcW w:w="374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 xml:space="preserve">Change in pain intensity (NPRS score) </w:t>
            </w:r>
            <w:r w:rsidRPr="00742CC4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PGIC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&lt; 30%</w:t>
            </w:r>
          </w:p>
        </w:tc>
        <w:tc>
          <w:tcPr>
            <w:tcW w:w="1249" w:type="pct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≥ 30 %</w:t>
            </w:r>
          </w:p>
        </w:tc>
      </w:tr>
      <w:tr w:rsidR="00A24146" w:rsidRPr="00742CC4" w:rsidTr="001C5CB7"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 xml:space="preserve">Missing 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NA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NA</w:t>
            </w: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NA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Improved</w:t>
            </w:r>
            <w:r w:rsidRPr="00742CC4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NA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Moderate success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Success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 xml:space="preserve">Unchanged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NA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Moderate success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Moderate success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Worsened</w:t>
            </w:r>
            <w:r w:rsidRPr="00742CC4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NA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Failure</w:t>
            </w:r>
          </w:p>
        </w:tc>
        <w:tc>
          <w:tcPr>
            <w:tcW w:w="1249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Moderate success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374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 xml:space="preserve">Change in pain intensity (NPRS score) </w:t>
            </w:r>
            <w:r w:rsidRPr="00742CC4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PGIC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&lt; 30%</w:t>
            </w:r>
          </w:p>
        </w:tc>
        <w:tc>
          <w:tcPr>
            <w:tcW w:w="1249" w:type="pct"/>
            <w:tcBorders>
              <w:left w:val="nil"/>
              <w:bottom w:val="single" w:sz="4" w:space="0" w:color="auto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≥ 30 %</w:t>
            </w:r>
          </w:p>
        </w:tc>
      </w:tr>
      <w:tr w:rsidR="00A24146" w:rsidRPr="00742CC4" w:rsidTr="001C5CB7"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 xml:space="preserve">Missing 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202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73</w:t>
            </w: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34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Improved</w:t>
            </w:r>
            <w:r w:rsidRPr="00742CC4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119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72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 xml:space="preserve">Unchanged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91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</w:tr>
      <w:tr w:rsidR="00A24146" w:rsidRPr="00742CC4" w:rsidTr="001C5CB7">
        <w:tc>
          <w:tcPr>
            <w:tcW w:w="1251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Worsened</w:t>
            </w:r>
            <w:r w:rsidRPr="00742CC4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249" w:type="pct"/>
            <w:tcBorders>
              <w:top w:val="nil"/>
              <w:left w:val="nil"/>
              <w:right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42CC4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</w:tbl>
    <w:p w:rsidR="00A24146" w:rsidRPr="00742CC4" w:rsidRDefault="00A24146" w:rsidP="00A24146">
      <w:pPr>
        <w:pStyle w:val="Footnotes"/>
        <w:rPr>
          <w:lang w:val="en-US"/>
        </w:rPr>
      </w:pPr>
      <w:r w:rsidRPr="00742CC4">
        <w:rPr>
          <w:vertAlign w:val="superscript"/>
          <w:lang w:val="en-US"/>
        </w:rPr>
        <w:t>a</w:t>
      </w:r>
      <w:r w:rsidRPr="00742CC4">
        <w:rPr>
          <w:vertAlign w:val="superscript"/>
          <w:lang w:val="en-US"/>
        </w:rPr>
        <w:tab/>
      </w:r>
      <w:r w:rsidRPr="00742CC4">
        <w:rPr>
          <w:lang w:val="en-US"/>
        </w:rPr>
        <w:t xml:space="preserve">Slightly, much or very much </w:t>
      </w:r>
    </w:p>
    <w:p w:rsidR="00A24146" w:rsidRPr="00742CC4" w:rsidRDefault="00A24146" w:rsidP="00A24146">
      <w:pPr>
        <w:pStyle w:val="Footnotes"/>
        <w:rPr>
          <w:lang w:val="en-US"/>
        </w:rPr>
      </w:pPr>
      <w:r w:rsidRPr="00742CC4">
        <w:rPr>
          <w:vertAlign w:val="superscript"/>
          <w:lang w:val="en-US"/>
        </w:rPr>
        <w:t>b</w:t>
      </w:r>
      <w:r w:rsidRPr="00742CC4">
        <w:rPr>
          <w:lang w:val="en-US"/>
        </w:rPr>
        <w:tab/>
      </w:r>
      <w:proofErr w:type="gramStart"/>
      <w:r w:rsidRPr="00742CC4">
        <w:rPr>
          <w:lang w:val="en-US"/>
        </w:rPr>
        <w:t>The</w:t>
      </w:r>
      <w:proofErr w:type="gramEnd"/>
      <w:r w:rsidRPr="00742CC4">
        <w:rPr>
          <w:lang w:val="en-US"/>
        </w:rPr>
        <w:t xml:space="preserve"> weekly average pain intensity was assessed using a standard 0-10 Numerical Pain Rating Scale (NPRS). Relative change from baseline to week 2 to 24 after the last application of capsaicin patch (i.e., end of 6 months’ follow-up). </w:t>
      </w:r>
    </w:p>
    <w:p w:rsidR="00A24146" w:rsidRPr="00742CC4" w:rsidRDefault="00A24146" w:rsidP="00A24146">
      <w:pPr>
        <w:pStyle w:val="Footnotes"/>
        <w:rPr>
          <w:lang w:val="en-US"/>
        </w:rPr>
      </w:pPr>
      <w:r w:rsidRPr="00742CC4">
        <w:rPr>
          <w:lang w:val="en-US"/>
        </w:rPr>
        <w:t>NA, Not applicable</w:t>
      </w:r>
      <w:r>
        <w:rPr>
          <w:lang w:val="en-US"/>
        </w:rPr>
        <w:t xml:space="preserve">; PGIC, </w:t>
      </w:r>
      <w:r w:rsidRPr="00B035FE">
        <w:rPr>
          <w:lang w:val="en-US"/>
        </w:rPr>
        <w:t>Patient Global Impression of Change</w:t>
      </w:r>
      <w:r>
        <w:rPr>
          <w:lang w:val="en-US"/>
        </w:rPr>
        <w:t>.</w:t>
      </w:r>
    </w:p>
    <w:p w:rsidR="00A24146" w:rsidRPr="00742CC4" w:rsidRDefault="00A24146" w:rsidP="00A24146">
      <w:pPr>
        <w:spacing w:line="240" w:lineRule="auto"/>
        <w:rPr>
          <w:b/>
          <w:lang w:val="en-US"/>
        </w:rPr>
      </w:pPr>
      <w:r w:rsidRPr="00742CC4">
        <w:rPr>
          <w:b/>
          <w:lang w:val="en-US"/>
        </w:rPr>
        <w:br w:type="page"/>
      </w:r>
    </w:p>
    <w:p w:rsidR="00A24146" w:rsidRPr="00742CC4" w:rsidRDefault="00A24146" w:rsidP="00A24146">
      <w:pPr>
        <w:pStyle w:val="Tabletitle"/>
        <w:rPr>
          <w:lang w:val="en-US"/>
        </w:rPr>
      </w:pPr>
      <w:r w:rsidRPr="00742CC4">
        <w:rPr>
          <w:lang w:val="en-US"/>
        </w:rPr>
        <w:lastRenderedPageBreak/>
        <w:t>Supplementary Table 2. Brief pain inventory (BPI) at first and last application (completers)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1716"/>
        <w:gridCol w:w="1716"/>
      </w:tblGrid>
      <w:tr w:rsidR="00A24146" w:rsidRPr="00742CC4" w:rsidTr="001C5CB7">
        <w:tc>
          <w:tcPr>
            <w:tcW w:w="3108" w:type="pct"/>
            <w:tcBorders>
              <w:top w:val="single" w:sz="4" w:space="0" w:color="auto"/>
              <w:bottom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b/>
                <w:lang w:val="en-US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bottom w:val="nil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b/>
                <w:lang w:val="en-US"/>
              </w:rPr>
            </w:pPr>
            <w:r w:rsidRPr="00742CC4">
              <w:rPr>
                <w:b/>
                <w:lang w:val="en-US"/>
              </w:rPr>
              <w:t xml:space="preserve">Completers </w:t>
            </w:r>
            <w:r w:rsidRPr="00742CC4">
              <w:rPr>
                <w:b/>
                <w:lang w:val="en-US"/>
              </w:rPr>
              <w:br/>
              <w:t>(N = 389)</w:t>
            </w:r>
          </w:p>
        </w:tc>
      </w:tr>
      <w:tr w:rsidR="00A24146" w:rsidRPr="00742CC4" w:rsidTr="001C5CB7">
        <w:tc>
          <w:tcPr>
            <w:tcW w:w="3108" w:type="pct"/>
            <w:tcBorders>
              <w:top w:val="nil"/>
              <w:bottom w:val="single" w:sz="4" w:space="0" w:color="auto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b/>
                <w:lang w:val="en-US"/>
              </w:rPr>
            </w:pPr>
          </w:p>
        </w:tc>
        <w:tc>
          <w:tcPr>
            <w:tcW w:w="946" w:type="pct"/>
            <w:tcBorders>
              <w:top w:val="nil"/>
              <w:bottom w:val="single" w:sz="4" w:space="0" w:color="auto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b/>
                <w:lang w:val="en-US"/>
              </w:rPr>
            </w:pPr>
            <w:r w:rsidRPr="00742CC4">
              <w:rPr>
                <w:b/>
                <w:lang w:val="en-US"/>
              </w:rPr>
              <w:t xml:space="preserve">First </w:t>
            </w:r>
            <w:r w:rsidRPr="00742CC4">
              <w:rPr>
                <w:b/>
                <w:lang w:val="en-US"/>
              </w:rPr>
              <w:br/>
              <w:t>application</w:t>
            </w:r>
          </w:p>
        </w:tc>
        <w:tc>
          <w:tcPr>
            <w:tcW w:w="946" w:type="pct"/>
            <w:tcBorders>
              <w:top w:val="nil"/>
              <w:bottom w:val="single" w:sz="4" w:space="0" w:color="auto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b/>
                <w:lang w:val="en-US"/>
              </w:rPr>
            </w:pPr>
            <w:r w:rsidRPr="00742CC4">
              <w:rPr>
                <w:b/>
                <w:lang w:val="en-US"/>
              </w:rPr>
              <w:t xml:space="preserve">Last </w:t>
            </w:r>
            <w:r w:rsidRPr="00742CC4">
              <w:rPr>
                <w:b/>
                <w:lang w:val="en-US"/>
              </w:rPr>
              <w:br/>
              <w:t>application</w:t>
            </w:r>
          </w:p>
        </w:tc>
      </w:tr>
      <w:tr w:rsidR="00A24146" w:rsidRPr="00742CC4" w:rsidTr="001C5CB7">
        <w:tc>
          <w:tcPr>
            <w:tcW w:w="3108" w:type="pct"/>
            <w:tcBorders>
              <w:top w:val="single" w:sz="4" w:space="0" w:color="auto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vertAlign w:val="superscript"/>
                <w:lang w:val="en-US"/>
              </w:rPr>
            </w:pPr>
            <w:r w:rsidRPr="00742CC4">
              <w:rPr>
                <w:lang w:val="en-US"/>
              </w:rPr>
              <w:t>Pain severity: Mean (SD)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Worst pain in the last 24 hours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7.3 (2.0)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6.0 (2.6)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Least pain in the last 24 hours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3.5 (2.2)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3.1 (2.2)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Average pain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5.9 (2.0)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4.8 (2.3)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Pain now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5.2 (2.6)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4.5 (2.7)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>Pain interference: Mean (SD)</w:t>
            </w:r>
          </w:p>
          <w:p w:rsidR="00A24146" w:rsidRPr="00742CC4" w:rsidRDefault="00A24146" w:rsidP="001C5CB7">
            <w:pPr>
              <w:pStyle w:val="Paragraph"/>
              <w:spacing w:before="0" w:after="120" w:line="240" w:lineRule="auto"/>
              <w:ind w:left="314"/>
              <w:rPr>
                <w:lang w:val="en-US"/>
              </w:rPr>
            </w:pPr>
            <w:r w:rsidRPr="00742CC4">
              <w:rPr>
                <w:lang w:val="en-US"/>
              </w:rPr>
              <w:t>In the last 24 hours, pain has interfered: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general activity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5.9 (2.5)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4.6 (2.9)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mood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5.0 (2.8)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4.0 (3.1)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walking ability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4.4 (3.5)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3.7 (3.4)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normal work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6.0 (2.8)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4.6 (3.1)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relations with other people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3.7 (3.1)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3.0 (3.0)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sleep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5.3 (3.2)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4.1 (3.3)</w:t>
            </w:r>
          </w:p>
        </w:tc>
      </w:tr>
      <w:tr w:rsidR="00A24146" w:rsidRPr="00742CC4" w:rsidTr="001C5CB7">
        <w:tc>
          <w:tcPr>
            <w:tcW w:w="3108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rPr>
                <w:lang w:val="en-US"/>
              </w:rPr>
            </w:pPr>
            <w:r w:rsidRPr="00742CC4">
              <w:rPr>
                <w:lang w:val="en-US"/>
              </w:rPr>
              <w:tab/>
              <w:t>With your enjoyment of life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3.9 (3.1)</w:t>
            </w:r>
          </w:p>
        </w:tc>
        <w:tc>
          <w:tcPr>
            <w:tcW w:w="946" w:type="pct"/>
          </w:tcPr>
          <w:p w:rsidR="00A24146" w:rsidRPr="00742CC4" w:rsidRDefault="00A24146" w:rsidP="001C5CB7">
            <w:pPr>
              <w:pStyle w:val="Paragraph"/>
              <w:spacing w:before="0" w:after="120" w:line="240" w:lineRule="auto"/>
              <w:jc w:val="center"/>
              <w:rPr>
                <w:lang w:val="en-US"/>
              </w:rPr>
            </w:pPr>
            <w:r w:rsidRPr="00742CC4">
              <w:rPr>
                <w:lang w:val="en-US"/>
              </w:rPr>
              <w:t>3.1 (3.1)</w:t>
            </w:r>
          </w:p>
        </w:tc>
      </w:tr>
    </w:tbl>
    <w:p w:rsidR="00A24146" w:rsidRPr="00742CC4" w:rsidRDefault="00A24146" w:rsidP="00A24146">
      <w:pPr>
        <w:pStyle w:val="Paragraph"/>
        <w:rPr>
          <w:lang w:val="en-US"/>
        </w:rPr>
      </w:pPr>
      <w:r w:rsidRPr="00742CC4">
        <w:rPr>
          <w:sz w:val="20"/>
          <w:lang w:val="en-US"/>
        </w:rPr>
        <w:t>SD, standard deviation</w:t>
      </w:r>
      <w:r>
        <w:rPr>
          <w:sz w:val="20"/>
          <w:lang w:val="en-US"/>
        </w:rPr>
        <w:t>.</w:t>
      </w:r>
    </w:p>
    <w:p w:rsidR="003D5F5C" w:rsidRDefault="00D3061B" w:rsidP="00A24146">
      <w:bookmarkStart w:id="0" w:name="_GoBack"/>
      <w:bookmarkEnd w:id="0"/>
    </w:p>
    <w:sectPr w:rsidR="003D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46"/>
    <w:rsid w:val="00144933"/>
    <w:rsid w:val="00467ABE"/>
    <w:rsid w:val="005119DD"/>
    <w:rsid w:val="00803E0E"/>
    <w:rsid w:val="00A24146"/>
    <w:rsid w:val="00B36EF0"/>
    <w:rsid w:val="00D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61E"/>
  <w15:chartTrackingRefBased/>
  <w15:docId w15:val="{92D72B73-A77C-4CE6-8129-44F2BB5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4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Paragraph"/>
    <w:link w:val="Titre1Car"/>
    <w:qFormat/>
    <w:rsid w:val="00A24146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146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A24146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A2414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Paragraph">
    <w:name w:val="Paragraph"/>
    <w:basedOn w:val="Normal"/>
    <w:next w:val="Normal"/>
    <w:qFormat/>
    <w:rsid w:val="00A24146"/>
    <w:pPr>
      <w:widowControl w:val="0"/>
      <w:spacing w:before="240"/>
    </w:pPr>
  </w:style>
  <w:style w:type="table" w:styleId="Grilledutableau">
    <w:name w:val="Table Grid"/>
    <w:basedOn w:val="TableauNormal"/>
    <w:uiPriority w:val="39"/>
    <w:rsid w:val="00A24146"/>
    <w:pPr>
      <w:spacing w:after="24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2018-09-24T10:06:00Z</dcterms:created>
  <dcterms:modified xsi:type="dcterms:W3CDTF">2018-09-24T10:07:00Z</dcterms:modified>
</cp:coreProperties>
</file>