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65AE06" w14:textId="77777777" w:rsidR="00507F36" w:rsidRPr="003638F9" w:rsidRDefault="00507F36" w:rsidP="00507F36">
      <w:pPr>
        <w:rPr>
          <w:lang w:val="en-US"/>
        </w:rPr>
      </w:pPr>
      <w:r w:rsidRPr="00507F36">
        <w:rPr>
          <w:b/>
          <w:lang w:val="en-US"/>
        </w:rPr>
        <w:t xml:space="preserve">Supplementary Table 1. </w:t>
      </w:r>
      <w:r w:rsidRPr="003638F9">
        <w:rPr>
          <w:lang w:val="en-US"/>
        </w:rPr>
        <w:t>Crystal structures and amino acid sequences used in molecular modeling.</w:t>
      </w:r>
    </w:p>
    <w:tbl>
      <w:tblPr>
        <w:tblStyle w:val="TableGrid"/>
        <w:tblW w:w="0" w:type="auto"/>
        <w:tblLayout w:type="fixed"/>
        <w:tblLook w:val="04A0" w:firstRow="1" w:lastRow="0" w:firstColumn="1" w:lastColumn="0" w:noHBand="0" w:noVBand="1"/>
      </w:tblPr>
      <w:tblGrid>
        <w:gridCol w:w="2268"/>
        <w:gridCol w:w="2694"/>
        <w:gridCol w:w="4064"/>
      </w:tblGrid>
      <w:tr w:rsidR="005911AC" w14:paraId="12A493FE" w14:textId="77777777" w:rsidTr="00C65FFE">
        <w:tc>
          <w:tcPr>
            <w:tcW w:w="2268" w:type="dxa"/>
            <w:tcBorders>
              <w:top w:val="single" w:sz="4" w:space="0" w:color="auto"/>
              <w:left w:val="nil"/>
              <w:bottom w:val="single" w:sz="4" w:space="0" w:color="auto"/>
              <w:right w:val="nil"/>
            </w:tcBorders>
          </w:tcPr>
          <w:p w14:paraId="49D1DA72" w14:textId="77777777" w:rsidR="005911AC" w:rsidRDefault="005911AC" w:rsidP="00FA0AB5">
            <w:pPr>
              <w:rPr>
                <w:lang w:val="en-US"/>
              </w:rPr>
            </w:pPr>
            <w:r w:rsidRPr="622AB48A">
              <w:rPr>
                <w:lang w:val="en-US"/>
              </w:rPr>
              <w:t>CYP form</w:t>
            </w:r>
          </w:p>
        </w:tc>
        <w:tc>
          <w:tcPr>
            <w:tcW w:w="2694" w:type="dxa"/>
            <w:tcBorders>
              <w:top w:val="single" w:sz="4" w:space="0" w:color="auto"/>
              <w:left w:val="nil"/>
              <w:bottom w:val="single" w:sz="4" w:space="0" w:color="auto"/>
              <w:right w:val="nil"/>
            </w:tcBorders>
          </w:tcPr>
          <w:p w14:paraId="12B61F15" w14:textId="77777777" w:rsidR="005911AC" w:rsidRDefault="005911AC" w:rsidP="00FA0AB5">
            <w:pPr>
              <w:rPr>
                <w:lang w:val="en-US"/>
              </w:rPr>
            </w:pPr>
            <w:proofErr w:type="spellStart"/>
            <w:r w:rsidRPr="622AB48A">
              <w:rPr>
                <w:lang w:val="en-US"/>
              </w:rPr>
              <w:t>UniProt</w:t>
            </w:r>
            <w:proofErr w:type="spellEnd"/>
            <w:r w:rsidRPr="622AB48A">
              <w:rPr>
                <w:lang w:val="en-US"/>
              </w:rPr>
              <w:t xml:space="preserve"> entry</w:t>
            </w:r>
          </w:p>
        </w:tc>
        <w:tc>
          <w:tcPr>
            <w:tcW w:w="4064" w:type="dxa"/>
            <w:tcBorders>
              <w:top w:val="single" w:sz="4" w:space="0" w:color="auto"/>
              <w:left w:val="nil"/>
              <w:bottom w:val="single" w:sz="4" w:space="0" w:color="auto"/>
              <w:right w:val="nil"/>
            </w:tcBorders>
          </w:tcPr>
          <w:p w14:paraId="13E6A715" w14:textId="07B82B31" w:rsidR="005911AC" w:rsidRDefault="00C65FFE" w:rsidP="00FA0AB5">
            <w:pPr>
              <w:rPr>
                <w:lang w:val="en-US"/>
              </w:rPr>
            </w:pPr>
            <w:r>
              <w:rPr>
                <w:lang w:val="en-US"/>
              </w:rPr>
              <w:t>PDB ID</w:t>
            </w:r>
          </w:p>
        </w:tc>
      </w:tr>
      <w:tr w:rsidR="005911AC" w:rsidRPr="00FE65D9" w14:paraId="0AB77E2B" w14:textId="77777777" w:rsidTr="00C65FFE">
        <w:tc>
          <w:tcPr>
            <w:tcW w:w="2268" w:type="dxa"/>
            <w:tcBorders>
              <w:top w:val="single" w:sz="4" w:space="0" w:color="auto"/>
              <w:left w:val="nil"/>
              <w:bottom w:val="nil"/>
              <w:right w:val="nil"/>
            </w:tcBorders>
          </w:tcPr>
          <w:p w14:paraId="4ECE3610" w14:textId="77777777" w:rsidR="005911AC" w:rsidRDefault="005911AC" w:rsidP="00FA0AB5">
            <w:pPr>
              <w:rPr>
                <w:lang w:val="en-US"/>
              </w:rPr>
            </w:pPr>
            <w:r w:rsidRPr="622AB48A">
              <w:rPr>
                <w:lang w:val="en-US"/>
              </w:rPr>
              <w:t>1A1</w:t>
            </w:r>
          </w:p>
        </w:tc>
        <w:tc>
          <w:tcPr>
            <w:tcW w:w="2694" w:type="dxa"/>
            <w:tcBorders>
              <w:top w:val="single" w:sz="4" w:space="0" w:color="auto"/>
              <w:left w:val="nil"/>
              <w:bottom w:val="nil"/>
              <w:right w:val="nil"/>
            </w:tcBorders>
          </w:tcPr>
          <w:p w14:paraId="57FCE5E4" w14:textId="77777777" w:rsidR="005911AC" w:rsidRDefault="005911AC" w:rsidP="00FA0AB5">
            <w:pPr>
              <w:rPr>
                <w:lang w:val="en-US"/>
              </w:rPr>
            </w:pPr>
            <w:r w:rsidRPr="622AB48A">
              <w:rPr>
                <w:lang w:val="en-US"/>
              </w:rPr>
              <w:t>P04798-1</w:t>
            </w:r>
          </w:p>
        </w:tc>
        <w:tc>
          <w:tcPr>
            <w:tcW w:w="4064" w:type="dxa"/>
            <w:tcBorders>
              <w:top w:val="single" w:sz="4" w:space="0" w:color="auto"/>
              <w:left w:val="nil"/>
              <w:bottom w:val="nil"/>
              <w:right w:val="nil"/>
            </w:tcBorders>
          </w:tcPr>
          <w:p w14:paraId="1FDD5FF8" w14:textId="2DFBA6FB" w:rsidR="005911AC" w:rsidRDefault="005911AC" w:rsidP="00FA0AB5">
            <w:pPr>
              <w:rPr>
                <w:lang w:val="en-US"/>
              </w:rPr>
            </w:pPr>
            <w:r w:rsidRPr="622AB48A">
              <w:rPr>
                <w:lang w:val="en-US"/>
              </w:rPr>
              <w:t>4I8V</w:t>
            </w:r>
            <w:r w:rsidRPr="622AB48A">
              <w:rPr>
                <w:vertAlign w:val="superscript"/>
                <w:lang w:val="en-US"/>
              </w:rPr>
              <w:t>a,b</w:t>
            </w:r>
            <w:r>
              <w:rPr>
                <w:lang w:val="en-US"/>
              </w:rPr>
              <w:t xml:space="preserve"> </w:t>
            </w:r>
            <w:r>
              <w:rPr>
                <w:lang w:val="en-US"/>
              </w:rPr>
              <w:fldChar w:fldCharType="begin" w:fldLock="1"/>
            </w:r>
            <w:r w:rsidR="003932D1">
              <w:rPr>
                <w:lang w:val="en-US"/>
              </w:rPr>
              <w:instrText xml:space="preserve">ADDIN CSL_CITATION {"citationItems":[{"id":"ITEM-1","itemData":{"DOI":"10.1074/jbc.M113.452953","ISBN":"1083-351X (Electronic)\\r0021-9258 (Linking)","ISSN":"00219258","PMID":"23508959","abstract":"Cytochrome P450 (CYP) 1A1 is an extrahepatic monooxygenase involved in the metabolism of endogenous substrates and drugs, as well as the activation of certain toxins and environmental pollutants. CYP1A1 is particularly well known for its ability to biotransform polycyclic aromatic hydrocarbons, such as benzo[a]pyrene in tobacco smoke, into carcinogens. CYP1A1 possesses functional similarities and differences with human CYP1A2 and CYP1B1 enzymes, but the structural basis for this has been unclear. We determined a 2.6 </w:instrText>
            </w:r>
            <w:r w:rsidR="003932D1">
              <w:rPr>
                <w:rFonts w:ascii="Cambria Math" w:hAnsi="Cambria Math" w:cs="Cambria Math"/>
                <w:lang w:val="en-US"/>
              </w:rPr>
              <w:instrText>Å</w:instrText>
            </w:r>
            <w:r w:rsidR="003932D1">
              <w:rPr>
                <w:lang w:val="en-US"/>
              </w:rPr>
              <w:instrText xml:space="preserve"> structure of human CYP1A1 with the inhibitor α-naphthoflavone. α-Naphthoflavone binds within an enclosed active site, with the planar benzochromen-4-one core packed flat against the I helix that composes one wall of the active site, and the 2-phenyl substituent oriented toward the catalytic heme iron. Comparisons with previously determined structures of the related cytochrome P450 1A2 and 1B1 enzymes reveal distinct features among the active sites that may underlie the functional variability of these enzymes. Finally, docking studies probed the ability of CYP1A structures to assist in understanding their known in vitro interactions with several typical substrates and inhibitors.","author":[{"dropping-particle":"","family":"Walsh","given":"Agnes A.","non-dropping-particle":"","parse-names":false,"suffix":""},{"dropping-particle":"","family":"Szklarz","given":"Grazyna D.","non-dropping-particle":"","parse-names":false,"suffix":""},{"dropping-particle":"","family":"Scott","given":"Emily E.","non-dropping-particle":"","parse-names":false,"suffix":""}],"container-title":"Journal of Biological Chemistry","id":"ITEM-1","issue":"18","issued":{"date-parts":[["2013"]]},"page":"12932-12943","title":"Human cytochrome P450 1A1 structure and utility in understanding drug and xenobiotic metabolism","type":"article-journal","volume":"288"},"uris":["http://www.mendeley.com/documents/?uuid=0e288042-185c-4f64-a4f4-d91d9c22f3f4"]}],"mendeley":{"formattedCitation":"(Walsh et al. 2013)","plainTextFormattedCitation":"(Walsh et al. 2013)","previouslyFormattedCitation":"&lt;sup&gt;1&lt;/sup&gt;"},"properties":{"noteIndex":0},"schema":"https://github.com/citation-style-language/schema/raw/master/csl-citation.json"}</w:instrText>
            </w:r>
            <w:r>
              <w:rPr>
                <w:lang w:val="en-US"/>
              </w:rPr>
              <w:fldChar w:fldCharType="separate"/>
            </w:r>
            <w:r w:rsidR="003932D1" w:rsidRPr="003932D1">
              <w:rPr>
                <w:noProof/>
                <w:lang w:val="en-US"/>
              </w:rPr>
              <w:t>(Walsh et al. 2013)</w:t>
            </w:r>
            <w:r>
              <w:rPr>
                <w:lang w:val="en-US"/>
              </w:rPr>
              <w:fldChar w:fldCharType="end"/>
            </w:r>
          </w:p>
        </w:tc>
      </w:tr>
      <w:tr w:rsidR="005911AC" w:rsidRPr="00C83A11" w14:paraId="5F10D036" w14:textId="77777777" w:rsidTr="00C65FFE">
        <w:tc>
          <w:tcPr>
            <w:tcW w:w="2268" w:type="dxa"/>
            <w:tcBorders>
              <w:top w:val="nil"/>
              <w:left w:val="nil"/>
              <w:bottom w:val="nil"/>
              <w:right w:val="nil"/>
            </w:tcBorders>
          </w:tcPr>
          <w:p w14:paraId="3C6FFFA1" w14:textId="77777777" w:rsidR="005911AC" w:rsidRDefault="005911AC" w:rsidP="00FA0AB5">
            <w:pPr>
              <w:rPr>
                <w:lang w:val="en-US"/>
              </w:rPr>
            </w:pPr>
            <w:r w:rsidRPr="622AB48A">
              <w:rPr>
                <w:lang w:val="en-US"/>
              </w:rPr>
              <w:t>1A2</w:t>
            </w:r>
          </w:p>
        </w:tc>
        <w:tc>
          <w:tcPr>
            <w:tcW w:w="2694" w:type="dxa"/>
            <w:tcBorders>
              <w:top w:val="nil"/>
              <w:left w:val="nil"/>
              <w:bottom w:val="nil"/>
              <w:right w:val="nil"/>
            </w:tcBorders>
          </w:tcPr>
          <w:p w14:paraId="2FAE8C52" w14:textId="77777777" w:rsidR="005911AC" w:rsidRDefault="005911AC" w:rsidP="00FA0AB5">
            <w:pPr>
              <w:rPr>
                <w:lang w:val="en-US"/>
              </w:rPr>
            </w:pPr>
            <w:r w:rsidRPr="622AB48A">
              <w:rPr>
                <w:lang w:val="en-US"/>
              </w:rPr>
              <w:t>P05177-1</w:t>
            </w:r>
          </w:p>
        </w:tc>
        <w:tc>
          <w:tcPr>
            <w:tcW w:w="4064" w:type="dxa"/>
            <w:tcBorders>
              <w:top w:val="nil"/>
              <w:left w:val="nil"/>
              <w:bottom w:val="nil"/>
              <w:right w:val="nil"/>
            </w:tcBorders>
          </w:tcPr>
          <w:p w14:paraId="6D5132A5" w14:textId="5699F46C" w:rsidR="005911AC" w:rsidRDefault="005911AC" w:rsidP="00FA0AB5">
            <w:pPr>
              <w:rPr>
                <w:lang w:val="en-US"/>
              </w:rPr>
            </w:pPr>
            <w:r>
              <w:rPr>
                <w:lang w:val="en-US"/>
              </w:rPr>
              <w:t>2HI4</w:t>
            </w:r>
            <w:r w:rsidRPr="622AB48A">
              <w:rPr>
                <w:vertAlign w:val="superscript"/>
                <w:lang w:val="en-US"/>
              </w:rPr>
              <w:t>a</w:t>
            </w:r>
            <w:r>
              <w:rPr>
                <w:lang w:val="en-US"/>
              </w:rPr>
              <w:t xml:space="preserve"> </w:t>
            </w:r>
            <w:r>
              <w:rPr>
                <w:lang w:val="en-US"/>
              </w:rPr>
              <w:fldChar w:fldCharType="begin" w:fldLock="1"/>
            </w:r>
            <w:r w:rsidR="003932D1">
              <w:rPr>
                <w:lang w:val="en-US"/>
              </w:rPr>
              <w:instrText>ADDIN CSL_CITATION {"citationItems":[{"id":"ITEM-1","itemData":{"DOI":"10.1074/jbc.M611692200","ISBN":"0021-9258","ISSN":"00219258","PMID":"17311915","abstract":"Microsomal cytochrome P450 family 1 enzymes play prominent roles in xenobiotic detoxication and procarcinogen activation. P450 1A2 is the principal cytochrome P450 family 1 enzyme expressed in human liver and participates extensively in drug oxidations. This enzyme is also of great importance in the bioactivation of mutagens, including the N-hydroxylation of arylamines. P450-catalyzed reactions involve a wide range of substrates, and this versatility is reflected in a structural diversity evident in the active sites of available P450 structures. Here, we present the structure of human P450 1A2 in complex with the inhibitor alpha-naphthoflavone, determined to a resolution of 1.95 A. alpha-Naphthoflavone is bound in the active site above the distal surface of the heme prosthetic group. The structure reveals a compact, closed active site cavity that is highly adapted for the positioning and oxidation of relatively large, planar substrates. This unique topology is clearly distinct from known active site architectures of P450 family 2 and 3 enzymes and demonstrates how P450 family 1 enzymes have evolved to catalyze efficiently polycyclic aromatic hydrocarbon oxidation. This report provides the first structure of a microsomal P450 from family 1 and offers a template to study further structure-function relationships of alternative substrates and other cytochrome P450 family 1 members.","author":[{"dropping-particle":"","family":"Sansen","given":"Stefaan","non-dropping-particle":"","parse-names":false,"suffix":""},{"dropping-particle":"","family":"Yano","given":"Jason K.","non-dropping-particle":"","parse-names":false,"suffix":""},{"dropping-particle":"","family":"Reynald","given":"Rosamund L.","non-dropping-particle":"","parse-names":false,"suffix":""},{"dropping-particle":"","family":"Schoch","given":"Guillaume A.","non-dropping-particle":"","parse-names":false,"suffix":""},{"dropping-particle":"","family":"Griffin","given":"Keith J.","non-dropping-particle":"","parse-names":false,"suffix":""},{"dropping-particle":"","family":"Stout","given":"C. David","non-dropping-particle":"","parse-names":false,"suffix":""},{"dropping-particle":"","family":"Johnson","given":"Eric F.","non-dropping-particle":"","parse-names":false,"suffix":""}],"container-title":"Journal of Biological Chemistry","id":"ITEM-1","issue":"19","issued":{"date-parts":[["2007"]]},"page":"14348-14355","title":"Adaptations for the oxidation of polycyclic aromatic hydrocarbons exhibited by the structure of human P450 1A2","type":"article-journal","volume":"282"},"uris":["http://www.mendeley.com/documents/?uuid=d7be7308-fb7c-4a74-b521-7cfdc66d5cc3"]}],"mendeley":{"formattedCitation":"(Sansen et al. 2007)","plainTextFormattedCitation":"(Sansen et al. 2007)","previouslyFormattedCitation":"&lt;sup&gt;2&lt;/sup&gt;"},"properties":{"noteIndex":0},"schema":"https://github.com/citation-style-language/schema/raw/master/csl-citation.json"}</w:instrText>
            </w:r>
            <w:r>
              <w:rPr>
                <w:lang w:val="en-US"/>
              </w:rPr>
              <w:fldChar w:fldCharType="separate"/>
            </w:r>
            <w:r w:rsidR="003932D1" w:rsidRPr="003932D1">
              <w:rPr>
                <w:noProof/>
                <w:lang w:val="en-US"/>
              </w:rPr>
              <w:t>(Sansen et al. 2007)</w:t>
            </w:r>
            <w:r>
              <w:rPr>
                <w:lang w:val="en-US"/>
              </w:rPr>
              <w:fldChar w:fldCharType="end"/>
            </w:r>
          </w:p>
        </w:tc>
      </w:tr>
      <w:tr w:rsidR="005911AC" w:rsidRPr="00C83A11" w14:paraId="0A0FA985" w14:textId="77777777" w:rsidTr="00C65FFE">
        <w:tc>
          <w:tcPr>
            <w:tcW w:w="2268" w:type="dxa"/>
            <w:tcBorders>
              <w:top w:val="nil"/>
              <w:left w:val="nil"/>
              <w:bottom w:val="nil"/>
              <w:right w:val="nil"/>
            </w:tcBorders>
          </w:tcPr>
          <w:p w14:paraId="23109397" w14:textId="77777777" w:rsidR="005911AC" w:rsidRDefault="005911AC" w:rsidP="00FA0AB5">
            <w:pPr>
              <w:rPr>
                <w:lang w:val="en-US"/>
              </w:rPr>
            </w:pPr>
            <w:r w:rsidRPr="622AB48A">
              <w:rPr>
                <w:lang w:val="en-US"/>
              </w:rPr>
              <w:t>1B1</w:t>
            </w:r>
          </w:p>
        </w:tc>
        <w:tc>
          <w:tcPr>
            <w:tcW w:w="2694" w:type="dxa"/>
            <w:tcBorders>
              <w:top w:val="nil"/>
              <w:left w:val="nil"/>
              <w:bottom w:val="nil"/>
              <w:right w:val="nil"/>
            </w:tcBorders>
          </w:tcPr>
          <w:p w14:paraId="4DFAD7E1" w14:textId="77777777" w:rsidR="005911AC" w:rsidRDefault="005911AC" w:rsidP="00FA0AB5">
            <w:pPr>
              <w:rPr>
                <w:lang w:val="en-US"/>
              </w:rPr>
            </w:pPr>
            <w:r w:rsidRPr="622AB48A">
              <w:rPr>
                <w:lang w:val="en-US"/>
              </w:rPr>
              <w:t>Q16678-1</w:t>
            </w:r>
          </w:p>
        </w:tc>
        <w:tc>
          <w:tcPr>
            <w:tcW w:w="4064" w:type="dxa"/>
            <w:tcBorders>
              <w:top w:val="nil"/>
              <w:left w:val="nil"/>
              <w:bottom w:val="nil"/>
              <w:right w:val="nil"/>
            </w:tcBorders>
          </w:tcPr>
          <w:p w14:paraId="3835FBF5" w14:textId="35FA0693" w:rsidR="005911AC" w:rsidRDefault="005911AC" w:rsidP="00FA0AB5">
            <w:pPr>
              <w:rPr>
                <w:lang w:val="en-US"/>
              </w:rPr>
            </w:pPr>
            <w:r w:rsidRPr="622AB48A">
              <w:rPr>
                <w:lang w:val="en-US"/>
              </w:rPr>
              <w:t>3PM0</w:t>
            </w:r>
            <w:r w:rsidRPr="622AB48A">
              <w:rPr>
                <w:vertAlign w:val="superscript"/>
                <w:lang w:val="en-US"/>
              </w:rPr>
              <w:t>a</w:t>
            </w:r>
            <w:r>
              <w:rPr>
                <w:lang w:val="en-US"/>
              </w:rPr>
              <w:t xml:space="preserve"> </w:t>
            </w:r>
            <w:r>
              <w:rPr>
                <w:lang w:val="en-US"/>
              </w:rPr>
              <w:fldChar w:fldCharType="begin" w:fldLock="1"/>
            </w:r>
            <w:r w:rsidR="003932D1">
              <w:rPr>
                <w:lang w:val="en-US"/>
              </w:rPr>
              <w:instrText xml:space="preserve">ADDIN CSL_CITATION {"citationItems":[{"id":"ITEM-1","itemData":{"DOI":"10.1074/jbc.M110.204420","ISBN":"0021-9258","ISSN":"00219258","PMID":"21147782","abstract":"The atomic structure of human P450 1B1 was determined by x-ray crystallography to 2.7 </w:instrText>
            </w:r>
            <w:r w:rsidR="003932D1">
              <w:rPr>
                <w:rFonts w:ascii="Cambria Math" w:hAnsi="Cambria Math" w:cs="Cambria Math"/>
                <w:lang w:val="en-US"/>
              </w:rPr>
              <w:instrText>Å</w:instrText>
            </w:r>
            <w:r w:rsidR="003932D1">
              <w:rPr>
                <w:lang w:val="en-US"/>
              </w:rPr>
              <w:instrText xml:space="preserve"> resolution with α-naphthoflavone (ANF) bound in the active site cavity. Although the amino acid sequences of human P450s 1B1 and 1A2 have diverged significantly, both enzymes exhibit narrow active site cavities, which underlie similarities in their substrate profiles. Helix I residues adopt a relatively flat conformation in both enzymes, and a characteristic distortion of helix F places Phe(231) in 1B1 and Phe(226) in 1A2 in similar positions for π-π stacking with ANF. ANF binds in a distinctly different orientation in P450 1B1 from that observed for 1A2. This reflects, in part, divergent conformations of the helix B'-C loop that are stabilized by different hydrogen-bonding interactions in the two enzymes. Additionally, differences between the two enzymes for other amino acids that line the edges of the cavity contribute to distinct orientations of ANF in the two active sites. Thus, the narrow cavity is conserved in both P450 subfamily 1A and P450 subfamily 1B with sequence divergence around the edges of the cavity that modify substrate and inhibitor binding. The conservation of these P450 1B1 active site amino acid residues across vertebrate species suggests that these structural features are conserved.","author":[{"dropping-particle":"","family":"Wang","given":"An","non-dropping-particle":"","parse-names":false,"suffix":""},{"dropping-particle":"","family":"Savas","given":"Uzen","non-dropping-particle":"","parse-names":false,"suffix":""},{"dropping-particle":"","family":"Stout","given":"C. David","non-dropping-particle":"","parse-names":false,"suffix":""},{"dropping-particle":"","family":"Johnson","given":"Eric F.","non-dropping-particle":"","parse-names":false,"suffix":""}],"container-title":"Journal of Biological Chemistry","id":"ITEM-1","issue":"7","issued":{"date-parts":[["2011"]]},"page":"5736-5743","title":"Structural characterization of the complex between ??-naphthoflavone and human cytochrome P450 1B1","type":"article-journal","volume":"286"},"uris":["http://www.mendeley.com/documents/?uuid=69c5bb9f-f311-4799-919f-9467771daea2"]}],"mendeley":{"formattedCitation":"(Wang et al. 2011)","plainTextFormattedCitation":"(Wang et al. 2011)","previouslyFormattedCitation":"&lt;sup&gt;3&lt;/sup&gt;"},"properties":{"noteIndex":0},"schema":"https://github.com/citation-style-language/schema/raw/master/csl-citation.json"}</w:instrText>
            </w:r>
            <w:r>
              <w:rPr>
                <w:lang w:val="en-US"/>
              </w:rPr>
              <w:fldChar w:fldCharType="separate"/>
            </w:r>
            <w:r w:rsidR="003932D1" w:rsidRPr="003932D1">
              <w:rPr>
                <w:noProof/>
                <w:lang w:val="en-US"/>
              </w:rPr>
              <w:t>(Wang et al. 2011)</w:t>
            </w:r>
            <w:r>
              <w:rPr>
                <w:lang w:val="en-US"/>
              </w:rPr>
              <w:fldChar w:fldCharType="end"/>
            </w:r>
            <w:r>
              <w:rPr>
                <w:lang w:val="en-US"/>
              </w:rPr>
              <w:t xml:space="preserve"> </w:t>
            </w:r>
          </w:p>
        </w:tc>
      </w:tr>
      <w:tr w:rsidR="005911AC" w:rsidRPr="00C83A11" w14:paraId="2D2F470B" w14:textId="77777777" w:rsidTr="00C65FFE">
        <w:tc>
          <w:tcPr>
            <w:tcW w:w="2268" w:type="dxa"/>
            <w:tcBorders>
              <w:top w:val="nil"/>
              <w:left w:val="nil"/>
              <w:bottom w:val="nil"/>
              <w:right w:val="nil"/>
            </w:tcBorders>
          </w:tcPr>
          <w:p w14:paraId="15E6F9AF" w14:textId="77777777" w:rsidR="005911AC" w:rsidRDefault="005911AC" w:rsidP="00FA0AB5">
            <w:pPr>
              <w:rPr>
                <w:lang w:val="en-US"/>
              </w:rPr>
            </w:pPr>
            <w:r w:rsidRPr="622AB48A">
              <w:rPr>
                <w:lang w:val="en-US"/>
              </w:rPr>
              <w:t>2A6</w:t>
            </w:r>
          </w:p>
        </w:tc>
        <w:tc>
          <w:tcPr>
            <w:tcW w:w="2694" w:type="dxa"/>
            <w:tcBorders>
              <w:top w:val="nil"/>
              <w:left w:val="nil"/>
              <w:bottom w:val="nil"/>
              <w:right w:val="nil"/>
            </w:tcBorders>
          </w:tcPr>
          <w:p w14:paraId="5905620C" w14:textId="77777777" w:rsidR="005911AC" w:rsidRDefault="005911AC" w:rsidP="00FA0AB5">
            <w:pPr>
              <w:rPr>
                <w:lang w:val="en-US"/>
              </w:rPr>
            </w:pPr>
            <w:r w:rsidRPr="622AB48A">
              <w:rPr>
                <w:lang w:val="en-US"/>
              </w:rPr>
              <w:t>P11509-1</w:t>
            </w:r>
          </w:p>
        </w:tc>
        <w:tc>
          <w:tcPr>
            <w:tcW w:w="4064" w:type="dxa"/>
            <w:tcBorders>
              <w:top w:val="nil"/>
              <w:left w:val="nil"/>
              <w:bottom w:val="nil"/>
              <w:right w:val="nil"/>
            </w:tcBorders>
          </w:tcPr>
          <w:p w14:paraId="34994DDB" w14:textId="364F21F0" w:rsidR="005911AC" w:rsidRPr="00C65FFE" w:rsidRDefault="005911AC" w:rsidP="00FA0AB5">
            <w:r w:rsidRPr="00C65FFE">
              <w:t xml:space="preserve">1Z10 </w:t>
            </w:r>
            <w:r>
              <w:rPr>
                <w:lang w:val="en-US"/>
              </w:rPr>
              <w:fldChar w:fldCharType="begin" w:fldLock="1"/>
            </w:r>
            <w:r w:rsidR="003932D1">
              <w:instrText>ADDIN CSL_CITATION {"citationItems":[{"id":"ITEM-1","itemData":{"DOI":"10.1038/nsmb971","ISBN":"1545-9993","ISSN":"15459993","PMID":"16086027","abstract":"Human microsomal cytochrome P450 2A6 (CYP2A6) contributes extensively to nicotine detoxication but also activates tobacco-specific procarcinogens to mutagenic products. The CYP2A6 structure shows a compact, hydrophobic active site with one hydrogen bond donor, Asn297, that orients coumarin for regioselective oxidation. The inhibitor methoxsalen effectively fills the active site cavity without substantially perturbing the structure. The structure should aid the design of inhibitors to reduce smoking and tobacco-related cancers.","author":[{"dropping-particle":"","family":"Yano","given":"Jason K.","non-dropping-particle":"","parse-names":false,"suffix":""},{"dropping-particle":"","family":"Hsu","given":"Mei Hui","non-dropping-particle":"","parse-names":false,"suffix":""},{"dropping-particle":"","family":"Griffin","given":"Keith J.","non-dropping-particle":"","parse-names":false,"suffix":""},{"dropping-particle":"","family":"Stout","given":"C. David","non-dropping-particle":"","parse-names":false,"suffix":""},{"dropping-particle":"","family":"Johnson","given":"Eric F.","non-dropping-particle":"","parse-names":false,"suffix":""}],"container-title":"Nature Structural and Molecular Biology","id":"ITEM-1","issue":"9","issued":{"date-parts":[["2005"]]},"page":"822-823","title":"Structures of human microsomal cytochrome P450 2A6 complexed with coumarin and methoxsalen","type":"article-journal","volume":"12"},"uris":["http://www.mendeley.com/documents/?uuid=7f64eb32-42d2-4c4d-a272-ead3612f499f"]}],"mendeley":{"formattedCitation":"(Yano et al. 2005)","plainTextFormattedCitation":"(Yano et al. 2005)","previouslyFormattedCitation":"&lt;sup&gt;4&lt;/sup&gt;"},"properties":{"noteIndex":0},"schema":"https://github.com/citation-style-language/schema/raw/master/csl-citation.json"}</w:instrText>
            </w:r>
            <w:r>
              <w:rPr>
                <w:lang w:val="en-US"/>
              </w:rPr>
              <w:fldChar w:fldCharType="separate"/>
            </w:r>
            <w:r w:rsidR="003932D1" w:rsidRPr="003932D1">
              <w:rPr>
                <w:noProof/>
              </w:rPr>
              <w:t>(Yano et al. 2005)</w:t>
            </w:r>
            <w:r>
              <w:rPr>
                <w:lang w:val="en-US"/>
              </w:rPr>
              <w:fldChar w:fldCharType="end"/>
            </w:r>
            <w:r w:rsidRPr="00C65FFE">
              <w:t xml:space="preserve"> </w:t>
            </w:r>
          </w:p>
          <w:p w14:paraId="784C964F" w14:textId="79E8259E" w:rsidR="005911AC" w:rsidRDefault="005911AC" w:rsidP="00FA0AB5">
            <w:pPr>
              <w:rPr>
                <w:lang w:val="en-US"/>
              </w:rPr>
            </w:pPr>
            <w:proofErr w:type="gramStart"/>
            <w:r w:rsidRPr="00C65FFE">
              <w:t>2FDV</w:t>
            </w:r>
            <w:r w:rsidRPr="00C65FFE">
              <w:rPr>
                <w:vertAlign w:val="superscript"/>
              </w:rPr>
              <w:t>a,b</w:t>
            </w:r>
            <w:proofErr w:type="gramEnd"/>
            <w:r w:rsidRPr="00C65FFE">
              <w:t xml:space="preserve"> </w:t>
            </w:r>
            <w:r>
              <w:rPr>
                <w:lang w:val="en-US"/>
              </w:rPr>
              <w:fldChar w:fldCharType="begin" w:fldLock="1"/>
            </w:r>
            <w:r w:rsidR="003932D1">
              <w:instrText>ADDIN CSL_CITATION {"citationItems":[{"id":"ITEM-1","itemData":{"DOI":"10.1021/jm060519r","ISBN":"0022-2623 (Print)\\r0022-2623 (Linking)","ISSN":"00222623","PMID":"17125252","abstract":"A series of 3-heteroaromatic analogues of nicotine were synthesized to delineate structural and mechanistic requirements for selectively inhibiting human cytochrome P450 (CYP) 2A6. Thiophene, substituted thiophene, furan, substituted furan, acetylene, imidazole, substituted imidazole, thiazole, pyrazole, substituted pyrazole, and aliphatic and isoxazol moieties were used to replace the N-methylpyrrolidine ring of nicotine. A number of potent inhibitors were identified, and several exhibited high selectivity for CYP2A6 relative to CYP2E1, -3A4, -2B6, -2C9, -2C19, and -2D6. The majority of these inhibitors elicited type II difference spectra indicating the formation of a coordinate covalent bond to the heme iron. The majority of inhibitors were reversible inhibitors although several mechanism-based inactivators were identified. Most of the inhibitors were also relatively metabolically stable. X-ray crystal structures of CYP2A6 cocrystallized with three furan analogues bearing methanamino side chains indicated that the amine side chain coordinated to the heme iron. The pyridyl moiety was positioned to accept a hydrogen bond from Asn297, and all three inhibitors exhibited orthogonal aromatic-aromatic interactions with protein side chains. For comparison, the cocrystal structure of 4,4'-dipyridyl disulfide was also obtained and showed that the pyridine moiety could assume a different orientation than that observed for the 3-heteroaromatic pyridines examined. For the 3-heteroromatic pyridines, N-methyl and N,N-dimethyl amino groups increased the apparent Ki and distorted helix I of the protein. Substitution of a phenyl ring for the pyridyl ring also increased the apparent Ki, which is likely to reflect the loss of the hydrogen bonding interaction with Asn297. In contrast, inhibitory potency for other P450s was increased, and the selectivity of the phenyl analogues for CYP2A6 was decreased relative to the pyridyl compounds. The results suggest that inhibitors that compliment the active site features of CYP2A6 can exhibit significant selectivity for CYP2A6 relative to other human liver drug-metabolizing P450s.","author":[{"dropping-particle":"","family":"Yano","given":"Jason K.","non-dropping-particle":"","parse-names":false,"suffix":""},{"dropping-particle":"","family":"Denton","given":"Travis T.","non-dropping-particle":"","parse-names":false,"suffix":""},{"dropping-particle":"","family":"Cerny","given":"Matthew A.","non-dropping-particle":"","parse-names":false,"suffix":""},{"dropping-particle":"","family":"Zhang","given":"Xiaodong","non-dropping-particle":"","parse-names":false,"suffix":""},{"dropping-particle":"","family":"Johnson","given":"Eric F.","non-dropping-particle":"","parse-names":false,"suffix":""},{"dropping-particle":"","family":"Cashman","given":"John R.","non-dropping-particle":"","parse-names":false,"suffix":""}],"container-title":"Journal of Medicinal Chemistry","id":"ITEM-1","issue":"24","issued":{"date-parts":[["2006"]]},"page":"6987-7001","title":"Synthetic inhibitors of cytochrome P-450 2A6: Inhibitory activity, difference spectra, mechanism of inhibition, and protein cocrystallization","type":"article-journal","volume":"49"},"uris":["http://www.mendeley.com/documents/?uuid=0540804a-2671-49d6-9ff0-39a20cbf310a"]}],"mendeley":{"formattedCitation":"(Yano et al. 2006)","plainTextFormattedCitation":"(Yano et al. 2006)","previouslyFormattedCitation":"&lt;sup&gt;5&lt;/sup&gt;"},"properties":{"noteIndex":0},"schema":"https://github.com/citation-style-language/schema/raw/master/csl-citation.json"}</w:instrText>
            </w:r>
            <w:r>
              <w:rPr>
                <w:lang w:val="en-US"/>
              </w:rPr>
              <w:fldChar w:fldCharType="separate"/>
            </w:r>
            <w:r w:rsidR="003932D1" w:rsidRPr="003932D1">
              <w:rPr>
                <w:noProof/>
                <w:lang w:val="en-US"/>
              </w:rPr>
              <w:t>(Yano et al. 2006)</w:t>
            </w:r>
            <w:r>
              <w:rPr>
                <w:lang w:val="en-US"/>
              </w:rPr>
              <w:fldChar w:fldCharType="end"/>
            </w:r>
          </w:p>
        </w:tc>
      </w:tr>
      <w:tr w:rsidR="005911AC" w:rsidRPr="00C83A11" w14:paraId="45EDB0FC" w14:textId="77777777" w:rsidTr="00C65FFE">
        <w:tc>
          <w:tcPr>
            <w:tcW w:w="2268" w:type="dxa"/>
            <w:tcBorders>
              <w:top w:val="nil"/>
              <w:left w:val="nil"/>
              <w:bottom w:val="nil"/>
              <w:right w:val="nil"/>
            </w:tcBorders>
          </w:tcPr>
          <w:p w14:paraId="09C52BAB" w14:textId="77777777" w:rsidR="005911AC" w:rsidRDefault="005911AC" w:rsidP="00FA0AB5">
            <w:pPr>
              <w:rPr>
                <w:lang w:val="en-US"/>
              </w:rPr>
            </w:pPr>
            <w:r w:rsidRPr="622AB48A">
              <w:rPr>
                <w:lang w:val="en-US"/>
              </w:rPr>
              <w:t>2B6</w:t>
            </w:r>
          </w:p>
        </w:tc>
        <w:tc>
          <w:tcPr>
            <w:tcW w:w="2694" w:type="dxa"/>
            <w:tcBorders>
              <w:top w:val="nil"/>
              <w:left w:val="nil"/>
              <w:bottom w:val="nil"/>
              <w:right w:val="nil"/>
            </w:tcBorders>
          </w:tcPr>
          <w:p w14:paraId="6C28FB36" w14:textId="77777777" w:rsidR="005911AC" w:rsidRDefault="005911AC" w:rsidP="00FA0AB5">
            <w:pPr>
              <w:rPr>
                <w:lang w:val="en-US"/>
              </w:rPr>
            </w:pPr>
            <w:r w:rsidRPr="622AB48A">
              <w:rPr>
                <w:lang w:val="en-US"/>
              </w:rPr>
              <w:t>P20813-1</w:t>
            </w:r>
          </w:p>
        </w:tc>
        <w:tc>
          <w:tcPr>
            <w:tcW w:w="4064" w:type="dxa"/>
            <w:tcBorders>
              <w:top w:val="nil"/>
              <w:left w:val="nil"/>
              <w:bottom w:val="nil"/>
              <w:right w:val="nil"/>
            </w:tcBorders>
          </w:tcPr>
          <w:p w14:paraId="0BE767DB" w14:textId="1221CC5C" w:rsidR="005911AC" w:rsidRPr="005911AC" w:rsidRDefault="005911AC" w:rsidP="00FA0AB5">
            <w:r w:rsidRPr="005911AC">
              <w:t xml:space="preserve">3QOA </w:t>
            </w:r>
            <w:r>
              <w:rPr>
                <w:lang w:val="en-US"/>
              </w:rPr>
              <w:fldChar w:fldCharType="begin" w:fldLock="1"/>
            </w:r>
            <w:r w:rsidR="003932D1">
              <w:instrText>ADDIN CSL_CITATION {"citationItems":[{"id":"ITEM-1","itemData":{"DOI":"10.1124/mol.111.074427","abstract":"The biochemical, biophysical, and structural analysis of the cytochrome P450 2B subfamily of enzymes has provided a wealth of information regarding conformational plasticity and substrate recognition. The recent X-ray crystal structure of the drug-metabolizing P450 2B6 in complex with","author":[{"dropping-particle":"","family":"Shah","given":"Manish B.","non-dropping-particle":"","parse-names":false,"suffix":""},{"dropping-particle":"","family":"Pascual","given":"Jaime","non-dropping-particle":"","parse-names":false,"suffix":""},{"dropping-particle":"","family":"Zhang","given":"Qinghai","non-dropping-particle":"","parse-names":false,"suffix":""},{"dropping-particle":"","family":"Stout","given":"C. David","non-dropping-particle":"","parse-names":false,"suffix":""},{"dropping-particle":"","family":"Halpert","given":"James R.","non-dropping-particle":"","parse-names":false,"suffix":""}],"container-title":"Molecular pharmacology","id":"ITEM-1","issue":"6","issued":{"date-parts":[["2011"]]},"page":"1047-1055","title":"Structures of cytochrome P450 2B6 bound to 4-benzylpyridine and","type":"article-journal","volume":"80"},"uris":["http://www.mendeley.com/documents/?uuid=9ec22984-211c-48b8-81ae-38be545e4aba"]}],"mendeley":{"formattedCitation":"(Shah et al. 2011)","plainTextFormattedCitation":"(Shah et al. 2011)","previouslyFormattedCitation":"&lt;sup&gt;6&lt;/sup&gt;"},"properties":{"noteIndex":0},"schema":"https://github.com/citation-style-language/schema/raw/master/csl-citation.json"}</w:instrText>
            </w:r>
            <w:r>
              <w:rPr>
                <w:lang w:val="en-US"/>
              </w:rPr>
              <w:fldChar w:fldCharType="separate"/>
            </w:r>
            <w:r w:rsidR="003932D1" w:rsidRPr="003932D1">
              <w:rPr>
                <w:noProof/>
              </w:rPr>
              <w:t>(Shah et al. 2011)</w:t>
            </w:r>
            <w:r>
              <w:rPr>
                <w:lang w:val="en-US"/>
              </w:rPr>
              <w:fldChar w:fldCharType="end"/>
            </w:r>
            <w:r w:rsidRPr="005911AC">
              <w:t xml:space="preserve"> </w:t>
            </w:r>
          </w:p>
          <w:p w14:paraId="4787F5CE" w14:textId="2E1223A0" w:rsidR="005911AC" w:rsidRDefault="005911AC" w:rsidP="00FA0AB5">
            <w:pPr>
              <w:rPr>
                <w:lang w:val="en-US"/>
              </w:rPr>
            </w:pPr>
            <w:r w:rsidRPr="005911AC">
              <w:t xml:space="preserve">3UA5 </w:t>
            </w:r>
            <w:r>
              <w:rPr>
                <w:lang w:val="en-US"/>
              </w:rPr>
              <w:fldChar w:fldCharType="begin" w:fldLock="1"/>
            </w:r>
            <w:r w:rsidR="003932D1">
              <w:instrText>ADDIN CSL_CITATION {"citationItems":[{"id":"ITEM-1","itemData":{"DOI":"10.1021/bi300894z","ISBN":"1520-4995 (Electronic)","ISSN":"00062960","PMID":"22909231","abstract":"Structures of human cytochrome P450 2B6 and rabbit cytochrome P450 2B4 in complex with two molecules of the calcium channel blocker amlodipine have been determined by X-ray crystallography. The presence of two drug molecules suggests clear substrate access channels in each P450. According to a previously established nomenclature, amlodipine molecules were trapped in access pathway 2f in P450 2B6 and in pathway 2a or 2f in P450 2B4. These pathways overlap for part of the length and then diverge as they extend toward the protein surface. A previously described solvent channel was also found in each enzyme. The results indicate that key residues located on the surface and at the entrance of the substrate access channels in each of these P450s may play a crucial role in guiding substrate entry. In addition, the region of P450 2B6 and 2B4 involving helices B', F, F', and G' and part of helix G is substantially more open in the amlodipine complexes than in the corresponding 4-(4-chlorophenyl)imidazole complexes. The increased active site volume observed results from the major retraction of helices F, F', and B' and the β4 sheet region located close to the binding cavity to accommodate amlodipine. These structures demonstrate novel insight into distinct conformational states not observed with previous P450 2B structures and provide clear evidence of the substrate access channels in two drug-metabolizing P450s. In addition, the structures exhibit the versatility that can be exploited via in silico studies with other P450 2B6 ligands as large as raloxifene and itraconazole.","author":[{"dropping-particle":"","family":"Shah","given":"Manish B.","non-dropping-particle":"","parse-names":false,"suffix":""},{"dropping-particle":"","family":"Wilderman","given":"P. Ross","non-dropping-particle":"","parse-names":false,"suffix":""},{"dropping-particle":"","family":"Pascual","given":"Jaime","non-dropping-particle":"","parse-names":false,"suffix":""},{"dropping-particle":"","family":"Zhang","given":"Qinghai","non-dropping-particle":"","parse-names":false,"suffix":""},{"dropping-particle":"","family":"Stout","given":"C. David","non-dropping-particle":"","parse-names":false,"suffix":""},{"dropping-particle":"","family":"Halpert","given":"James R.","non-dropping-particle":"","parse-names":false,"suffix":""}],"container-title":"Biochemistry","id":"ITEM-1","issue":"37","issued":{"date-parts":[["2012"]]},"page":"7225-7238","title":"Conformational adaptation of human cytochrome P450 2B6 and rabbit cytochrome P450 2B4 revealed upon binding multiple amlodipine molecules","type":"article-journal","volume":"51"},"uris":["http://www.mendeley.com/documents/?uuid=953a1186-04c8-4ba3-a40c-2de5a8322a95"]}],"mendeley":{"formattedCitation":"(Shah et al. 2012)","plainTextFormattedCitation":"(Shah et al. 2012)","previouslyFormattedCitation":"&lt;sup&gt;7&lt;/sup&gt;"},"properties":{"noteIndex":0},"schema":"https://github.com/citation-style-language/schema/raw/master/csl-citation.json"}</w:instrText>
            </w:r>
            <w:r>
              <w:rPr>
                <w:lang w:val="en-US"/>
              </w:rPr>
              <w:fldChar w:fldCharType="separate"/>
            </w:r>
            <w:r w:rsidR="003932D1" w:rsidRPr="003932D1">
              <w:rPr>
                <w:noProof/>
                <w:lang w:val="en-US"/>
              </w:rPr>
              <w:t>(Shah et al. 2012)</w:t>
            </w:r>
            <w:r>
              <w:rPr>
                <w:lang w:val="en-US"/>
              </w:rPr>
              <w:fldChar w:fldCharType="end"/>
            </w:r>
          </w:p>
        </w:tc>
      </w:tr>
      <w:tr w:rsidR="005911AC" w:rsidRPr="00C83A11" w14:paraId="010B9506" w14:textId="77777777" w:rsidTr="00C65FFE">
        <w:tc>
          <w:tcPr>
            <w:tcW w:w="2268" w:type="dxa"/>
            <w:tcBorders>
              <w:top w:val="nil"/>
              <w:left w:val="nil"/>
              <w:bottom w:val="nil"/>
              <w:right w:val="nil"/>
            </w:tcBorders>
          </w:tcPr>
          <w:p w14:paraId="4AAB8285" w14:textId="77777777" w:rsidR="005911AC" w:rsidRDefault="005911AC" w:rsidP="00FA0AB5">
            <w:pPr>
              <w:rPr>
                <w:lang w:val="en-US"/>
              </w:rPr>
            </w:pPr>
            <w:r w:rsidRPr="622AB48A">
              <w:rPr>
                <w:lang w:val="en-US"/>
              </w:rPr>
              <w:t>2C8</w:t>
            </w:r>
          </w:p>
        </w:tc>
        <w:tc>
          <w:tcPr>
            <w:tcW w:w="2694" w:type="dxa"/>
            <w:tcBorders>
              <w:top w:val="nil"/>
              <w:left w:val="nil"/>
              <w:bottom w:val="nil"/>
              <w:right w:val="nil"/>
            </w:tcBorders>
          </w:tcPr>
          <w:p w14:paraId="30BB1364" w14:textId="77777777" w:rsidR="005911AC" w:rsidRDefault="005911AC" w:rsidP="00FA0AB5">
            <w:pPr>
              <w:rPr>
                <w:lang w:val="en-US"/>
              </w:rPr>
            </w:pPr>
            <w:r w:rsidRPr="622AB48A">
              <w:rPr>
                <w:lang w:val="en-US"/>
              </w:rPr>
              <w:t>P10632-1</w:t>
            </w:r>
          </w:p>
        </w:tc>
        <w:tc>
          <w:tcPr>
            <w:tcW w:w="4064" w:type="dxa"/>
            <w:tcBorders>
              <w:top w:val="nil"/>
              <w:left w:val="nil"/>
              <w:bottom w:val="nil"/>
              <w:right w:val="nil"/>
            </w:tcBorders>
          </w:tcPr>
          <w:p w14:paraId="205BE923" w14:textId="2ED39E35" w:rsidR="005911AC" w:rsidRDefault="005911AC" w:rsidP="00FA0AB5">
            <w:pPr>
              <w:rPr>
                <w:lang w:val="en-US"/>
              </w:rPr>
            </w:pPr>
            <w:r w:rsidRPr="622AB48A">
              <w:rPr>
                <w:lang w:val="en-US"/>
              </w:rPr>
              <w:t>2VN0</w:t>
            </w:r>
            <w:r>
              <w:rPr>
                <w:lang w:val="en-US"/>
              </w:rPr>
              <w:t xml:space="preserve"> </w:t>
            </w:r>
            <w:r>
              <w:rPr>
                <w:lang w:val="en-US"/>
              </w:rPr>
              <w:fldChar w:fldCharType="begin" w:fldLock="1"/>
            </w:r>
            <w:r w:rsidR="003932D1">
              <w:rPr>
                <w:lang w:val="en-US"/>
              </w:rPr>
              <w:instrText>ADDIN CSL_CITATION {"citationItems":[{"id":"ITEM-1","itemData":{"DOI":"10.1074/jbc.M802180200","ISBN":"0021-9258 (Print)\\n0021-9258 (Linking)","ISSN":"00219258","PMID":"18413310","abstract":"Although a crystal structure and a pharmacophore model are available for cytochrome P450 2C8, the role of protein flexibility and specific ligand-protein interactions that govern substrate binding are poorly understood. X-ray crystal structures of P450 2C8 complexed with montelukast (2.8 A), troglitazone (2.7 A), felodipine (2.3 A), and 9-cis-retinoic acid (2.6 A) were determined to examine ligand-protein interactions for these chemically diverse compounds. Montelukast is a relatively large anionic inhibitor that exhibits a tripartite structure and complements the size and shape of the active-site cavity. The inhibitor troglitazone occupies the upper portion of the active-site cavity, leaving a substantial part of the cavity unoccupied. The smaller neutral felodipine molecule is sequestered with its dichlorophenyl group positioned close to the heme iron, and water molecules fill the distal portion of the cavity. The structure of the 9-cis-retinoic acid complex reveals that two substrate molecules bind simultaneously in the active site of P450 2C8. A second molecule of 9-cis-retinoic acid is located above the proximal molecule and can restrain the position of the latter for more efficient oxygenation. Solution binding studies do not discriminate between cooperative and noncooperative models for multiple substrate binding. The complexes with structurally distinct ligands further demonstrate the conformational adaptability of active site-constituting residues, especially Arg-241, that can reorient in the active-site cavity to stabilize a negatively charged functional group and define two spatially distinct binding sites for anionic moieties of substrates.","author":[{"dropping-particle":"","family":"Schoch","given":"Guillaume A.","non-dropping-particle":"","parse-names":false,"suffix":""},{"dropping-particle":"","family":"Yano","given":"Jason K.","non-dropping-particle":"","parse-names":false,"suffix":""},{"dropping-particle":"","family":"Sansen","given":"Stefaan","non-dropping-particle":"","parse-names":false,"suffix":""},{"dropping-particle":"","family":"Dansette","given":"Patrick M.","non-dropping-particle":"","parse-names":false,"suffix":""},{"dropping-particle":"","family":"Stout","given":"C. David","non-dropping-particle":"","parse-names":false,"suffix":""},{"dropping-particle":"","family":"Johnson","given":"Eric F.","non-dropping-particle":"","parse-names":false,"suffix":""}],"container-title":"Journal of Biological Chemistry","id":"ITEM-1","issue":"25","issued":{"date-parts":[["2008"]]},"page":"17227-17237","title":"Determinants of cytochrome P450 2C8 substrate binding: Structures of complexes with montelukast, troglitazone, felodipine, and 9-cis-retinoic acid","type":"article-journal","volume":"283"},"uris":["http://www.mendeley.com/documents/?uuid=1987c1ef-cf5d-4ce8-b132-5848c77c990e"]}],"mendeley":{"formattedCitation":"(Schoch et al. 2008)","plainTextFormattedCitation":"(Schoch et al. 2008)","previouslyFormattedCitation":"&lt;sup&gt;8&lt;/sup&gt;"},"properties":{"noteIndex":0},"schema":"https://github.com/citation-style-language/schema/raw/master/csl-citation.json"}</w:instrText>
            </w:r>
            <w:r>
              <w:rPr>
                <w:lang w:val="en-US"/>
              </w:rPr>
              <w:fldChar w:fldCharType="separate"/>
            </w:r>
            <w:r w:rsidR="003932D1" w:rsidRPr="003932D1">
              <w:rPr>
                <w:noProof/>
                <w:lang w:val="en-US"/>
              </w:rPr>
              <w:t>(Schoch et al. 2008)</w:t>
            </w:r>
            <w:r>
              <w:rPr>
                <w:lang w:val="en-US"/>
              </w:rPr>
              <w:fldChar w:fldCharType="end"/>
            </w:r>
            <w:r>
              <w:rPr>
                <w:lang w:val="en-US"/>
              </w:rPr>
              <w:t xml:space="preserve"> </w:t>
            </w:r>
          </w:p>
        </w:tc>
      </w:tr>
      <w:tr w:rsidR="005911AC" w:rsidRPr="006D6A40" w14:paraId="013F435A" w14:textId="77777777" w:rsidTr="00C65FFE">
        <w:tc>
          <w:tcPr>
            <w:tcW w:w="2268" w:type="dxa"/>
            <w:tcBorders>
              <w:top w:val="nil"/>
              <w:left w:val="nil"/>
              <w:bottom w:val="nil"/>
              <w:right w:val="nil"/>
            </w:tcBorders>
          </w:tcPr>
          <w:p w14:paraId="3460A839" w14:textId="77777777" w:rsidR="005911AC" w:rsidRDefault="005911AC" w:rsidP="00FA0AB5">
            <w:pPr>
              <w:rPr>
                <w:lang w:val="en-US"/>
              </w:rPr>
            </w:pPr>
            <w:r w:rsidRPr="622AB48A">
              <w:rPr>
                <w:lang w:val="en-US"/>
              </w:rPr>
              <w:t>2C9</w:t>
            </w:r>
          </w:p>
        </w:tc>
        <w:tc>
          <w:tcPr>
            <w:tcW w:w="2694" w:type="dxa"/>
            <w:tcBorders>
              <w:top w:val="nil"/>
              <w:left w:val="nil"/>
              <w:bottom w:val="nil"/>
              <w:right w:val="nil"/>
            </w:tcBorders>
          </w:tcPr>
          <w:p w14:paraId="7B227084" w14:textId="77777777" w:rsidR="005911AC" w:rsidRDefault="005911AC" w:rsidP="00FA0AB5">
            <w:pPr>
              <w:rPr>
                <w:lang w:val="en-US"/>
              </w:rPr>
            </w:pPr>
            <w:r w:rsidRPr="622AB48A">
              <w:rPr>
                <w:lang w:val="en-US"/>
              </w:rPr>
              <w:t>P11712-1</w:t>
            </w:r>
          </w:p>
        </w:tc>
        <w:tc>
          <w:tcPr>
            <w:tcW w:w="4064" w:type="dxa"/>
            <w:tcBorders>
              <w:top w:val="nil"/>
              <w:left w:val="nil"/>
              <w:bottom w:val="nil"/>
              <w:right w:val="nil"/>
            </w:tcBorders>
          </w:tcPr>
          <w:p w14:paraId="37966D75" w14:textId="42E5BE9B" w:rsidR="005911AC" w:rsidRDefault="005911AC" w:rsidP="00FA0AB5">
            <w:pPr>
              <w:rPr>
                <w:lang w:val="en-US"/>
              </w:rPr>
            </w:pPr>
            <w:r>
              <w:rPr>
                <w:lang w:val="en-US"/>
              </w:rPr>
              <w:t xml:space="preserve">1OG5 </w:t>
            </w:r>
            <w:r>
              <w:rPr>
                <w:lang w:val="en-US"/>
              </w:rPr>
              <w:fldChar w:fldCharType="begin" w:fldLock="1"/>
            </w:r>
            <w:r w:rsidR="003932D1">
              <w:rPr>
                <w:lang w:val="en-US"/>
              </w:rPr>
              <w:instrText>ADDIN CSL_CITATION {"citationItems":[{"id":"ITEM-1","itemData":{"DOI":"10.1038/nature01817.1.","ISBN":"0028-0836","ISSN":"1476-4687","PMID":"12861225","abstract":"Cytochrome P450 proteins (CYP450s) are membrane-associated haem proteins that metabolize physiologically important compounds in many species of microorganisms, plants and animals. Mammalian CYP450s recognize and metabolize diverse xenobiotics such as drug molecules, environmental compounds and pollutants. Human CYP450 proteins CYP1A2, CYP2C9, CYP2C19, CYP2D6 and CYP3A4 are the major drug-metabolizing isoforms, and contribute to the oxidative metabolism of more than 90% of the drugs in current clinical use. Polymorphic variants have also been reported for some CYP450 isoforms, which has implications for the efficacy of drugs in individuals, and for the co-administration of drugs. The molecular basis of drug recognition by human CYP450s, however, has remained elusive. Here we describe the crystal structure of a human CYP450, CYP2C9, both unliganded and in complex with the anti-coagulant drug warfarin. The structure defines unanticipated interactions between CYP2C9 and warfarin, and reveals a new binding pocket. The binding mode of warfarin suggests that CYP2C9 may undergo an allosteric mechanism during its function. The newly discovered binding pocket also suggests that CYP2C9 may simultaneously accommodate multiple ligands during its biological function, and provides a possible molecular basis for understanding complex drug-drug interactions.","author":[{"dropping-particle":"","family":"Williams","given":"Pa a","non-dropping-particle":"","parse-names":false,"suffix":""},{"dropping-particle":"","family":"Cosme","given":"Jose","non-dropping-particle":"","parse-names":false,"suffix":""},{"dropping-particle":"","family":"Ward","given":"Alison","non-dropping-particle":"","parse-names":false,"suffix":""},{"dropping-particle":"","family":"Angove","given":"Hayley C","non-dropping-particle":"","parse-names":false,"suffix":""},{"dropping-particle":"","family":"Vinkovic","given":"Dijana","non-dropping-particle":"","parse-names":false,"suffix":""},{"dropping-particle":"","family":"Jhoti","given":"Harren","non-dropping-particle":"","parse-names":false,"suffix":""},{"dropping-particle":"","family":"Matak Vinkovic","given":"D","non-dropping-particle":"","parse-names":false,"suffix":""}],"container-title":"Nature","id":"ITEM-1","issue":"July","issued":{"date-parts":[["2003"]]},"page":"464-468","title":"Crystal structure of human cytochrome P450 2C9 with bound warfarin","type":"article-journal","volume":"424"},"uris":["http://www.mendeley.com/documents/?uuid=3eacacd9-f54a-41d4-9350-c49beee488c4"]}],"mendeley":{"formattedCitation":"(Williams et al. 2003)","plainTextFormattedCitation":"(Williams et al. 2003)","previouslyFormattedCitation":"&lt;sup&gt;9&lt;/sup&gt;"},"properties":{"noteIndex":0},"schema":"https://github.com/citation-style-language/schema/raw/master/csl-citation.json"}</w:instrText>
            </w:r>
            <w:r>
              <w:rPr>
                <w:lang w:val="en-US"/>
              </w:rPr>
              <w:fldChar w:fldCharType="separate"/>
            </w:r>
            <w:r w:rsidR="003932D1" w:rsidRPr="003932D1">
              <w:rPr>
                <w:noProof/>
                <w:lang w:val="en-US"/>
              </w:rPr>
              <w:t>(Williams et al. 2003)</w:t>
            </w:r>
            <w:r>
              <w:rPr>
                <w:lang w:val="en-US"/>
              </w:rPr>
              <w:fldChar w:fldCharType="end"/>
            </w:r>
            <w:r>
              <w:rPr>
                <w:lang w:val="en-US"/>
              </w:rPr>
              <w:t xml:space="preserve"> </w:t>
            </w:r>
          </w:p>
          <w:p w14:paraId="20F201F0" w14:textId="0AB96E39" w:rsidR="005911AC" w:rsidRDefault="005911AC" w:rsidP="00FA0AB5">
            <w:pPr>
              <w:rPr>
                <w:lang w:val="en-US"/>
              </w:rPr>
            </w:pPr>
            <w:r>
              <w:rPr>
                <w:lang w:val="en-US"/>
              </w:rPr>
              <w:t xml:space="preserve">4NZ2 </w:t>
            </w:r>
            <w:r>
              <w:rPr>
                <w:lang w:val="en-US"/>
              </w:rPr>
              <w:fldChar w:fldCharType="begin" w:fldLock="1"/>
            </w:r>
            <w:r w:rsidR="003932D1">
              <w:rPr>
                <w:lang w:val="en-US"/>
              </w:rPr>
              <w:instrText>ADDIN CSL_CITATION {"citationItems":[{"id":"ITEM-1","itemData":{"DOI":"10.1016/j.drudis.2014.03.012","ISSN":"18785832","PMID":"24642031","abstract":"Cytochrome P450 (CYP) enzymes are key players in xenobiotic metabolism, and inhibition of CYPs can therefore result in unwanted drug-drug interactions. Within drug discovery, CYP inhibition can cause delays in the progression of candidate drugs, or even premature closure of projects. During the past decade, a massive effort in the pharmaceutical industry and academic research has produced a wealth of structural information in the CYP field. In this short review, we will describe how structure-based approaches can be used in the pharmaceutical industry to work away from CYP inhibition, with a focus on the opportunities and challenges. We will show two examples from our own work where structural information on CYP2C9 and CYP3A4 inhibitor complexes have been successfully exploited in ongoing drug discovery projects. © 2014 Elsevier Ltd.","author":[{"dropping-particle":"","family":"Brändén","given":"Gisela","non-dropping-particle":"","parse-names":false,"suffix":""},{"dropping-particle":"","family":"Sjögren","given":"Tove","non-dropping-particle":"","parse-names":false,"suffix":""},{"dropping-particle":"","family":"Schnecke","given":"Volker","non-dropping-particle":"","parse-names":false,"suffix":""},{"dropping-particle":"","family":"Xue","given":"Yafeng","non-dropping-particle":"","parse-names":false,"suffix":""}],"container-title":"Drug Discovery Today","id":"ITEM-1","issue":"7","issued":{"date-parts":[["2014"]]},"page":"905-911","title":"Structure-based ligand design to overcome CYP inhibition in drug discovery projects","type":"article-journal","volume":"19"},"uris":["http://www.mendeley.com/documents/?uuid=67476a1d-5141-4fbc-89db-f14e815a623b"]}],"mendeley":{"formattedCitation":"(Brändén et al. 2014)","plainTextFormattedCitation":"(Brändén et al. 2014)","previouslyFormattedCitation":"&lt;sup&gt;10&lt;/sup&gt;"},"properties":{"noteIndex":0},"schema":"https://github.com/citation-style-language/schema/raw/master/csl-citation.json"}</w:instrText>
            </w:r>
            <w:r>
              <w:rPr>
                <w:lang w:val="en-US"/>
              </w:rPr>
              <w:fldChar w:fldCharType="separate"/>
            </w:r>
            <w:r w:rsidR="003932D1" w:rsidRPr="003932D1">
              <w:rPr>
                <w:noProof/>
                <w:lang w:val="en-US"/>
              </w:rPr>
              <w:t>(Brändén et al. 2014)</w:t>
            </w:r>
            <w:r>
              <w:rPr>
                <w:lang w:val="en-US"/>
              </w:rPr>
              <w:fldChar w:fldCharType="end"/>
            </w:r>
            <w:r>
              <w:rPr>
                <w:lang w:val="en-US"/>
              </w:rPr>
              <w:t xml:space="preserve"> </w:t>
            </w:r>
          </w:p>
          <w:p w14:paraId="7F412542" w14:textId="63DFDF3E" w:rsidR="005911AC" w:rsidRDefault="005911AC" w:rsidP="00FA0AB5">
            <w:pPr>
              <w:rPr>
                <w:lang w:val="en-US"/>
              </w:rPr>
            </w:pPr>
            <w:r w:rsidRPr="622AB48A">
              <w:rPr>
                <w:lang w:val="en-US"/>
              </w:rPr>
              <w:t>1R9O</w:t>
            </w:r>
            <w:r>
              <w:rPr>
                <w:lang w:val="en-US"/>
              </w:rPr>
              <w:t xml:space="preserve"> </w:t>
            </w:r>
            <w:r>
              <w:rPr>
                <w:lang w:val="en-US"/>
              </w:rPr>
              <w:fldChar w:fldCharType="begin" w:fldLock="1"/>
            </w:r>
            <w:r w:rsidR="003932D1">
              <w:rPr>
                <w:lang w:val="en-US"/>
              </w:rPr>
              <w:instrText>ADDIN CSL_CITATION {"citationItems":[{"id":"ITEM-1","itemData":{"DOI":"10.1074/jbc.M405427200","ISSN":"00219258","PMID":"15181000","abstract":"The structure of human P450 2C9 complexed with flurbiprofen was determined to 2.0 Å by x-ray crystallography. In contrast to other structurally characterized P450 2C enzymes, 2C5, 2C8, and a 2C9 chimera, the native catalytic domain of P450 2C9 differs significantly in the conformation of the helix F to helix G region and exhibits an extra turn at the N terminus of helix A. In addition, a distinct conformation of the helix B to helix C region allows Arg-108 to hydrogen bond with Asp-293 and Asn-289 on helix I and to interact directly with the carboxylate of flurbiprofen. These interactions position the substrate for regioselective oxidation in a relatively large active site cavity and are likely to account for the high catalytic efficiency exhibited by P450 2C9 for the regioselective oxidation of several anionic non-steroidal anti-inflammatory drugs. The structure provides a basis for interpretation of a number of observations regarding the substrate selectivity of P450 2C9 and the observed effects of mutations on catalysis.","author":[{"dropping-particle":"","family":"Wester","given":"Michael R.","non-dropping-particle":"","parse-names":false,"suffix":""},{"dropping-particle":"","family":"Yano","given":"Jason K.","non-dropping-particle":"","parse-names":false,"suffix":""},{"dropping-particle":"","family":"Schoch","given":"Guillaume A.","non-dropping-particle":"","parse-names":false,"suffix":""},{"dropping-particle":"","family":"Yang","given":"Christine","non-dropping-particle":"","parse-names":false,"suffix":""},{"dropping-particle":"","family":"Griffin","given":"Keith J.","non-dropping-particle":"","parse-names":false,"suffix":""},{"dropping-particle":"","family":"Stout","given":"C. David","non-dropping-particle":"","parse-names":false,"suffix":""},{"dropping-particle":"","family":"Johnson","given":"Eric F.","non-dropping-particle":"","parse-names":false,"suffix":""}],"container-title":"Journal of Biological Chemistry","id":"ITEM-1","issue":"34","issued":{"date-parts":[["2004"]]},"page":"35630-35637","title":"The structure of human cytochrome P450 2C9 complexed with flurbiprofen at 2.0-Å resolution","type":"article-journal","volume":"279"},"uris":["http://www.mendeley.com/documents/?uuid=ec2b5042-8bf1-428c-9030-ddbbf63b0a40"]}],"mendeley":{"formattedCitation":"(Wester et al. 2004)","plainTextFormattedCitation":"(Wester et al. 2004)","previouslyFormattedCitation":"&lt;sup&gt;11&lt;/sup&gt;"},"properties":{"noteIndex":0},"schema":"https://github.com/citation-style-language/schema/raw/master/csl-citation.json"}</w:instrText>
            </w:r>
            <w:r>
              <w:rPr>
                <w:lang w:val="en-US"/>
              </w:rPr>
              <w:fldChar w:fldCharType="separate"/>
            </w:r>
            <w:r w:rsidR="003932D1" w:rsidRPr="003932D1">
              <w:rPr>
                <w:noProof/>
                <w:lang w:val="en-US"/>
              </w:rPr>
              <w:t>(Wester et al. 2004)</w:t>
            </w:r>
            <w:r>
              <w:rPr>
                <w:lang w:val="en-US"/>
              </w:rPr>
              <w:fldChar w:fldCharType="end"/>
            </w:r>
            <w:r>
              <w:rPr>
                <w:lang w:val="en-US"/>
              </w:rPr>
              <w:t xml:space="preserve"> </w:t>
            </w:r>
          </w:p>
        </w:tc>
      </w:tr>
      <w:tr w:rsidR="005911AC" w:rsidRPr="00C83A11" w14:paraId="28B9FDC2" w14:textId="77777777" w:rsidTr="00C65FFE">
        <w:tc>
          <w:tcPr>
            <w:tcW w:w="2268" w:type="dxa"/>
            <w:tcBorders>
              <w:top w:val="nil"/>
              <w:left w:val="nil"/>
              <w:bottom w:val="nil"/>
              <w:right w:val="nil"/>
            </w:tcBorders>
          </w:tcPr>
          <w:p w14:paraId="7307763C" w14:textId="77777777" w:rsidR="005911AC" w:rsidRDefault="005911AC" w:rsidP="00FA0AB5">
            <w:pPr>
              <w:rPr>
                <w:lang w:val="en-US"/>
              </w:rPr>
            </w:pPr>
            <w:r w:rsidRPr="622AB48A">
              <w:rPr>
                <w:lang w:val="en-US"/>
              </w:rPr>
              <w:t>2C19</w:t>
            </w:r>
          </w:p>
        </w:tc>
        <w:tc>
          <w:tcPr>
            <w:tcW w:w="2694" w:type="dxa"/>
            <w:tcBorders>
              <w:top w:val="nil"/>
              <w:left w:val="nil"/>
              <w:bottom w:val="nil"/>
              <w:right w:val="nil"/>
            </w:tcBorders>
          </w:tcPr>
          <w:p w14:paraId="004FD1E4" w14:textId="77777777" w:rsidR="005911AC" w:rsidRDefault="005911AC" w:rsidP="00FA0AB5">
            <w:pPr>
              <w:rPr>
                <w:lang w:val="en-US"/>
              </w:rPr>
            </w:pPr>
            <w:r w:rsidRPr="622AB48A">
              <w:rPr>
                <w:lang w:val="en-US"/>
              </w:rPr>
              <w:t>P33261-1</w:t>
            </w:r>
          </w:p>
        </w:tc>
        <w:tc>
          <w:tcPr>
            <w:tcW w:w="4064" w:type="dxa"/>
            <w:tcBorders>
              <w:top w:val="nil"/>
              <w:left w:val="nil"/>
              <w:bottom w:val="nil"/>
              <w:right w:val="nil"/>
            </w:tcBorders>
          </w:tcPr>
          <w:p w14:paraId="088D1DB9" w14:textId="13B4220F" w:rsidR="005911AC" w:rsidRDefault="005911AC" w:rsidP="00FA0AB5">
            <w:pPr>
              <w:rPr>
                <w:lang w:val="en-US"/>
              </w:rPr>
            </w:pPr>
            <w:r w:rsidRPr="622AB48A">
              <w:rPr>
                <w:lang w:val="en-US"/>
              </w:rPr>
              <w:t>4GQS</w:t>
            </w:r>
            <w:r w:rsidR="003B60B8" w:rsidRPr="003B60B8">
              <w:rPr>
                <w:highlight w:val="yellow"/>
                <w:vertAlign w:val="superscript"/>
                <w:lang w:val="en-US"/>
              </w:rPr>
              <w:t>a</w:t>
            </w:r>
            <w:r>
              <w:rPr>
                <w:lang w:val="en-US"/>
              </w:rPr>
              <w:t xml:space="preserve"> </w:t>
            </w:r>
            <w:r>
              <w:rPr>
                <w:lang w:val="en-US"/>
              </w:rPr>
              <w:fldChar w:fldCharType="begin" w:fldLock="1"/>
            </w:r>
            <w:r w:rsidR="003932D1">
              <w:rPr>
                <w:lang w:val="en-US"/>
              </w:rPr>
              <w:instrText>ADDIN CSL_CITATION {"citationItems":[{"id":"ITEM-1","itemData":{"DOI":"10.1074/jbc.M112.424895","ISBN":"1083-351X (Electronic)\\r0021-9258 (Linking)","ISSN":"00219258","PMID":"23118231","abstract":"To identify the structural features underlying the distinct substrate and inhibitor profiles of P450 2C19 relative to the closely related human enzymes, P450s 2C8 and 2C9, the atomic structure (Protein Data Bank code 4GQS) of cytochrome P450 2C19 complexed with the inhibitor (2-methyl-1-benzofuran-3-yl)-(4-hydroxy-3,5-dimethylphenyl)methanone (Protein Data Bank chemical component 0XV) was determined to 2.87 Å resolution by x-ray crystallography. The conformation of the peptide backbone of P450 2C19 is most similar to that of P450 2C8, but the substrate-binding cavity of P450 2C8 is much larger than that of P450 2C19 due to differences in the amino acid residues that form the substrate-binding cavities of the two enzymes. In contrast, the substrate-binding cavity of P450 2C19 is much more similar in size to that of the structure of the P450 2C9 flurbiprofen complex than to that of a modified P450 2C9 or that of P450 2C8. The cavities of the P450 2C19 0XV complex and the P450 2C9 flurbiprofen complex differ, however, because the helix B-C loops of the two enzymes are dissimilar. These conformational differences reflect the effects of adjacent structural elements that interact with the B-C loops and that differ between the two enzymes. The availability of a structure for 2C19 will facilitate computational approaches for predictions of substrate and inhibitor binding to this enzyme.","author":[{"dropping-particle":"","family":"Reynald","given":"R. Leila","non-dropping-particle":"","parse-names":false,"suffix":""},{"dropping-particle":"","family":"Sansen","given":"Stefaan","non-dropping-particle":"","parse-names":false,"suffix":""},{"dropping-particle":"","family":"Stout","given":"C. David","non-dropping-particle":"","parse-names":false,"suffix":""},{"dropping-particle":"","family":"Johnson","given":"Eric F.","non-dropping-particle":"","parse-names":false,"suffix":""}],"container-title":"Journal of Biological Chemistry","id":"ITEM-1","issue":"53","issued":{"date-parts":[["2012"]]},"page":"44581-44591","title":"Structural characterization of human cytochrome P450 2C19: Active site differences between P450s 2C8, 2C9, and 2C19","type":"article-journal","volume":"287"},"uris":["http://www.mendeley.com/documents/?uuid=722b2f81-14cb-4835-bdee-2fdd09e4905e"]}],"mendeley":{"formattedCitation":"(Reynald et al. 2012)","plainTextFormattedCitation":"(Reynald et al. 2012)","previouslyFormattedCitation":"&lt;sup&gt;12&lt;/sup&gt;"},"properties":{"noteIndex":0},"schema":"https://github.com/citation-style-language/schema/raw/master/csl-citation.json"}</w:instrText>
            </w:r>
            <w:r>
              <w:rPr>
                <w:lang w:val="en-US"/>
              </w:rPr>
              <w:fldChar w:fldCharType="separate"/>
            </w:r>
            <w:r w:rsidR="003932D1" w:rsidRPr="003932D1">
              <w:rPr>
                <w:noProof/>
                <w:lang w:val="en-US"/>
              </w:rPr>
              <w:t>(Reynald et al. 2012)</w:t>
            </w:r>
            <w:r>
              <w:rPr>
                <w:lang w:val="en-US"/>
              </w:rPr>
              <w:fldChar w:fldCharType="end"/>
            </w:r>
            <w:r>
              <w:rPr>
                <w:lang w:val="en-US"/>
              </w:rPr>
              <w:t xml:space="preserve"> </w:t>
            </w:r>
          </w:p>
        </w:tc>
      </w:tr>
      <w:tr w:rsidR="005911AC" w:rsidRPr="00C83A11" w14:paraId="70F91D59" w14:textId="77777777" w:rsidTr="00C65FFE">
        <w:tc>
          <w:tcPr>
            <w:tcW w:w="2268" w:type="dxa"/>
            <w:tcBorders>
              <w:top w:val="nil"/>
              <w:left w:val="nil"/>
              <w:bottom w:val="nil"/>
              <w:right w:val="nil"/>
            </w:tcBorders>
          </w:tcPr>
          <w:p w14:paraId="0248C651" w14:textId="77777777" w:rsidR="005911AC" w:rsidRDefault="005911AC" w:rsidP="00FA0AB5">
            <w:pPr>
              <w:rPr>
                <w:lang w:val="en-US"/>
              </w:rPr>
            </w:pPr>
            <w:r w:rsidRPr="622AB48A">
              <w:rPr>
                <w:lang w:val="en-US"/>
              </w:rPr>
              <w:t>2D6</w:t>
            </w:r>
          </w:p>
        </w:tc>
        <w:tc>
          <w:tcPr>
            <w:tcW w:w="2694" w:type="dxa"/>
            <w:tcBorders>
              <w:top w:val="nil"/>
              <w:left w:val="nil"/>
              <w:bottom w:val="nil"/>
              <w:right w:val="nil"/>
            </w:tcBorders>
          </w:tcPr>
          <w:p w14:paraId="3CECB804" w14:textId="77777777" w:rsidR="005911AC" w:rsidRDefault="005911AC" w:rsidP="00FA0AB5">
            <w:pPr>
              <w:rPr>
                <w:lang w:val="en-US"/>
              </w:rPr>
            </w:pPr>
            <w:r w:rsidRPr="622AB48A">
              <w:rPr>
                <w:lang w:val="en-US"/>
              </w:rPr>
              <w:t>P10635-1</w:t>
            </w:r>
          </w:p>
        </w:tc>
        <w:tc>
          <w:tcPr>
            <w:tcW w:w="4064" w:type="dxa"/>
            <w:tcBorders>
              <w:top w:val="nil"/>
              <w:left w:val="nil"/>
              <w:bottom w:val="nil"/>
              <w:right w:val="nil"/>
            </w:tcBorders>
          </w:tcPr>
          <w:p w14:paraId="634394AA" w14:textId="571BD55A" w:rsidR="005911AC" w:rsidRDefault="005911AC" w:rsidP="005607DF">
            <w:pPr>
              <w:rPr>
                <w:lang w:val="en-US"/>
              </w:rPr>
            </w:pPr>
            <w:r w:rsidRPr="622AB48A">
              <w:rPr>
                <w:lang w:val="en-US"/>
              </w:rPr>
              <w:t>3QM4</w:t>
            </w:r>
            <w:r w:rsidR="003B60B8" w:rsidRPr="003B60B8">
              <w:rPr>
                <w:highlight w:val="yellow"/>
                <w:vertAlign w:val="superscript"/>
                <w:lang w:val="en-US"/>
              </w:rPr>
              <w:t>a</w:t>
            </w:r>
            <w:r>
              <w:rPr>
                <w:lang w:val="en-US"/>
              </w:rPr>
              <w:t xml:space="preserve"> </w:t>
            </w:r>
            <w:r>
              <w:rPr>
                <w:lang w:val="en-US"/>
              </w:rPr>
              <w:fldChar w:fldCharType="begin" w:fldLock="1"/>
            </w:r>
            <w:r w:rsidR="003932D1">
              <w:rPr>
                <w:lang w:val="en-US"/>
              </w:rPr>
              <w:instrText>ADDIN CSL_CITATION {"citationItems":[{"id":"ITEM-1","itemData":{"DOI":"10.1074/jbc.M111.307918","ISBN":"1083-351X (Electronic)\r0021-9258 (Linking)","ISSN":"0021-9258","PMID":"22308038","abstract":"Human cytochrome P450 2D6 contributes to the metabolism of &gt;15% of drugs used in clinical practice. This study determined the structure of P450 2D6 complexed with a substrate and potent inhibitor, prinomastat, to 2.85 Å resolution by x-ray crystallography. Prinomastat binding is well defined by electron density maps with its pyridyl nitrogen bound to the heme iron. The structure of ligand-bound P450 2D6 differs significantly from the ligand-free structure reported for the P450 2D6 Met-374 variant (Protein Data Bank code 2F9Q). Superposition of the structures reveals significant differences for β sheet 1, helices A, F, F′, G″, G, and H as well as the helix B-C loop. The structure of the ligand complex exhibits a closed active site cavity that conforms closely to the shape of prinomastat. The closure of the open cavity seen for the 2F9Q structure reflects a change in the direction and pitch of helix F and introduction of a turn at Gly-218, which is followed by a well defined helix F′ that was not observed in the 2F9Q structure. These differences reflect considerable structural flexibility that is likely to contribute to the catalytic versatility of P450 2D6, and this new structure provides an alternative model for in silico studies of substrate interactions with P450 2D6. ","author":[{"dropping-particle":"","family":"Wang","given":"An","non-dropping-particle":"","parse-names":false,"suffix":""},{"dropping-particle":"","family":"Savas","given":"Uzen","non-dropping-particle":"","parse-names":false,"suffix":""},{"dropping-particle":"","family":"Hsu","given":"Mei-Hui","non-dropping-particle":"","parse-names":false,"suffix":""},{"dropping-particle":"","family":"Stout","given":"C. David","non-dropping-particle":"","parse-names":false,"suffix":""},{"dropping-particle":"","family":"Johnson","given":"Eric F.","non-dropping-particle":"","parse-names":false,"suffix":""}],"container-title":"Journal of Biological Chemistry","id":"ITEM-1","issue":"14","issued":{"date-parts":[["2012"]]},"page":"10834-10843","title":"Crystal Structure of Human Cytochrome P450 2D6 with Prinomastat Bound","type":"article-journal","volume":"287"},"uris":["http://www.mendeley.com/documents/?uuid=0e55a88e-4fc1-4138-919b-85504ff4e729"]}],"mendeley":{"formattedCitation":"(Wang et al. 2012)","plainTextFormattedCitation":"(Wang et al. 2012)","previouslyFormattedCitation":"&lt;sup&gt;13&lt;/sup&gt;"},"properties":{"noteIndex":0},"schema":"https://github.com/citation-style-language/schema/raw/master/csl-citation.json"}</w:instrText>
            </w:r>
            <w:r>
              <w:rPr>
                <w:lang w:val="en-US"/>
              </w:rPr>
              <w:fldChar w:fldCharType="separate"/>
            </w:r>
            <w:r w:rsidR="003932D1" w:rsidRPr="003932D1">
              <w:rPr>
                <w:noProof/>
                <w:lang w:val="en-US"/>
              </w:rPr>
              <w:t>(Wang et al. 2012)</w:t>
            </w:r>
            <w:r>
              <w:rPr>
                <w:lang w:val="en-US"/>
              </w:rPr>
              <w:fldChar w:fldCharType="end"/>
            </w:r>
            <w:r>
              <w:rPr>
                <w:lang w:val="en-US"/>
              </w:rPr>
              <w:t xml:space="preserve"> </w:t>
            </w:r>
          </w:p>
          <w:p w14:paraId="239A4942" w14:textId="6A28D4EC" w:rsidR="005911AC" w:rsidRDefault="005911AC" w:rsidP="005607DF">
            <w:pPr>
              <w:rPr>
                <w:lang w:val="en-US"/>
              </w:rPr>
            </w:pPr>
            <w:r>
              <w:rPr>
                <w:lang w:val="en-US"/>
              </w:rPr>
              <w:t xml:space="preserve">4WNW </w:t>
            </w:r>
            <w:r>
              <w:rPr>
                <w:lang w:val="en-US"/>
              </w:rPr>
              <w:fldChar w:fldCharType="begin" w:fldLock="1"/>
            </w:r>
            <w:r w:rsidR="003932D1">
              <w:rPr>
                <w:lang w:val="en-US"/>
              </w:rPr>
              <w:instrText>ADDIN CSL_CITATION {"citationItems":[{"id":"ITEM-1","itemData":{"DOI":"10.1074/jbc.M114.627661","ISSN":"1083351X","PMID":"25555909","abstract":"P450 2D6 contributes significantly to the metabolism of &gt;15% of the 200 most marketed drugs. Open and closed crystal structures of P450 2D6 thioridazine complexes were obtained using different crystallization conditions. The protonated piperidine moiety of thioridazine forms a charge-stabilized hydrogen bond with Asp-301 in the active sites of both complexes. The more open conformation exhibits a second molecule of thioridazine bound in an expanded substrate access channel antechamber with its piperidine moiety forming a charge-stabilized hydrogen bond with Glu-222. Incubation of the crystalline open thioridazine complex with alternative ligands, prinomastat, quinidine, quinine, or ajmalicine, displaced both thioridazines. Quinine and ajmalicine formed charge-stabilized hydrogen bonds with Glu-216, whereas the protonated nitrogen of quinidine is equidistant from Asp-301 and Glu-216 with protonated nitrogen H-bonded to a water molecule in the access channel. Prinomastat is not ionized. Adaptations of active site side-chain rotamers and polypeptide conformations were evident between the complexes, with the binding of ajmalicine eliciting a closure of the open structure reflecting in part the inward movement of Glu-216 to form a hydrogen bond with ajmalicine as well as sparse lattice restraints that would hinder adaptations. These results indicate that P450 2D6 exhibits sufficient elasticity within the crystal lattice to allow the passage of compounds between the active site and bulk solvent and to adopt a more closed form that adapts for binding alternative ligands with different degrees of closure. These crystals provide a means to characterize substrate and inhibitor binding to the enzyme after replacement of thioridazine with alternative compounds.","author":[{"dropping-particle":"","family":"Wang","given":"An","non-dropping-particle":"","parse-names":false,"suffix":""},{"dropping-particle":"","family":"Stout","given":"C. David","non-dropping-particle":"","parse-names":false,"suffix":""},{"dropping-particle":"","family":"Zhang","given":"Qinghai","non-dropping-particle":"","parse-names":false,"suffix":""},{"dropping-particle":"","family":"Johnson","given":"Eric F.","non-dropping-particle":"","parse-names":false,"suffix":""}],"container-title":"Journal of Biological Chemistry","id":"ITEM-1","issue":"8","issued":{"date-parts":[["2015"]]},"page":"5092-5104","title":"Contributions of ionic interactions and protein dynamics to cytochrome P450 2D6 (CYP2D6) substrate and inhibitor binding","type":"article-journal","volume":"290"},"uris":["http://www.mendeley.com/documents/?uuid=eee24235-d232-4e7a-b5f9-9950e8e06d11"]}],"mendeley":{"formattedCitation":"(Wang et al. 2015)","plainTextFormattedCitation":"(Wang et al. 2015)","previouslyFormattedCitation":"&lt;sup&gt;14&lt;/sup&gt;"},"properties":{"noteIndex":0},"schema":"https://github.com/citation-style-language/schema/raw/master/csl-citation.json"}</w:instrText>
            </w:r>
            <w:r>
              <w:rPr>
                <w:lang w:val="en-US"/>
              </w:rPr>
              <w:fldChar w:fldCharType="separate"/>
            </w:r>
            <w:r w:rsidR="003932D1" w:rsidRPr="003932D1">
              <w:rPr>
                <w:noProof/>
                <w:lang w:val="en-US"/>
              </w:rPr>
              <w:t>(Wang et al. 2015)</w:t>
            </w:r>
            <w:r>
              <w:rPr>
                <w:lang w:val="en-US"/>
              </w:rPr>
              <w:fldChar w:fldCharType="end"/>
            </w:r>
            <w:r>
              <w:rPr>
                <w:lang w:val="en-US"/>
              </w:rPr>
              <w:t xml:space="preserve"> </w:t>
            </w:r>
          </w:p>
        </w:tc>
      </w:tr>
      <w:tr w:rsidR="005911AC" w:rsidRPr="00C83A11" w14:paraId="1B1C3FAE" w14:textId="77777777" w:rsidTr="00C65FFE">
        <w:tc>
          <w:tcPr>
            <w:tcW w:w="2268" w:type="dxa"/>
            <w:tcBorders>
              <w:top w:val="nil"/>
              <w:left w:val="nil"/>
              <w:bottom w:val="nil"/>
              <w:right w:val="nil"/>
            </w:tcBorders>
          </w:tcPr>
          <w:p w14:paraId="1FE7DE43" w14:textId="77777777" w:rsidR="005911AC" w:rsidRDefault="005911AC" w:rsidP="00FA0AB5">
            <w:pPr>
              <w:rPr>
                <w:lang w:val="en-US"/>
              </w:rPr>
            </w:pPr>
            <w:r w:rsidRPr="622AB48A">
              <w:rPr>
                <w:lang w:val="en-US"/>
              </w:rPr>
              <w:t>2E1</w:t>
            </w:r>
          </w:p>
        </w:tc>
        <w:tc>
          <w:tcPr>
            <w:tcW w:w="2694" w:type="dxa"/>
            <w:tcBorders>
              <w:top w:val="nil"/>
              <w:left w:val="nil"/>
              <w:bottom w:val="nil"/>
              <w:right w:val="nil"/>
            </w:tcBorders>
          </w:tcPr>
          <w:p w14:paraId="1D467ECB" w14:textId="77777777" w:rsidR="005911AC" w:rsidRDefault="005911AC" w:rsidP="00FA0AB5">
            <w:pPr>
              <w:rPr>
                <w:lang w:val="en-US"/>
              </w:rPr>
            </w:pPr>
            <w:r w:rsidRPr="622AB48A">
              <w:rPr>
                <w:lang w:val="en-US"/>
              </w:rPr>
              <w:t>P05181-1</w:t>
            </w:r>
          </w:p>
        </w:tc>
        <w:tc>
          <w:tcPr>
            <w:tcW w:w="4064" w:type="dxa"/>
            <w:tcBorders>
              <w:top w:val="nil"/>
              <w:left w:val="nil"/>
              <w:bottom w:val="nil"/>
              <w:right w:val="nil"/>
            </w:tcBorders>
          </w:tcPr>
          <w:p w14:paraId="6ABE219C" w14:textId="42F13295" w:rsidR="005911AC" w:rsidRDefault="005911AC" w:rsidP="00FA0AB5">
            <w:pPr>
              <w:rPr>
                <w:lang w:val="en-US"/>
              </w:rPr>
            </w:pPr>
            <w:r w:rsidRPr="622AB48A">
              <w:rPr>
                <w:lang w:val="en-US"/>
              </w:rPr>
              <w:t>3T3Z</w:t>
            </w:r>
            <w:r>
              <w:rPr>
                <w:lang w:val="en-US"/>
              </w:rPr>
              <w:t xml:space="preserve"> </w:t>
            </w:r>
            <w:r>
              <w:rPr>
                <w:lang w:val="en-US"/>
              </w:rPr>
              <w:fldChar w:fldCharType="begin" w:fldLock="1"/>
            </w:r>
            <w:r w:rsidR="003932D1">
              <w:rPr>
                <w:lang w:val="en-US"/>
              </w:rPr>
              <w:instrText>ADDIN CSL_CITATION {"citationItems":[{"id":"ITEM-1","itemData":{"DOI":"10.1111/j.1742-4658.2011.08412.x","ISBN":"1742-464X","ISSN":"1742464X","PMID":"22051186","abstract":"Human xenobiotic-metabolizing cytochrome P450 (CYP) enzymes can each bind and monooxygenate a diverse set of substrates, including drugs, often producing a variety of metabolites. Additionally, a single ligand can interact with multiple CYP enzymes, but often the protein structural similarities and differences that mediate such overlapping selectivity are not well understood. Even though the CYP superfamily has a highly canonical global protein fold, there are large variations in the active site size, topology, and conformational flexibility. We have determined how a related set of three human CYP enzymes bind and interact with a common inhibitor, the muscarinic receptor agonist drug pilocarpine. Pilocarpine binds and inhibits the hepatic CYP2A6 and respiratory CYP2A13 enzymes much more efficiently than the hepatic CYP2E1 enzyme. To elucidate key residues involved in pilocarpine binding, crystal structures of CYP2A6 (2.4 Å), CYP2A13 (3.0 Å), CYP2E1 (2.35 Å), and the CYP2A6 mutant enzyme, CYP2A6 I208S/I300F/G301A/S369G (2.1 Å) have been determined with pilocarpine in the active site. In all four structures, pilocarpine coordinates to the heme iron, but comparisons reveal how individual residues lining the active sites of these three distinct human enzymes interact differently with the inhibitor pilocarpine.","author":[{"dropping-particle":"","family":"DeVore","given":"Natasha M.","non-dropping-particle":"","parse-names":false,"suffix":""},{"dropping-particle":"","family":"Meneely","given":"Kathleen M.","non-dropping-particle":"","parse-names":false,"suffix":""},{"dropping-particle":"","family":"Bart","given":"Aaron G.","non-dropping-particle":"","parse-names":false,"suffix":""},{"dropping-particle":"","family":"Stephens","given":"Eva S.","non-dropping-particle":"","parse-names":false,"suffix":""},{"dropping-particle":"","family":"Battaile","given":"Kevin P.","non-dropping-particle":"","parse-names":false,"suffix":""},{"dropping-particle":"","family":"Scott","given":"Emily E.","non-dropping-particle":"","parse-names":false,"suffix":""}],"container-title":"FEBS Journal","id":"ITEM-1","issue":"9","issued":{"date-parts":[["2012"]]},"page":"1621-1631","title":"Structural comparison of cytochromes P450 2A6, 2A13, and 2E1 with pilocarpine","type":"article-journal","volume":"279"},"uris":["http://www.mendeley.com/documents/?uuid=2c8cd7cc-480b-47e9-9654-f000fcc2cee9"]}],"mendeley":{"formattedCitation":"(DeVore et al. 2012)","plainTextFormattedCitation":"(DeVore et al. 2012)","previouslyFormattedCitation":"&lt;sup&gt;15&lt;/sup&gt;"},"properties":{"noteIndex":0},"schema":"https://github.com/citation-style-language/schema/raw/master/csl-citation.json"}</w:instrText>
            </w:r>
            <w:r>
              <w:rPr>
                <w:lang w:val="en-US"/>
              </w:rPr>
              <w:fldChar w:fldCharType="separate"/>
            </w:r>
            <w:r w:rsidR="003932D1" w:rsidRPr="003932D1">
              <w:rPr>
                <w:noProof/>
                <w:lang w:val="en-US"/>
              </w:rPr>
              <w:t>(DeVore et al. 2012)</w:t>
            </w:r>
            <w:r>
              <w:rPr>
                <w:lang w:val="en-US"/>
              </w:rPr>
              <w:fldChar w:fldCharType="end"/>
            </w:r>
            <w:r>
              <w:rPr>
                <w:lang w:val="en-US"/>
              </w:rPr>
              <w:t xml:space="preserve"> </w:t>
            </w:r>
          </w:p>
        </w:tc>
      </w:tr>
      <w:tr w:rsidR="005911AC" w:rsidRPr="005911AC" w14:paraId="7A8EC8C5" w14:textId="77777777" w:rsidTr="00C65FFE">
        <w:tc>
          <w:tcPr>
            <w:tcW w:w="2268" w:type="dxa"/>
            <w:tcBorders>
              <w:top w:val="nil"/>
              <w:left w:val="nil"/>
              <w:bottom w:val="nil"/>
              <w:right w:val="nil"/>
            </w:tcBorders>
          </w:tcPr>
          <w:p w14:paraId="25C3C02B" w14:textId="77777777" w:rsidR="005911AC" w:rsidRDefault="005911AC" w:rsidP="00FA0AB5">
            <w:pPr>
              <w:rPr>
                <w:lang w:val="en-US"/>
              </w:rPr>
            </w:pPr>
            <w:r w:rsidRPr="622AB48A">
              <w:rPr>
                <w:lang w:val="en-US"/>
              </w:rPr>
              <w:t>3A4</w:t>
            </w:r>
          </w:p>
        </w:tc>
        <w:tc>
          <w:tcPr>
            <w:tcW w:w="2694" w:type="dxa"/>
            <w:tcBorders>
              <w:top w:val="nil"/>
              <w:left w:val="nil"/>
              <w:bottom w:val="nil"/>
              <w:right w:val="nil"/>
            </w:tcBorders>
          </w:tcPr>
          <w:p w14:paraId="61AFEFCF" w14:textId="77777777" w:rsidR="005911AC" w:rsidRDefault="005911AC" w:rsidP="00FA0AB5">
            <w:pPr>
              <w:rPr>
                <w:lang w:val="en-US"/>
              </w:rPr>
            </w:pPr>
            <w:r w:rsidRPr="622AB48A">
              <w:rPr>
                <w:lang w:val="en-US"/>
              </w:rPr>
              <w:t>P08684-1</w:t>
            </w:r>
          </w:p>
        </w:tc>
        <w:tc>
          <w:tcPr>
            <w:tcW w:w="4064" w:type="dxa"/>
            <w:tcBorders>
              <w:top w:val="nil"/>
              <w:left w:val="nil"/>
              <w:bottom w:val="nil"/>
              <w:right w:val="nil"/>
            </w:tcBorders>
          </w:tcPr>
          <w:p w14:paraId="00D40A17" w14:textId="57DAE322" w:rsidR="005911AC" w:rsidRPr="005911AC" w:rsidRDefault="005911AC" w:rsidP="00FA0AB5">
            <w:r w:rsidRPr="005911AC">
              <w:t xml:space="preserve">3UA1 </w:t>
            </w:r>
            <w:r>
              <w:rPr>
                <w:lang w:val="en-US"/>
              </w:rPr>
              <w:fldChar w:fldCharType="begin" w:fldLock="1"/>
            </w:r>
            <w:r w:rsidR="003932D1">
              <w:instrText xml:space="preserve">ADDIN CSL_CITATION {"citationItems":[{"id":"ITEM-1","itemData":{"DOI":"10.1074/jbc.M111.317081","ISBN":"9498241953","ISSN":"00219258","PMID":"22157006","abstract":"Cytochrome P4503A4 (CYP3A4), a major human drug-metabolizing enzyme, is responsible for the oxidation and clearance of the majority of administered drugs. One of the CYP3A4 substrates is bromoergocryptine (BEC), a dopamine receptor agonist prescribed for the inhibition of prolactin secretion and treatment of Parkinson disease, type 2 diabetes, and several other pathological conditions. Here we present a 2.15 </w:instrText>
            </w:r>
            <w:r w:rsidR="003932D1">
              <w:rPr>
                <w:rFonts w:ascii="Cambria Math" w:hAnsi="Cambria Math" w:cs="Cambria Math"/>
              </w:rPr>
              <w:instrText>Å</w:instrText>
            </w:r>
            <w:r w:rsidR="003932D1">
              <w:instrText xml:space="preserve"> crystal structure of the CYP3A4-BEC complex in which the drug, a type I heme ligand, is bound in a productive mode. The manner of BEC binding is consistent with the in vivo metabolite analysis and identifies the 8' and 9' carbons of the proline ring as the primary sites of oxidation. The crystal structure predicts the importance of Arg(212) and Thr(224) for binding of the tripeptide and lysergic moieties of BEC, respectively, which we confirmed experimentally. Our data support a three-step BEC binding model according to which the drug binds first at a peripheral site without perturbing the heme spectrum and then translocates into the active site cavity, where formation of a hydrogen bond between Thr(224) and the N1 atom of the lysergic moiety is followed by a slower conformational readjustment of the tripeptide group modulated by Arg(212).","author":[{"dropping-particle":"","family":"Sevrioukova","given":"Irina F.","non-dropping-particle":"","parse-names":false,"suffix":""},{"dropping-particle":"","family":"Poulos","given":"Thomas L.","non-dropping-particle":"","parse-names":false,"suffix":""}],"container-title":"Journal of Biological Chemistry","id":"ITEM-1","issue":"5","issued":{"date-parts":[["2012"]]},"page":"3510-3517","title":"Structural and mechanistic insights into the interaction of cytochrome P4503A4 with bromoergocryptine, a type I ligand","type":"article-journal","volume":"287"},"uris":["http://www.mendeley.com/documents/?uuid=5385a2f8-b3b3-4cab-b155-dc32f8318876"]}],"mendeley":{"formattedCitation":"(Sevrioukova &amp; Poulos 2012)","plainTextFormattedCitation":"(Sevrioukova &amp; Poulos 2012)","previouslyFormattedCitation":"&lt;sup&gt;16&lt;/sup&gt;"},"properties":{"noteIndex":0},"schema":"https://github.com/citation-style-language/schema/raw/master/csl-citation.json"}</w:instrText>
            </w:r>
            <w:r>
              <w:rPr>
                <w:lang w:val="en-US"/>
              </w:rPr>
              <w:fldChar w:fldCharType="separate"/>
            </w:r>
            <w:r w:rsidR="003932D1" w:rsidRPr="003932D1">
              <w:rPr>
                <w:noProof/>
              </w:rPr>
              <w:t>(Sevrioukova &amp; Poulos 2012)</w:t>
            </w:r>
            <w:r>
              <w:rPr>
                <w:lang w:val="en-US"/>
              </w:rPr>
              <w:fldChar w:fldCharType="end"/>
            </w:r>
            <w:r w:rsidRPr="005911AC">
              <w:t xml:space="preserve"> </w:t>
            </w:r>
          </w:p>
          <w:p w14:paraId="6193B4DF" w14:textId="65A8ED14" w:rsidR="005911AC" w:rsidRPr="005911AC" w:rsidRDefault="005911AC" w:rsidP="00FA0AB5">
            <w:r w:rsidRPr="005911AC">
              <w:t>5TE8</w:t>
            </w:r>
            <w:r w:rsidRPr="005911AC">
              <w:rPr>
                <w:vertAlign w:val="superscript"/>
              </w:rPr>
              <w:t>b</w:t>
            </w:r>
            <w:r w:rsidRPr="005911AC">
              <w:t xml:space="preserve"> </w:t>
            </w:r>
            <w:r>
              <w:rPr>
                <w:lang w:val="en-US"/>
              </w:rPr>
              <w:fldChar w:fldCharType="begin" w:fldLock="1"/>
            </w:r>
            <w:r w:rsidR="003932D1">
              <w:instrText>ADDIN CSL_CITATION {"citationItems":[{"id":"ITEM-1","itemData":{"DOI":"10.1073/pnas.1616198114","ISBN":"1091-6490 (Electronic)\r0027-8424 (Linking)","ISSN":"0027-8424","PMID":"28031486","abstract":"Human cytochrome P450 3A4 (CYP3A4) is a major hepatic and intestinal enzyme that oxidizes more than 60% of administered therapeutics. Knowledge of how CYP3A4 adjusts and reshapes the active site to regioselectively oxidize chemically diverse compounds is critical for better understanding structure-function relations in this important enzyme, improving the outcomes for drug metabolism predictions, and developing pharmaceuticals that have a decreased ability to undergo metabolism and cause detrimental drug-drug interactions. However, there is very limited structural information on CYP3A4-substrate interactions available to date. Despite the vast variety of drugs undergoing metabolism, only the sedative midazolam (MDZ) serves as a marker substrate for the in vivo activity assessment because it is preferentially and regioselectively oxidized by CYP3A4. We solved the 2.7 A crystal structure of the CYP3A4-MDZ complex, where the drug is well defined and oriented suitably for hydroxylation of the C1 atom, the major site of metabolism. This binding mode requires H-bonding to Ser119 and a dramatic conformational switch in the F-G fragment, which transmits to the adjacent D, E, H, and I helices, resulting in a collapse of the active site cavity and MDZ immobilization. In addition to providing insights on the substrate-triggered active site reshaping (an induced fit), the crystal structure explains the accumulated experimental results, identifies possible effector binding sites, and suggests why MDZ is predominantly metabolized by the CYP3A enzyme subfamily.","author":[{"dropping-particle":"","family":"Sevrioukova","given":"Irina F.","non-dropping-particle":"","parse-names":false,"suffix":""},{"dropping-particle":"","family":"Poulos","given":"Thomas L.","non-dropping-particle":"","parse-names":false,"suffix":""}],"container-title":"Proceedings of the National Academy of Sciences","id":"ITEM-1","issue":"3","issued":{"date-parts":[["2017"]]},"page":"486-491","title":"Structural basis for regiospecific midazolam oxidation by human cytochrome P450 3A4","type":"article-journal","volume":"114"},"uris":["http://www.mendeley.com/documents/?uuid=aa136c5a-ae94-4f58-aaaa-6b49b5b6f525"]}],"mendeley":{"formattedCitation":"(Sevrioukova &amp; Poulos 2017)","plainTextFormattedCitation":"(Sevrioukova &amp; Poulos 2017)","previouslyFormattedCitation":"&lt;sup&gt;17&lt;/sup&gt;"},"properties":{"noteIndex":0},"schema":"https://github.com/citation-style-language/schema/raw/master/csl-citation.json"}</w:instrText>
            </w:r>
            <w:r>
              <w:rPr>
                <w:lang w:val="en-US"/>
              </w:rPr>
              <w:fldChar w:fldCharType="separate"/>
            </w:r>
            <w:r w:rsidR="003932D1" w:rsidRPr="003932D1">
              <w:rPr>
                <w:noProof/>
              </w:rPr>
              <w:t>(Sevrioukova &amp; Poulos 2017)</w:t>
            </w:r>
            <w:r>
              <w:rPr>
                <w:lang w:val="en-US"/>
              </w:rPr>
              <w:fldChar w:fldCharType="end"/>
            </w:r>
            <w:r w:rsidRPr="005911AC">
              <w:t xml:space="preserve"> </w:t>
            </w:r>
          </w:p>
        </w:tc>
      </w:tr>
      <w:tr w:rsidR="005911AC" w:rsidRPr="00C83A11" w14:paraId="2932BCB4" w14:textId="77777777" w:rsidTr="00C65FFE">
        <w:tc>
          <w:tcPr>
            <w:tcW w:w="2268" w:type="dxa"/>
            <w:tcBorders>
              <w:top w:val="nil"/>
              <w:left w:val="nil"/>
              <w:bottom w:val="nil"/>
              <w:right w:val="nil"/>
            </w:tcBorders>
          </w:tcPr>
          <w:p w14:paraId="52B9193D" w14:textId="77777777" w:rsidR="005911AC" w:rsidRDefault="005911AC" w:rsidP="00FA0AB5">
            <w:pPr>
              <w:rPr>
                <w:lang w:val="en-US"/>
              </w:rPr>
            </w:pPr>
            <w:r w:rsidRPr="622AB48A">
              <w:rPr>
                <w:lang w:val="en-US"/>
              </w:rPr>
              <w:t>3A5</w:t>
            </w:r>
          </w:p>
        </w:tc>
        <w:tc>
          <w:tcPr>
            <w:tcW w:w="2694" w:type="dxa"/>
            <w:tcBorders>
              <w:top w:val="nil"/>
              <w:left w:val="nil"/>
              <w:bottom w:val="nil"/>
              <w:right w:val="nil"/>
            </w:tcBorders>
          </w:tcPr>
          <w:p w14:paraId="220A13C0" w14:textId="77777777" w:rsidR="005911AC" w:rsidRDefault="005911AC" w:rsidP="00FA0AB5">
            <w:pPr>
              <w:rPr>
                <w:lang w:val="en-US"/>
              </w:rPr>
            </w:pPr>
            <w:r w:rsidRPr="622AB48A">
              <w:rPr>
                <w:lang w:val="en-US"/>
              </w:rPr>
              <w:t>P20815-1</w:t>
            </w:r>
          </w:p>
        </w:tc>
        <w:tc>
          <w:tcPr>
            <w:tcW w:w="4064" w:type="dxa"/>
            <w:tcBorders>
              <w:top w:val="nil"/>
              <w:left w:val="nil"/>
              <w:bottom w:val="nil"/>
              <w:right w:val="nil"/>
            </w:tcBorders>
          </w:tcPr>
          <w:p w14:paraId="7B849AC7" w14:textId="7FD3CD7F" w:rsidR="005911AC" w:rsidRDefault="005911AC" w:rsidP="00FA0AB5">
            <w:pPr>
              <w:rPr>
                <w:lang w:val="en-US"/>
              </w:rPr>
            </w:pPr>
            <w:r w:rsidRPr="622AB48A">
              <w:rPr>
                <w:lang w:val="en-US"/>
              </w:rPr>
              <w:t>5VEU</w:t>
            </w:r>
            <w:r>
              <w:rPr>
                <w:lang w:val="en-US"/>
              </w:rPr>
              <w:t xml:space="preserve"> </w:t>
            </w:r>
            <w:r>
              <w:rPr>
                <w:lang w:val="en-US"/>
              </w:rPr>
              <w:fldChar w:fldCharType="begin" w:fldLock="1"/>
            </w:r>
            <w:r w:rsidR="003932D1">
              <w:rPr>
                <w:lang w:val="en-US"/>
              </w:rPr>
              <w:instrText>ADDIN CSL_CITATION {"citationItems":[{"id":"ITEM-1","itemData":{"DOI":"10.1124/mol.117.109744","ISSN":"0026-895X","PMID":"29093019","abstract":"The contributions of cytochrome P450 3A5 to the metabolic clearance of marketed drugs is unclear, but its probable role is to augment the metabolism of several drugs that are largely cleared by P450 3A4. Selective metabolism by 3A4 is often a concern in drug development owing to potential drug-drug interactions and the variability of 3A4 and 3A5 expression. The contribution of P450 3A5 to these clearance pathways varies between individuals owing to genetic differences and similarities and differences in the metabolic properties of 3A5 compared with 3A4. To better understand the structural differences between P450s 3A4 and 3A5, the structure of 3A5 complexed with ritonavir was determined by X-ray crystallography to a limiting resolution of 2.91 A. The secondary and tertiary structures of 3A5 and 3A4 are similar, but the architectures of their active sites differ. The 3A5 active site is taller and narrower than that of 3A4. As a result, ritonavir adopts a distinctly different conformation to fit into the cavity of 3A5 than seen for 3A4. These structural changes reflect amino acid differences that alter the conformation of the helix F through helix G region in the upper portion of the cavity and ionic interactions between residues in the beta-sheet domain that reduce the width of the cavity. The structural differences exhibited by 3A4 and 3A5 suggest that the overlap of catalytic activities may reflect molecular flexibility that determines how alternative conformers fit into the different active site architectures of the two enzymes.","author":[{"dropping-particle":"","family":"Hsu","given":"Mei-Hui","non-dropping-particle":"","parse-names":false,"suffix":""},{"dropping-particle":"","family":"Savas","given":"Uzen","non-dropping-particle":"","parse-names":false,"suffix":""},{"dropping-particle":"","family":"Johnson","given":"Eric F.","non-dropping-particle":"","parse-names":false,"suffix":""}],"container-title":"Molecular Pharmacology","id":"ITEM-1","issue":"1","issued":{"date-parts":[["2018"]]},"page":"14-24","title":"The X-Ray Crystal Structure of the Human Mono-Oxygenase Cytochrome P450 3A5-Ritonavir Complex Reveals Active Site Differences between P450s 3A4 and 3A5","type":"article-journal","volume":"93"},"uris":["http://www.mendeley.com/documents/?uuid=94ca49d4-462b-433a-b585-4c34c0fe3ccb"]}],"mendeley":{"formattedCitation":"(Hsu et al. 2018)","plainTextFormattedCitation":"(Hsu et al. 2018)","previouslyFormattedCitation":"&lt;sup&gt;18&lt;/sup&gt;"},"properties":{"noteIndex":0},"schema":"https://github.com/citation-style-language/schema/raw/master/csl-citation.json"}</w:instrText>
            </w:r>
            <w:r>
              <w:rPr>
                <w:lang w:val="en-US"/>
              </w:rPr>
              <w:fldChar w:fldCharType="separate"/>
            </w:r>
            <w:r w:rsidR="003932D1" w:rsidRPr="003932D1">
              <w:rPr>
                <w:noProof/>
                <w:lang w:val="en-US"/>
              </w:rPr>
              <w:t>(Hsu et al. 2018)</w:t>
            </w:r>
            <w:r>
              <w:rPr>
                <w:lang w:val="en-US"/>
              </w:rPr>
              <w:fldChar w:fldCharType="end"/>
            </w:r>
            <w:r>
              <w:rPr>
                <w:lang w:val="en-US"/>
              </w:rPr>
              <w:t xml:space="preserve"> </w:t>
            </w:r>
          </w:p>
        </w:tc>
      </w:tr>
      <w:tr w:rsidR="005911AC" w:rsidRPr="00C83A11" w14:paraId="3413AB8D" w14:textId="77777777" w:rsidTr="00C65FFE">
        <w:tc>
          <w:tcPr>
            <w:tcW w:w="2268" w:type="dxa"/>
            <w:tcBorders>
              <w:top w:val="nil"/>
              <w:left w:val="nil"/>
              <w:bottom w:val="single" w:sz="4" w:space="0" w:color="auto"/>
              <w:right w:val="nil"/>
            </w:tcBorders>
          </w:tcPr>
          <w:p w14:paraId="1A7E1B56" w14:textId="77777777" w:rsidR="005911AC" w:rsidRDefault="005911AC" w:rsidP="00FA0AB5">
            <w:pPr>
              <w:rPr>
                <w:lang w:val="en-US"/>
              </w:rPr>
            </w:pPr>
            <w:r w:rsidRPr="622AB48A">
              <w:rPr>
                <w:lang w:val="en-US"/>
              </w:rPr>
              <w:t>3A7</w:t>
            </w:r>
          </w:p>
        </w:tc>
        <w:tc>
          <w:tcPr>
            <w:tcW w:w="2694" w:type="dxa"/>
            <w:tcBorders>
              <w:top w:val="nil"/>
              <w:left w:val="nil"/>
              <w:bottom w:val="single" w:sz="4" w:space="0" w:color="auto"/>
              <w:right w:val="nil"/>
            </w:tcBorders>
          </w:tcPr>
          <w:p w14:paraId="72EB72D4" w14:textId="77777777" w:rsidR="005911AC" w:rsidRDefault="005911AC" w:rsidP="00FA0AB5">
            <w:pPr>
              <w:rPr>
                <w:lang w:val="en-US"/>
              </w:rPr>
            </w:pPr>
            <w:r w:rsidRPr="622AB48A">
              <w:rPr>
                <w:lang w:val="en-US"/>
              </w:rPr>
              <w:t>P24462-1</w:t>
            </w:r>
          </w:p>
        </w:tc>
        <w:tc>
          <w:tcPr>
            <w:tcW w:w="4064" w:type="dxa"/>
            <w:tcBorders>
              <w:top w:val="nil"/>
              <w:left w:val="nil"/>
              <w:bottom w:val="single" w:sz="4" w:space="0" w:color="auto"/>
              <w:right w:val="nil"/>
            </w:tcBorders>
          </w:tcPr>
          <w:p w14:paraId="392AA549" w14:textId="77777777" w:rsidR="005911AC" w:rsidRDefault="005911AC" w:rsidP="00FA0AB5">
            <w:pPr>
              <w:rPr>
                <w:lang w:val="en-US"/>
              </w:rPr>
            </w:pPr>
            <w:r w:rsidRPr="21754F91">
              <w:rPr>
                <w:lang w:val="en-US"/>
              </w:rPr>
              <w:t>-</w:t>
            </w:r>
          </w:p>
        </w:tc>
      </w:tr>
    </w:tbl>
    <w:p w14:paraId="0E11A86D" w14:textId="15E958EA" w:rsidR="00507F36" w:rsidRPr="0062015A" w:rsidRDefault="0062015A" w:rsidP="0062015A">
      <w:pPr>
        <w:pStyle w:val="ListParagraph"/>
        <w:numPr>
          <w:ilvl w:val="0"/>
          <w:numId w:val="1"/>
        </w:numPr>
        <w:rPr>
          <w:i/>
          <w:lang w:val="en-US"/>
        </w:rPr>
      </w:pPr>
      <w:r>
        <w:rPr>
          <w:lang w:val="en-US"/>
        </w:rPr>
        <w:t>Structures used in molecular docking</w:t>
      </w:r>
    </w:p>
    <w:p w14:paraId="3404C866" w14:textId="0A380BD2" w:rsidR="0062015A" w:rsidRPr="0062015A" w:rsidRDefault="0062015A" w:rsidP="0062015A">
      <w:pPr>
        <w:pStyle w:val="ListParagraph"/>
        <w:numPr>
          <w:ilvl w:val="0"/>
          <w:numId w:val="1"/>
        </w:numPr>
        <w:rPr>
          <w:i/>
          <w:lang w:val="en-US"/>
        </w:rPr>
      </w:pPr>
      <w:r w:rsidRPr="0062015A">
        <w:rPr>
          <w:lang w:val="en-US"/>
        </w:rPr>
        <w:t>Structures used in structure-based sequence pre-alignment</w:t>
      </w:r>
    </w:p>
    <w:p w14:paraId="434C87D3" w14:textId="77777777" w:rsidR="00507F36" w:rsidRDefault="00507F36">
      <w:pPr>
        <w:spacing w:line="259" w:lineRule="auto"/>
        <w:rPr>
          <w:lang w:val="en-US"/>
        </w:rPr>
      </w:pPr>
      <w:r>
        <w:rPr>
          <w:lang w:val="en-US"/>
        </w:rPr>
        <w:br w:type="page"/>
      </w:r>
    </w:p>
    <w:p w14:paraId="28B34C55" w14:textId="08BCD7D5" w:rsidR="006D6A40" w:rsidRPr="00FC15A5" w:rsidRDefault="006D6A40" w:rsidP="006D6A40">
      <w:pPr>
        <w:rPr>
          <w:lang w:val="en-US"/>
        </w:rPr>
      </w:pPr>
      <w:r w:rsidRPr="006D6A40">
        <w:rPr>
          <w:rFonts w:eastAsia="Times New Roman" w:cs="Times New Roman"/>
          <w:b/>
          <w:lang w:val="en-US"/>
        </w:rPr>
        <w:lastRenderedPageBreak/>
        <w:t>Supplementary Table 2</w:t>
      </w:r>
      <w:r w:rsidRPr="56B37100">
        <w:rPr>
          <w:rFonts w:eastAsia="Times New Roman" w:cs="Times New Roman"/>
          <w:lang w:val="en-US"/>
        </w:rPr>
        <w:t xml:space="preserve">. </w:t>
      </w:r>
      <w:r>
        <w:rPr>
          <w:rFonts w:eastAsia="Times New Roman" w:cs="Times New Roman"/>
          <w:lang w:val="en-US"/>
        </w:rPr>
        <w:t>The a</w:t>
      </w:r>
      <w:r w:rsidRPr="56B37100">
        <w:rPr>
          <w:rFonts w:eastAsia="Times New Roman" w:cs="Times New Roman"/>
          <w:lang w:val="en-US"/>
        </w:rPr>
        <w:t xml:space="preserve">bsorbance properties of </w:t>
      </w:r>
      <w:r>
        <w:rPr>
          <w:rFonts w:eastAsia="Times New Roman" w:cs="Times New Roman"/>
          <w:lang w:val="en-US"/>
        </w:rPr>
        <w:t xml:space="preserve">the </w:t>
      </w:r>
      <w:r w:rsidRPr="56B37100">
        <w:rPr>
          <w:rFonts w:eastAsia="Times New Roman" w:cs="Times New Roman"/>
          <w:lang w:val="en-US"/>
        </w:rPr>
        <w:t>coumarin derivatives.</w:t>
      </w:r>
    </w:p>
    <w:tbl>
      <w:tblPr>
        <w:tblStyle w:val="GridTable1Light-Accent1"/>
        <w:tblW w:w="0" w:type="auto"/>
        <w:tblLook w:val="04A0" w:firstRow="1" w:lastRow="0" w:firstColumn="1" w:lastColumn="0" w:noHBand="0" w:noVBand="1"/>
      </w:tblPr>
      <w:tblGrid>
        <w:gridCol w:w="1364"/>
        <w:gridCol w:w="830"/>
        <w:gridCol w:w="1429"/>
      </w:tblGrid>
      <w:tr w:rsidR="006D6A40" w14:paraId="32D772B4" w14:textId="77777777" w:rsidTr="00393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5EBEA9" w14:textId="77777777" w:rsidR="003932D1" w:rsidRDefault="003932D1" w:rsidP="00C03B81">
            <w:pPr>
              <w:jc w:val="center"/>
              <w:rPr>
                <w:lang w:val="en-US"/>
              </w:rPr>
            </w:pPr>
            <w:r>
              <w:rPr>
                <w:lang w:val="en-US"/>
              </w:rPr>
              <w:t>Compound</w:t>
            </w:r>
          </w:p>
          <w:p w14:paraId="018431D3" w14:textId="10C528AC" w:rsidR="006D6A40" w:rsidRDefault="006D6A40" w:rsidP="00C03B81">
            <w:pPr>
              <w:jc w:val="center"/>
            </w:pPr>
            <w:r w:rsidRPr="56B37100">
              <w:rPr>
                <w:lang w:val="en-US"/>
              </w:rPr>
              <w:t>number</w:t>
            </w:r>
          </w:p>
        </w:tc>
        <w:tc>
          <w:tcPr>
            <w:tcW w:w="0" w:type="auto"/>
          </w:tcPr>
          <w:p w14:paraId="7379EF2E" w14:textId="77777777" w:rsidR="003932D1" w:rsidRDefault="003932D1" w:rsidP="00C03B81">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Amax</w:t>
            </w:r>
          </w:p>
          <w:p w14:paraId="47781011" w14:textId="27D9A7A8" w:rsidR="006D6A40" w:rsidRDefault="006D6A40" w:rsidP="00C03B81">
            <w:pPr>
              <w:jc w:val="center"/>
              <w:cnfStyle w:val="100000000000" w:firstRow="1" w:lastRow="0" w:firstColumn="0" w:lastColumn="0" w:oddVBand="0" w:evenVBand="0" w:oddHBand="0" w:evenHBand="0" w:firstRowFirstColumn="0" w:firstRowLastColumn="0" w:lastRowFirstColumn="0" w:lastRowLastColumn="0"/>
            </w:pPr>
            <w:r w:rsidRPr="56B37100">
              <w:rPr>
                <w:lang w:val="en-US"/>
              </w:rPr>
              <w:t>[nm]</w:t>
            </w:r>
          </w:p>
        </w:tc>
        <w:tc>
          <w:tcPr>
            <w:tcW w:w="0" w:type="auto"/>
          </w:tcPr>
          <w:p w14:paraId="640D40A7" w14:textId="77777777" w:rsidR="006D6A40" w:rsidRDefault="006D6A40" w:rsidP="00C03B81">
            <w:pPr>
              <w:jc w:val="center"/>
              <w:cnfStyle w:val="100000000000" w:firstRow="1" w:lastRow="0" w:firstColumn="0" w:lastColumn="0" w:oddVBand="0" w:evenVBand="0" w:oddHBand="0" w:evenHBand="0" w:firstRowFirstColumn="0" w:firstRowLastColumn="0" w:lastRowFirstColumn="0" w:lastRowLastColumn="0"/>
            </w:pPr>
            <w:r w:rsidRPr="56B37100">
              <w:rPr>
                <w:lang w:val="en-US"/>
              </w:rPr>
              <w:t xml:space="preserve">ε abs </w:t>
            </w:r>
          </w:p>
          <w:p w14:paraId="6B764239" w14:textId="77777777" w:rsidR="006D6A40" w:rsidRDefault="006D6A40" w:rsidP="00C03B81">
            <w:pPr>
              <w:jc w:val="center"/>
              <w:cnfStyle w:val="100000000000" w:firstRow="1" w:lastRow="0" w:firstColumn="0" w:lastColumn="0" w:oddVBand="0" w:evenVBand="0" w:oddHBand="0" w:evenHBand="0" w:firstRowFirstColumn="0" w:firstRowLastColumn="0" w:lastRowFirstColumn="0" w:lastRowLastColumn="0"/>
            </w:pPr>
            <w:r w:rsidRPr="56B37100">
              <w:rPr>
                <w:lang w:val="en-US"/>
              </w:rPr>
              <w:t>[cm-1*M-1]</w:t>
            </w:r>
          </w:p>
        </w:tc>
      </w:tr>
      <w:tr w:rsidR="006D6A40" w14:paraId="77B52140" w14:textId="77777777" w:rsidTr="003932D1">
        <w:tc>
          <w:tcPr>
            <w:cnfStyle w:val="001000000000" w:firstRow="0" w:lastRow="0" w:firstColumn="1" w:lastColumn="0" w:oddVBand="0" w:evenVBand="0" w:oddHBand="0" w:evenHBand="0" w:firstRowFirstColumn="0" w:firstRowLastColumn="0" w:lastRowFirstColumn="0" w:lastRowLastColumn="0"/>
            <w:tcW w:w="0" w:type="auto"/>
          </w:tcPr>
          <w:p w14:paraId="0E582FBF" w14:textId="77777777" w:rsidR="006D6A40" w:rsidRDefault="006D6A40" w:rsidP="00C03B81">
            <w:r w:rsidRPr="2D8784F8">
              <w:rPr>
                <w:lang w:val="en-US"/>
              </w:rPr>
              <w:t>1</w:t>
            </w:r>
          </w:p>
        </w:tc>
        <w:tc>
          <w:tcPr>
            <w:tcW w:w="0" w:type="auto"/>
          </w:tcPr>
          <w:p w14:paraId="682C6962" w14:textId="77777777" w:rsidR="006D6A40" w:rsidRDefault="006D6A40" w:rsidP="00C03B81">
            <w:pPr>
              <w:cnfStyle w:val="000000000000" w:firstRow="0" w:lastRow="0" w:firstColumn="0" w:lastColumn="0" w:oddVBand="0" w:evenVBand="0" w:oddHBand="0" w:evenHBand="0" w:firstRowFirstColumn="0" w:firstRowLastColumn="0" w:lastRowFirstColumn="0" w:lastRowLastColumn="0"/>
            </w:pPr>
            <w:r w:rsidRPr="2D8784F8">
              <w:rPr>
                <w:lang w:val="en-US"/>
              </w:rPr>
              <w:t>287</w:t>
            </w:r>
          </w:p>
        </w:tc>
        <w:tc>
          <w:tcPr>
            <w:tcW w:w="0" w:type="auto"/>
          </w:tcPr>
          <w:p w14:paraId="0AD3BAE2" w14:textId="77777777" w:rsidR="006D6A40" w:rsidRDefault="006D6A40" w:rsidP="00C03B81">
            <w:pPr>
              <w:cnfStyle w:val="000000000000" w:firstRow="0" w:lastRow="0" w:firstColumn="0" w:lastColumn="0" w:oddVBand="0" w:evenVBand="0" w:oddHBand="0" w:evenHBand="0" w:firstRowFirstColumn="0" w:firstRowLastColumn="0" w:lastRowFirstColumn="0" w:lastRowLastColumn="0"/>
            </w:pPr>
            <w:r w:rsidRPr="2D8784F8">
              <w:rPr>
                <w:lang w:val="en-US"/>
              </w:rPr>
              <w:t>5 800</w:t>
            </w:r>
          </w:p>
        </w:tc>
      </w:tr>
      <w:tr w:rsidR="006D6A40" w14:paraId="79D61BD8" w14:textId="77777777" w:rsidTr="003932D1">
        <w:tc>
          <w:tcPr>
            <w:cnfStyle w:val="001000000000" w:firstRow="0" w:lastRow="0" w:firstColumn="1" w:lastColumn="0" w:oddVBand="0" w:evenVBand="0" w:oddHBand="0" w:evenHBand="0" w:firstRowFirstColumn="0" w:firstRowLastColumn="0" w:lastRowFirstColumn="0" w:lastRowLastColumn="0"/>
            <w:tcW w:w="0" w:type="auto"/>
          </w:tcPr>
          <w:p w14:paraId="7AC99A71" w14:textId="77777777" w:rsidR="006D6A40" w:rsidRDefault="006D6A40" w:rsidP="00C03B81">
            <w:r w:rsidRPr="2D8784F8">
              <w:rPr>
                <w:lang w:val="en-US"/>
              </w:rPr>
              <w:t>2</w:t>
            </w:r>
          </w:p>
        </w:tc>
        <w:tc>
          <w:tcPr>
            <w:tcW w:w="0" w:type="auto"/>
          </w:tcPr>
          <w:p w14:paraId="2336ED8B" w14:textId="77777777" w:rsidR="006D6A40" w:rsidRDefault="006D6A40" w:rsidP="00C03B81">
            <w:pPr>
              <w:cnfStyle w:val="000000000000" w:firstRow="0" w:lastRow="0" w:firstColumn="0" w:lastColumn="0" w:oddVBand="0" w:evenVBand="0" w:oddHBand="0" w:evenHBand="0" w:firstRowFirstColumn="0" w:firstRowLastColumn="0" w:lastRowFirstColumn="0" w:lastRowLastColumn="0"/>
            </w:pPr>
            <w:r w:rsidRPr="2D8784F8">
              <w:rPr>
                <w:lang w:val="en-US"/>
              </w:rPr>
              <w:t>293</w:t>
            </w:r>
          </w:p>
        </w:tc>
        <w:tc>
          <w:tcPr>
            <w:tcW w:w="0" w:type="auto"/>
          </w:tcPr>
          <w:p w14:paraId="0D43B727" w14:textId="77777777" w:rsidR="006D6A40" w:rsidRDefault="006D6A40" w:rsidP="00C03B81">
            <w:pPr>
              <w:cnfStyle w:val="000000000000" w:firstRow="0" w:lastRow="0" w:firstColumn="0" w:lastColumn="0" w:oddVBand="0" w:evenVBand="0" w:oddHBand="0" w:evenHBand="0" w:firstRowFirstColumn="0" w:firstRowLastColumn="0" w:lastRowFirstColumn="0" w:lastRowLastColumn="0"/>
            </w:pPr>
            <w:r w:rsidRPr="2D8784F8">
              <w:rPr>
                <w:lang w:val="en-US"/>
              </w:rPr>
              <w:t>6 200</w:t>
            </w:r>
          </w:p>
        </w:tc>
      </w:tr>
      <w:tr w:rsidR="006D6A40" w14:paraId="15F09DB9" w14:textId="77777777" w:rsidTr="003932D1">
        <w:tc>
          <w:tcPr>
            <w:cnfStyle w:val="001000000000" w:firstRow="0" w:lastRow="0" w:firstColumn="1" w:lastColumn="0" w:oddVBand="0" w:evenVBand="0" w:oddHBand="0" w:evenHBand="0" w:firstRowFirstColumn="0" w:firstRowLastColumn="0" w:lastRowFirstColumn="0" w:lastRowLastColumn="0"/>
            <w:tcW w:w="0" w:type="auto"/>
          </w:tcPr>
          <w:p w14:paraId="25F73504" w14:textId="77777777" w:rsidR="006D6A40" w:rsidRDefault="006D6A40" w:rsidP="00C03B81">
            <w:r w:rsidRPr="2D8784F8">
              <w:rPr>
                <w:lang w:val="en-US"/>
              </w:rPr>
              <w:t>3</w:t>
            </w:r>
          </w:p>
        </w:tc>
        <w:tc>
          <w:tcPr>
            <w:tcW w:w="0" w:type="auto"/>
          </w:tcPr>
          <w:p w14:paraId="17B9A48F" w14:textId="77777777" w:rsidR="006D6A40" w:rsidRDefault="006D6A40" w:rsidP="00C03B81">
            <w:pPr>
              <w:cnfStyle w:val="000000000000" w:firstRow="0" w:lastRow="0" w:firstColumn="0" w:lastColumn="0" w:oddVBand="0" w:evenVBand="0" w:oddHBand="0" w:evenHBand="0" w:firstRowFirstColumn="0" w:firstRowLastColumn="0" w:lastRowFirstColumn="0" w:lastRowLastColumn="0"/>
            </w:pPr>
            <w:r w:rsidRPr="2D8784F8">
              <w:rPr>
                <w:lang w:val="en-US"/>
              </w:rPr>
              <w:t>293</w:t>
            </w:r>
          </w:p>
        </w:tc>
        <w:tc>
          <w:tcPr>
            <w:tcW w:w="0" w:type="auto"/>
          </w:tcPr>
          <w:p w14:paraId="47EACE14" w14:textId="77777777" w:rsidR="006D6A40" w:rsidRDefault="006D6A40" w:rsidP="00C03B81">
            <w:pPr>
              <w:cnfStyle w:val="000000000000" w:firstRow="0" w:lastRow="0" w:firstColumn="0" w:lastColumn="0" w:oddVBand="0" w:evenVBand="0" w:oddHBand="0" w:evenHBand="0" w:firstRowFirstColumn="0" w:firstRowLastColumn="0" w:lastRowFirstColumn="0" w:lastRowLastColumn="0"/>
            </w:pPr>
            <w:r w:rsidRPr="2D8784F8">
              <w:rPr>
                <w:lang w:val="en-US"/>
              </w:rPr>
              <w:t>5 700</w:t>
            </w:r>
          </w:p>
        </w:tc>
      </w:tr>
      <w:tr w:rsidR="006D6A40" w14:paraId="50D2EE0C" w14:textId="77777777" w:rsidTr="003932D1">
        <w:tc>
          <w:tcPr>
            <w:cnfStyle w:val="001000000000" w:firstRow="0" w:lastRow="0" w:firstColumn="1" w:lastColumn="0" w:oddVBand="0" w:evenVBand="0" w:oddHBand="0" w:evenHBand="0" w:firstRowFirstColumn="0" w:firstRowLastColumn="0" w:lastRowFirstColumn="0" w:lastRowLastColumn="0"/>
            <w:tcW w:w="0" w:type="auto"/>
          </w:tcPr>
          <w:p w14:paraId="4ADF8E7C" w14:textId="77777777" w:rsidR="006D6A40" w:rsidRDefault="006D6A40" w:rsidP="00C03B81">
            <w:r w:rsidRPr="2D8784F8">
              <w:rPr>
                <w:lang w:val="en-US"/>
              </w:rPr>
              <w:t>4</w:t>
            </w:r>
          </w:p>
        </w:tc>
        <w:tc>
          <w:tcPr>
            <w:tcW w:w="0" w:type="auto"/>
          </w:tcPr>
          <w:p w14:paraId="7D6A0170" w14:textId="77777777" w:rsidR="006D6A40" w:rsidRDefault="006D6A40" w:rsidP="00C03B81">
            <w:pPr>
              <w:cnfStyle w:val="000000000000" w:firstRow="0" w:lastRow="0" w:firstColumn="0" w:lastColumn="0" w:oddVBand="0" w:evenVBand="0" w:oddHBand="0" w:evenHBand="0" w:firstRowFirstColumn="0" w:firstRowLastColumn="0" w:lastRowFirstColumn="0" w:lastRowLastColumn="0"/>
            </w:pPr>
            <w:r w:rsidRPr="2D8784F8">
              <w:rPr>
                <w:lang w:val="en-US"/>
              </w:rPr>
              <w:t>294</w:t>
            </w:r>
          </w:p>
          <w:p w14:paraId="66C61015" w14:textId="77777777" w:rsidR="006D6A40" w:rsidRDefault="006D6A40" w:rsidP="00C03B81">
            <w:pPr>
              <w:cnfStyle w:val="000000000000" w:firstRow="0" w:lastRow="0" w:firstColumn="0" w:lastColumn="0" w:oddVBand="0" w:evenVBand="0" w:oddHBand="0" w:evenHBand="0" w:firstRowFirstColumn="0" w:firstRowLastColumn="0" w:lastRowFirstColumn="0" w:lastRowLastColumn="0"/>
            </w:pPr>
            <w:r w:rsidRPr="2D8784F8">
              <w:rPr>
                <w:lang w:val="en-US"/>
              </w:rPr>
              <w:t>333</w:t>
            </w:r>
          </w:p>
        </w:tc>
        <w:tc>
          <w:tcPr>
            <w:tcW w:w="0" w:type="auto"/>
          </w:tcPr>
          <w:p w14:paraId="5763F322" w14:textId="77777777" w:rsidR="006D6A40" w:rsidRDefault="006D6A40" w:rsidP="00C03B81">
            <w:pPr>
              <w:cnfStyle w:val="000000000000" w:firstRow="0" w:lastRow="0" w:firstColumn="0" w:lastColumn="0" w:oddVBand="0" w:evenVBand="0" w:oddHBand="0" w:evenHBand="0" w:firstRowFirstColumn="0" w:firstRowLastColumn="0" w:lastRowFirstColumn="0" w:lastRowLastColumn="0"/>
            </w:pPr>
            <w:r w:rsidRPr="2D8784F8">
              <w:rPr>
                <w:lang w:val="en-US"/>
              </w:rPr>
              <w:t>13 100</w:t>
            </w:r>
          </w:p>
          <w:p w14:paraId="307342B5" w14:textId="77777777" w:rsidR="006D6A40" w:rsidRDefault="006D6A40" w:rsidP="00C03B81">
            <w:pPr>
              <w:cnfStyle w:val="000000000000" w:firstRow="0" w:lastRow="0" w:firstColumn="0" w:lastColumn="0" w:oddVBand="0" w:evenVBand="0" w:oddHBand="0" w:evenHBand="0" w:firstRowFirstColumn="0" w:firstRowLastColumn="0" w:lastRowFirstColumn="0" w:lastRowLastColumn="0"/>
            </w:pPr>
            <w:r w:rsidRPr="2D8784F8">
              <w:rPr>
                <w:lang w:val="en-US"/>
              </w:rPr>
              <w:t>12 300</w:t>
            </w:r>
          </w:p>
        </w:tc>
      </w:tr>
      <w:tr w:rsidR="006D6A40" w14:paraId="1111147D" w14:textId="77777777" w:rsidTr="003932D1">
        <w:tc>
          <w:tcPr>
            <w:cnfStyle w:val="001000000000" w:firstRow="0" w:lastRow="0" w:firstColumn="1" w:lastColumn="0" w:oddVBand="0" w:evenVBand="0" w:oddHBand="0" w:evenHBand="0" w:firstRowFirstColumn="0" w:firstRowLastColumn="0" w:lastRowFirstColumn="0" w:lastRowLastColumn="0"/>
            <w:tcW w:w="0" w:type="auto"/>
          </w:tcPr>
          <w:p w14:paraId="47032976" w14:textId="77777777" w:rsidR="006D6A40" w:rsidRDefault="006D6A40" w:rsidP="00C03B81">
            <w:r w:rsidRPr="2D8784F8">
              <w:rPr>
                <w:lang w:val="en-US"/>
              </w:rPr>
              <w:t>5</w:t>
            </w:r>
          </w:p>
        </w:tc>
        <w:tc>
          <w:tcPr>
            <w:tcW w:w="0" w:type="auto"/>
          </w:tcPr>
          <w:p w14:paraId="5F5A6B4F" w14:textId="77777777" w:rsidR="006D6A40" w:rsidRDefault="006D6A40" w:rsidP="00C03B81">
            <w:pPr>
              <w:cnfStyle w:val="000000000000" w:firstRow="0" w:lastRow="0" w:firstColumn="0" w:lastColumn="0" w:oddVBand="0" w:evenVBand="0" w:oddHBand="0" w:evenHBand="0" w:firstRowFirstColumn="0" w:firstRowLastColumn="0" w:lastRowFirstColumn="0" w:lastRowLastColumn="0"/>
            </w:pPr>
            <w:r w:rsidRPr="2D8784F8">
              <w:rPr>
                <w:lang w:val="en-US"/>
              </w:rPr>
              <w:t>292</w:t>
            </w:r>
          </w:p>
        </w:tc>
        <w:tc>
          <w:tcPr>
            <w:tcW w:w="0" w:type="auto"/>
          </w:tcPr>
          <w:p w14:paraId="2AD38E91" w14:textId="77777777" w:rsidR="006D6A40" w:rsidRDefault="006D6A40" w:rsidP="00C03B81">
            <w:pPr>
              <w:cnfStyle w:val="000000000000" w:firstRow="0" w:lastRow="0" w:firstColumn="0" w:lastColumn="0" w:oddVBand="0" w:evenVBand="0" w:oddHBand="0" w:evenHBand="0" w:firstRowFirstColumn="0" w:firstRowLastColumn="0" w:lastRowFirstColumn="0" w:lastRowLastColumn="0"/>
            </w:pPr>
            <w:r w:rsidRPr="2D8784F8">
              <w:rPr>
                <w:lang w:val="en-US"/>
              </w:rPr>
              <w:t>17 900</w:t>
            </w:r>
          </w:p>
        </w:tc>
      </w:tr>
      <w:tr w:rsidR="006D6A40" w14:paraId="4D3BC9FA" w14:textId="77777777" w:rsidTr="003932D1">
        <w:tc>
          <w:tcPr>
            <w:cnfStyle w:val="001000000000" w:firstRow="0" w:lastRow="0" w:firstColumn="1" w:lastColumn="0" w:oddVBand="0" w:evenVBand="0" w:oddHBand="0" w:evenHBand="0" w:firstRowFirstColumn="0" w:firstRowLastColumn="0" w:lastRowFirstColumn="0" w:lastRowLastColumn="0"/>
            <w:tcW w:w="0" w:type="auto"/>
          </w:tcPr>
          <w:p w14:paraId="574BC1A5" w14:textId="77777777" w:rsidR="006D6A40" w:rsidRDefault="006D6A40" w:rsidP="00C03B81">
            <w:r w:rsidRPr="2D8784F8">
              <w:rPr>
                <w:lang w:val="en-US"/>
              </w:rPr>
              <w:t>6</w:t>
            </w:r>
          </w:p>
        </w:tc>
        <w:tc>
          <w:tcPr>
            <w:tcW w:w="0" w:type="auto"/>
          </w:tcPr>
          <w:p w14:paraId="1050C6AA" w14:textId="77777777" w:rsidR="006D6A40" w:rsidRDefault="006D6A40" w:rsidP="00C03B81">
            <w:pPr>
              <w:cnfStyle w:val="000000000000" w:firstRow="0" w:lastRow="0" w:firstColumn="0" w:lastColumn="0" w:oddVBand="0" w:evenVBand="0" w:oddHBand="0" w:evenHBand="0" w:firstRowFirstColumn="0" w:firstRowLastColumn="0" w:lastRowFirstColumn="0" w:lastRowLastColumn="0"/>
            </w:pPr>
            <w:r w:rsidRPr="2D8784F8">
              <w:rPr>
                <w:lang w:val="en-US"/>
              </w:rPr>
              <w:t>340</w:t>
            </w:r>
          </w:p>
        </w:tc>
        <w:tc>
          <w:tcPr>
            <w:tcW w:w="0" w:type="auto"/>
          </w:tcPr>
          <w:p w14:paraId="05E21492" w14:textId="77777777" w:rsidR="006D6A40" w:rsidRDefault="006D6A40" w:rsidP="00C03B81">
            <w:pPr>
              <w:cnfStyle w:val="000000000000" w:firstRow="0" w:lastRow="0" w:firstColumn="0" w:lastColumn="0" w:oddVBand="0" w:evenVBand="0" w:oddHBand="0" w:evenHBand="0" w:firstRowFirstColumn="0" w:firstRowLastColumn="0" w:lastRowFirstColumn="0" w:lastRowLastColumn="0"/>
            </w:pPr>
            <w:r w:rsidRPr="2D8784F8">
              <w:rPr>
                <w:lang w:val="en-US"/>
              </w:rPr>
              <w:t>7 200</w:t>
            </w:r>
          </w:p>
        </w:tc>
      </w:tr>
      <w:tr w:rsidR="006D6A40" w14:paraId="6EE9F8E0" w14:textId="77777777" w:rsidTr="003932D1">
        <w:tc>
          <w:tcPr>
            <w:cnfStyle w:val="001000000000" w:firstRow="0" w:lastRow="0" w:firstColumn="1" w:lastColumn="0" w:oddVBand="0" w:evenVBand="0" w:oddHBand="0" w:evenHBand="0" w:firstRowFirstColumn="0" w:firstRowLastColumn="0" w:lastRowFirstColumn="0" w:lastRowLastColumn="0"/>
            <w:tcW w:w="0" w:type="auto"/>
          </w:tcPr>
          <w:p w14:paraId="09C06AB8" w14:textId="77777777" w:rsidR="006D6A40" w:rsidRDefault="006D6A40" w:rsidP="00C03B81">
            <w:r w:rsidRPr="2D8784F8">
              <w:rPr>
                <w:lang w:val="en-US"/>
              </w:rPr>
              <w:t>7</w:t>
            </w:r>
          </w:p>
        </w:tc>
        <w:tc>
          <w:tcPr>
            <w:tcW w:w="0" w:type="auto"/>
          </w:tcPr>
          <w:p w14:paraId="35CAC1BA" w14:textId="77777777" w:rsidR="006D6A40" w:rsidRDefault="006D6A40" w:rsidP="00C03B81">
            <w:pPr>
              <w:cnfStyle w:val="000000000000" w:firstRow="0" w:lastRow="0" w:firstColumn="0" w:lastColumn="0" w:oddVBand="0" w:evenVBand="0" w:oddHBand="0" w:evenHBand="0" w:firstRowFirstColumn="0" w:firstRowLastColumn="0" w:lastRowFirstColumn="0" w:lastRowLastColumn="0"/>
            </w:pPr>
            <w:r w:rsidRPr="2D8784F8">
              <w:rPr>
                <w:lang w:val="en-US"/>
              </w:rPr>
              <w:t>349</w:t>
            </w:r>
          </w:p>
        </w:tc>
        <w:tc>
          <w:tcPr>
            <w:tcW w:w="0" w:type="auto"/>
          </w:tcPr>
          <w:p w14:paraId="3E76CED8" w14:textId="77777777" w:rsidR="006D6A40" w:rsidRDefault="006D6A40" w:rsidP="00C03B81">
            <w:pPr>
              <w:cnfStyle w:val="000000000000" w:firstRow="0" w:lastRow="0" w:firstColumn="0" w:lastColumn="0" w:oddVBand="0" w:evenVBand="0" w:oddHBand="0" w:evenHBand="0" w:firstRowFirstColumn="0" w:firstRowLastColumn="0" w:lastRowFirstColumn="0" w:lastRowLastColumn="0"/>
            </w:pPr>
            <w:r w:rsidRPr="2D8784F8">
              <w:rPr>
                <w:lang w:val="en-US"/>
              </w:rPr>
              <w:t>14 900</w:t>
            </w:r>
          </w:p>
        </w:tc>
      </w:tr>
      <w:tr w:rsidR="006D6A40" w14:paraId="4ADB2AA9" w14:textId="77777777" w:rsidTr="003932D1">
        <w:tc>
          <w:tcPr>
            <w:cnfStyle w:val="001000000000" w:firstRow="0" w:lastRow="0" w:firstColumn="1" w:lastColumn="0" w:oddVBand="0" w:evenVBand="0" w:oddHBand="0" w:evenHBand="0" w:firstRowFirstColumn="0" w:firstRowLastColumn="0" w:lastRowFirstColumn="0" w:lastRowLastColumn="0"/>
            <w:tcW w:w="0" w:type="auto"/>
          </w:tcPr>
          <w:p w14:paraId="20FDA35C" w14:textId="77777777" w:rsidR="006D6A40" w:rsidRDefault="006D6A40" w:rsidP="00C03B81">
            <w:r w:rsidRPr="2D8784F8">
              <w:rPr>
                <w:lang w:val="en-US"/>
              </w:rPr>
              <w:t>8</w:t>
            </w:r>
          </w:p>
        </w:tc>
        <w:tc>
          <w:tcPr>
            <w:tcW w:w="0" w:type="auto"/>
          </w:tcPr>
          <w:p w14:paraId="3D70CF2C" w14:textId="77777777" w:rsidR="006D6A40" w:rsidRDefault="006D6A40" w:rsidP="00C03B81">
            <w:pPr>
              <w:cnfStyle w:val="000000000000" w:firstRow="0" w:lastRow="0" w:firstColumn="0" w:lastColumn="0" w:oddVBand="0" w:evenVBand="0" w:oddHBand="0" w:evenHBand="0" w:firstRowFirstColumn="0" w:firstRowLastColumn="0" w:lastRowFirstColumn="0" w:lastRowLastColumn="0"/>
            </w:pPr>
            <w:r w:rsidRPr="2D8784F8">
              <w:rPr>
                <w:lang w:val="en-US"/>
              </w:rPr>
              <w:t>324</w:t>
            </w:r>
          </w:p>
        </w:tc>
        <w:tc>
          <w:tcPr>
            <w:tcW w:w="0" w:type="auto"/>
          </w:tcPr>
          <w:p w14:paraId="2BC8A127" w14:textId="77777777" w:rsidR="006D6A40" w:rsidRDefault="006D6A40" w:rsidP="00C03B81">
            <w:pPr>
              <w:cnfStyle w:val="000000000000" w:firstRow="0" w:lastRow="0" w:firstColumn="0" w:lastColumn="0" w:oddVBand="0" w:evenVBand="0" w:oddHBand="0" w:evenHBand="0" w:firstRowFirstColumn="0" w:firstRowLastColumn="0" w:lastRowFirstColumn="0" w:lastRowLastColumn="0"/>
            </w:pPr>
            <w:r w:rsidRPr="2D8784F8">
              <w:rPr>
                <w:lang w:val="en-US"/>
              </w:rPr>
              <w:t>14 800</w:t>
            </w:r>
          </w:p>
        </w:tc>
      </w:tr>
      <w:tr w:rsidR="006D6A40" w14:paraId="7DFEB1ED" w14:textId="77777777" w:rsidTr="003932D1">
        <w:tc>
          <w:tcPr>
            <w:cnfStyle w:val="001000000000" w:firstRow="0" w:lastRow="0" w:firstColumn="1" w:lastColumn="0" w:oddVBand="0" w:evenVBand="0" w:oddHBand="0" w:evenHBand="0" w:firstRowFirstColumn="0" w:firstRowLastColumn="0" w:lastRowFirstColumn="0" w:lastRowLastColumn="0"/>
            <w:tcW w:w="0" w:type="auto"/>
          </w:tcPr>
          <w:p w14:paraId="550078E6" w14:textId="77777777" w:rsidR="006D6A40" w:rsidRDefault="006D6A40" w:rsidP="00C03B81">
            <w:r w:rsidRPr="2D8784F8">
              <w:rPr>
                <w:lang w:val="en-US"/>
              </w:rPr>
              <w:t>9</w:t>
            </w:r>
          </w:p>
        </w:tc>
        <w:tc>
          <w:tcPr>
            <w:tcW w:w="0" w:type="auto"/>
          </w:tcPr>
          <w:p w14:paraId="0E2AF1CA" w14:textId="77777777" w:rsidR="006D6A40" w:rsidRDefault="006D6A40" w:rsidP="00C03B81">
            <w:pPr>
              <w:cnfStyle w:val="000000000000" w:firstRow="0" w:lastRow="0" w:firstColumn="0" w:lastColumn="0" w:oddVBand="0" w:evenVBand="0" w:oddHBand="0" w:evenHBand="0" w:firstRowFirstColumn="0" w:firstRowLastColumn="0" w:lastRowFirstColumn="0" w:lastRowLastColumn="0"/>
            </w:pPr>
            <w:r w:rsidRPr="2D8784F8">
              <w:rPr>
                <w:lang w:val="en-US"/>
              </w:rPr>
              <w:t>340</w:t>
            </w:r>
          </w:p>
        </w:tc>
        <w:tc>
          <w:tcPr>
            <w:tcW w:w="0" w:type="auto"/>
          </w:tcPr>
          <w:p w14:paraId="208A8AE2" w14:textId="77777777" w:rsidR="006D6A40" w:rsidRDefault="006D6A40" w:rsidP="00C03B81">
            <w:pPr>
              <w:cnfStyle w:val="000000000000" w:firstRow="0" w:lastRow="0" w:firstColumn="0" w:lastColumn="0" w:oddVBand="0" w:evenVBand="0" w:oddHBand="0" w:evenHBand="0" w:firstRowFirstColumn="0" w:firstRowLastColumn="0" w:lastRowFirstColumn="0" w:lastRowLastColumn="0"/>
            </w:pPr>
            <w:r w:rsidRPr="2D8784F8">
              <w:rPr>
                <w:lang w:val="en-US"/>
              </w:rPr>
              <w:t>17 400</w:t>
            </w:r>
          </w:p>
        </w:tc>
      </w:tr>
      <w:tr w:rsidR="006D6A40" w14:paraId="0232F46A" w14:textId="77777777" w:rsidTr="003932D1">
        <w:tc>
          <w:tcPr>
            <w:cnfStyle w:val="001000000000" w:firstRow="0" w:lastRow="0" w:firstColumn="1" w:lastColumn="0" w:oddVBand="0" w:evenVBand="0" w:oddHBand="0" w:evenHBand="0" w:firstRowFirstColumn="0" w:firstRowLastColumn="0" w:lastRowFirstColumn="0" w:lastRowLastColumn="0"/>
            <w:tcW w:w="0" w:type="auto"/>
          </w:tcPr>
          <w:p w14:paraId="2EFCC949" w14:textId="77777777" w:rsidR="006D6A40" w:rsidRDefault="006D6A40" w:rsidP="00C03B81">
            <w:r w:rsidRPr="2D8784F8">
              <w:rPr>
                <w:lang w:val="en-US"/>
              </w:rPr>
              <w:t>10</w:t>
            </w:r>
          </w:p>
        </w:tc>
        <w:tc>
          <w:tcPr>
            <w:tcW w:w="0" w:type="auto"/>
          </w:tcPr>
          <w:p w14:paraId="32C2B67C" w14:textId="77777777" w:rsidR="006D6A40" w:rsidRDefault="006D6A40" w:rsidP="00C03B81">
            <w:pPr>
              <w:cnfStyle w:val="000000000000" w:firstRow="0" w:lastRow="0" w:firstColumn="0" w:lastColumn="0" w:oddVBand="0" w:evenVBand="0" w:oddHBand="0" w:evenHBand="0" w:firstRowFirstColumn="0" w:firstRowLastColumn="0" w:lastRowFirstColumn="0" w:lastRowLastColumn="0"/>
            </w:pPr>
            <w:r w:rsidRPr="2D8784F8">
              <w:rPr>
                <w:lang w:val="en-US"/>
              </w:rPr>
              <w:t>349</w:t>
            </w:r>
          </w:p>
        </w:tc>
        <w:tc>
          <w:tcPr>
            <w:tcW w:w="0" w:type="auto"/>
          </w:tcPr>
          <w:p w14:paraId="72DF7907" w14:textId="77777777" w:rsidR="006D6A40" w:rsidRDefault="006D6A40" w:rsidP="00C03B81">
            <w:pPr>
              <w:cnfStyle w:val="000000000000" w:firstRow="0" w:lastRow="0" w:firstColumn="0" w:lastColumn="0" w:oddVBand="0" w:evenVBand="0" w:oddHBand="0" w:evenHBand="0" w:firstRowFirstColumn="0" w:firstRowLastColumn="0" w:lastRowFirstColumn="0" w:lastRowLastColumn="0"/>
            </w:pPr>
            <w:r w:rsidRPr="2D8784F8">
              <w:rPr>
                <w:lang w:val="en-US"/>
              </w:rPr>
              <w:t>10 400</w:t>
            </w:r>
          </w:p>
        </w:tc>
      </w:tr>
      <w:tr w:rsidR="006D6A40" w14:paraId="5BF87D52" w14:textId="77777777" w:rsidTr="003932D1">
        <w:tc>
          <w:tcPr>
            <w:cnfStyle w:val="001000000000" w:firstRow="0" w:lastRow="0" w:firstColumn="1" w:lastColumn="0" w:oddVBand="0" w:evenVBand="0" w:oddHBand="0" w:evenHBand="0" w:firstRowFirstColumn="0" w:firstRowLastColumn="0" w:lastRowFirstColumn="0" w:lastRowLastColumn="0"/>
            <w:tcW w:w="0" w:type="auto"/>
          </w:tcPr>
          <w:p w14:paraId="77D72527" w14:textId="77777777" w:rsidR="006D6A40" w:rsidRDefault="006D6A40" w:rsidP="00C03B81">
            <w:r w:rsidRPr="2D8784F8">
              <w:rPr>
                <w:lang w:val="en-US"/>
              </w:rPr>
              <w:t>12</w:t>
            </w:r>
          </w:p>
        </w:tc>
        <w:tc>
          <w:tcPr>
            <w:tcW w:w="0" w:type="auto"/>
          </w:tcPr>
          <w:p w14:paraId="13B92E2D" w14:textId="77777777" w:rsidR="006D6A40" w:rsidRDefault="006D6A40" w:rsidP="00C03B81">
            <w:pPr>
              <w:cnfStyle w:val="000000000000" w:firstRow="0" w:lastRow="0" w:firstColumn="0" w:lastColumn="0" w:oddVBand="0" w:evenVBand="0" w:oddHBand="0" w:evenHBand="0" w:firstRowFirstColumn="0" w:firstRowLastColumn="0" w:lastRowFirstColumn="0" w:lastRowLastColumn="0"/>
            </w:pPr>
            <w:r w:rsidRPr="2D8784F8">
              <w:rPr>
                <w:lang w:val="en-US"/>
              </w:rPr>
              <w:t>346</w:t>
            </w:r>
          </w:p>
        </w:tc>
        <w:tc>
          <w:tcPr>
            <w:tcW w:w="0" w:type="auto"/>
          </w:tcPr>
          <w:p w14:paraId="422D3935" w14:textId="77777777" w:rsidR="006D6A40" w:rsidRDefault="006D6A40" w:rsidP="00C03B81">
            <w:pPr>
              <w:cnfStyle w:val="000000000000" w:firstRow="0" w:lastRow="0" w:firstColumn="0" w:lastColumn="0" w:oddVBand="0" w:evenVBand="0" w:oddHBand="0" w:evenHBand="0" w:firstRowFirstColumn="0" w:firstRowLastColumn="0" w:lastRowFirstColumn="0" w:lastRowLastColumn="0"/>
            </w:pPr>
            <w:r w:rsidRPr="2D8784F8">
              <w:rPr>
                <w:lang w:val="en-US"/>
              </w:rPr>
              <w:t>19 300</w:t>
            </w:r>
          </w:p>
        </w:tc>
      </w:tr>
    </w:tbl>
    <w:p w14:paraId="66EC8F2C" w14:textId="77777777" w:rsidR="006D6A40" w:rsidRDefault="006D6A40" w:rsidP="006D6A40">
      <w:r w:rsidRPr="64953284">
        <w:rPr>
          <w:rFonts w:eastAsia="Times New Roman" w:cs="Times New Roman"/>
          <w:lang w:val="en-US"/>
        </w:rPr>
        <w:t xml:space="preserve"> </w:t>
      </w:r>
    </w:p>
    <w:p w14:paraId="5CFA70C2" w14:textId="7C22ECFF" w:rsidR="006D6A40" w:rsidRDefault="006D6A40">
      <w:pPr>
        <w:spacing w:line="259" w:lineRule="auto"/>
        <w:jc w:val="left"/>
        <w:rPr>
          <w:b/>
          <w:lang w:val="en-US"/>
        </w:rPr>
      </w:pPr>
      <w:r>
        <w:rPr>
          <w:b/>
          <w:lang w:val="en-US"/>
        </w:rPr>
        <w:br w:type="page"/>
      </w:r>
    </w:p>
    <w:p w14:paraId="314E6A2E" w14:textId="54E3A245" w:rsidR="002F27EC" w:rsidRDefault="002F27EC" w:rsidP="002F27EC">
      <w:pPr>
        <w:rPr>
          <w:lang w:val="en-US"/>
        </w:rPr>
      </w:pPr>
      <w:r w:rsidRPr="007C7F81">
        <w:rPr>
          <w:b/>
          <w:lang w:val="en-US"/>
        </w:rPr>
        <w:lastRenderedPageBreak/>
        <w:t>Supplementary Figure 1.</w:t>
      </w:r>
      <w:r w:rsidRPr="007C7F81">
        <w:rPr>
          <w:lang w:val="en-US"/>
        </w:rPr>
        <w:t xml:space="preserve"> Multiple sequence alignment of the CYP forms. The catalytic sites of the CYP1 family are </w:t>
      </w:r>
      <w:proofErr w:type="gramStart"/>
      <w:r w:rsidRPr="007C7F81">
        <w:rPr>
          <w:lang w:val="en-US"/>
        </w:rPr>
        <w:t>very</w:t>
      </w:r>
      <w:proofErr w:type="gramEnd"/>
      <w:r w:rsidRPr="007C7F81">
        <w:rPr>
          <w:lang w:val="en-US"/>
        </w:rPr>
        <w:t xml:space="preserve"> conserved (light pink) and have similar amino acids at the positions suggested to be involved in 3-phenylcoumarin binding (pink). </w:t>
      </w:r>
      <w:r w:rsidRPr="00D41C15">
        <w:rPr>
          <w:strike/>
          <w:lang w:val="en-US"/>
        </w:rPr>
        <w:t>CYP2A6 has a unique asparagine (teal) among the CYP2 family</w:t>
      </w:r>
      <w:r w:rsidRPr="00D41C15">
        <w:rPr>
          <w:rFonts w:eastAsia="Times New Roman" w:cs="Times New Roman"/>
          <w:strike/>
          <w:lang w:val="en-US"/>
        </w:rPr>
        <w:t xml:space="preserve"> </w:t>
      </w:r>
      <w:r w:rsidRPr="00D41C15">
        <w:rPr>
          <w:strike/>
          <w:lang w:val="en-US"/>
        </w:rPr>
        <w:t>in addition to a well-positioned phenylalanine (teal) for possible π</w:t>
      </w:r>
      <w:r w:rsidRPr="00D41C15">
        <w:rPr>
          <w:rFonts w:eastAsia="Times New Roman" w:cs="Times New Roman"/>
          <w:strike/>
          <w:lang w:val="en-US"/>
        </w:rPr>
        <w:softHyphen/>
      </w:r>
      <w:r w:rsidRPr="00D41C15">
        <w:rPr>
          <w:strike/>
          <w:lang w:val="en-US"/>
        </w:rPr>
        <w:noBreakHyphen/>
        <w:t xml:space="preserve"> π interactions alongside other hydrophobic amino acids (light blue) in the catalytic site.</w:t>
      </w:r>
      <w:r w:rsidRPr="007C7F81">
        <w:rPr>
          <w:lang w:val="en-US"/>
        </w:rPr>
        <w:t xml:space="preserve"> </w:t>
      </w:r>
      <w:r w:rsidR="00D41C15" w:rsidRPr="004D34FF">
        <w:rPr>
          <w:highlight w:val="yellow"/>
          <w:lang w:val="en-US"/>
        </w:rPr>
        <w:t>The catalytic site amino acids (light blue) and the suggested key residues in 3-phenylcoumarin binding (teal) differ among CYP2A6, CYP2D6 and CYP2C19.</w:t>
      </w:r>
      <w:r w:rsidR="00D41C15">
        <w:rPr>
          <w:lang w:val="en-US"/>
        </w:rPr>
        <w:t xml:space="preserve"> </w:t>
      </w:r>
      <w:r w:rsidRPr="007C7F81">
        <w:rPr>
          <w:lang w:val="en-US"/>
        </w:rPr>
        <w:t>The amino acids present in either CYP3A4 or CYP3A5 binding sites (yellow) are conserved among the CYP3 forms.</w:t>
      </w:r>
      <w:r w:rsidRPr="007C7F81">
        <w:rPr>
          <w:rFonts w:eastAsia="Times New Roman" w:cs="Times New Roman"/>
          <w:lang w:val="en-US"/>
        </w:rPr>
        <w:t xml:space="preserve"> </w:t>
      </w:r>
      <w:r w:rsidRPr="007C7F81">
        <w:rPr>
          <w:lang w:val="en-US"/>
        </w:rPr>
        <w:t>The conserved threonine in the helix I</w:t>
      </w:r>
      <w:r>
        <w:rPr>
          <w:lang w:val="en-US"/>
        </w:rPr>
        <w:t xml:space="preserve"> (black) </w:t>
      </w:r>
      <w:r w:rsidRPr="007C7F81">
        <w:rPr>
          <w:lang w:val="en-US"/>
        </w:rPr>
        <w:t>and the heme-binding amino acids (grey) are aligned among all sequences. The alignment was built on top of</w:t>
      </w:r>
      <w:r w:rsidRPr="007C7F81">
        <w:rPr>
          <w:rFonts w:eastAsia="Times New Roman" w:cs="Times New Roman"/>
          <w:lang w:val="en-US"/>
        </w:rPr>
        <w:t xml:space="preserve"> </w:t>
      </w:r>
      <w:r w:rsidRPr="007C7F81">
        <w:rPr>
          <w:lang w:val="en-US"/>
        </w:rPr>
        <w:t xml:space="preserve">structure-based pre-alignments of CYP2A6 and CYP3A4 to CYP1A1 from </w:t>
      </w:r>
      <w:proofErr w:type="spellStart"/>
      <w:r w:rsidRPr="007C7F81">
        <w:rPr>
          <w:lang w:val="en-US"/>
        </w:rPr>
        <w:t>Vertaa</w:t>
      </w:r>
      <w:proofErr w:type="spellEnd"/>
      <w:r w:rsidRPr="007C7F81">
        <w:rPr>
          <w:rFonts w:eastAsia="Times New Roman" w:cs="Times New Roman"/>
          <w:lang w:val="en-US"/>
        </w:rPr>
        <w:t xml:space="preserve"> </w:t>
      </w:r>
      <w:r w:rsidRPr="007C7F81">
        <w:rPr>
          <w:lang w:val="en-US"/>
        </w:rPr>
        <w:t xml:space="preserve">in </w:t>
      </w:r>
      <w:proofErr w:type="spellStart"/>
      <w:r w:rsidRPr="007C7F81">
        <w:rPr>
          <w:lang w:val="en-US"/>
        </w:rPr>
        <w:t>Bodil</w:t>
      </w:r>
      <w:proofErr w:type="spellEnd"/>
      <w:r w:rsidRPr="007C7F81">
        <w:rPr>
          <w:rFonts w:eastAsia="Times New Roman" w:cs="Times New Roman"/>
          <w:lang w:val="en-US"/>
        </w:rPr>
        <w:t xml:space="preserve"> (</w:t>
      </w:r>
      <w:r w:rsidRPr="007C7F81">
        <w:rPr>
          <w:lang w:val="en-US"/>
        </w:rPr>
        <w:t>Lehtonen 2004), and was performed with Malign (Johnson 1993)</w:t>
      </w:r>
      <w:r w:rsidRPr="007C7F81">
        <w:rPr>
          <w:rFonts w:eastAsia="Times New Roman" w:cs="Times New Roman"/>
          <w:lang w:val="en-US"/>
        </w:rPr>
        <w:t xml:space="preserve"> </w:t>
      </w:r>
      <w:r w:rsidRPr="007C7F81">
        <w:rPr>
          <w:lang w:val="en-US"/>
        </w:rPr>
        <w:t xml:space="preserve">with structure-based </w:t>
      </w:r>
      <w:r>
        <w:rPr>
          <w:lang w:val="en-US"/>
        </w:rPr>
        <w:t>matrix (</w:t>
      </w:r>
      <w:r w:rsidRPr="007C7F81">
        <w:rPr>
          <w:lang w:val="en-US"/>
        </w:rPr>
        <w:t>STRMAT110)</w:t>
      </w:r>
      <w:r>
        <w:rPr>
          <w:lang w:val="en-US"/>
        </w:rPr>
        <w:t xml:space="preserve"> </w:t>
      </w:r>
      <w:r>
        <w:rPr>
          <w:lang w:val="en-US"/>
        </w:rPr>
        <w:fldChar w:fldCharType="begin" w:fldLock="1"/>
      </w:r>
      <w:r w:rsidR="003932D1">
        <w:rPr>
          <w:lang w:val="en-US"/>
        </w:rPr>
        <w:instrText>ADDIN CSL_CITATION {"citationItems":[{"id":"ITEM-1","itemData":{"DOI":"10.1006/jmbi.1993.1548","ISBN":"0022-2836 (Print)","ISSN":"00222836","PMID":"8411177","abstract":"A residue-exchange matrix has been derived that is suitable for comparison of amino acid sequences. This matrix is based on the tabulation of 207,795 amino acid replacements observed in 65 homologous sets of structurally aligned three-dimensional structures (235 proteins). The majority of the data is from structural comparisons where there is between 15 and 40% sequence identity. As a result, a scoring matrix such as the one devised here should provide a sensitive basis for the comparison of amino acid sequences and the search for homologous sequences in amino acid databases. In order to assess the value of this matrix we have made a comparative analysis with 12 other published scoring matrices that have been used for the alignment of protein amino acid sequences. We find that the matrix derived here is among the better performers in terms of alignment significance, detection of homologous sequences and the accuracy of alignments. © 1993 Academic Press Limited.","author":[{"dropping-particle":"","family":"Johnson","given":"Mark S.","non-dropping-particle":"","parse-names":false,"suffix":""},{"dropping-particle":"","family":"Overington","given":"John P.","non-dropping-particle":"","parse-names":false,"suffix":""}],"container-title":"Journal of Molecular Biology","id":"ITEM-1","issue":"4","issued":{"date-parts":[["1993"]]},"page":"716-738","title":"A structural basis for sequence comparisons: An evaluation of scoring methodologies","type":"article-journal","volume":"233"},"uris":["http://www.mendeley.com/documents/?uuid=bb758e42-4b10-4838-8b13-e00690d6bd2a"]}],"mendeley":{"formattedCitation":"(Johnson &amp; Overington 1993)","plainTextFormattedCitation":"(Johnson &amp; Overington 1993)","previouslyFormattedCitation":"&lt;sup&gt;19&lt;/sup&gt;"},"properties":{"noteIndex":0},"schema":"https://github.com/citation-style-language/schema/raw/master/csl-citation.json"}</w:instrText>
      </w:r>
      <w:r>
        <w:rPr>
          <w:lang w:val="en-US"/>
        </w:rPr>
        <w:fldChar w:fldCharType="separate"/>
      </w:r>
      <w:r w:rsidR="003932D1" w:rsidRPr="003932D1">
        <w:rPr>
          <w:noProof/>
          <w:lang w:val="en-US"/>
        </w:rPr>
        <w:t>(Johnson &amp; Overington 1993)</w:t>
      </w:r>
      <w:r>
        <w:rPr>
          <w:lang w:val="en-US"/>
        </w:rPr>
        <w:fldChar w:fldCharType="end"/>
      </w:r>
      <w:r w:rsidRPr="007C7F81">
        <w:rPr>
          <w:lang w:val="en-US"/>
        </w:rPr>
        <w:t xml:space="preserve"> and gap penalty of 30. The structure-based pre-alignments were left out of the figure for clarity. The used structures and sequences are listed in Supplementary Table 1. </w:t>
      </w:r>
    </w:p>
    <w:p w14:paraId="25C05428" w14:textId="42631CF8" w:rsidR="00487FB0" w:rsidRDefault="00487FB0" w:rsidP="002F27EC">
      <w:pPr>
        <w:rPr>
          <w:lang w:val="en-US"/>
        </w:rPr>
      </w:pPr>
      <w:r>
        <w:rPr>
          <w:noProof/>
          <w:lang w:eastAsia="fi-FI"/>
        </w:rPr>
        <w:lastRenderedPageBreak/>
        <w:drawing>
          <wp:inline distT="0" distB="0" distL="0" distR="0" wp14:anchorId="30407B2F" wp14:editId="5C0C057A">
            <wp:extent cx="5731510" cy="76498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i_300dpi_166mm_300dpi_166mm_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7649845"/>
                    </a:xfrm>
                    <a:prstGeom prst="rect">
                      <a:avLst/>
                    </a:prstGeom>
                  </pic:spPr>
                </pic:pic>
              </a:graphicData>
            </a:graphic>
          </wp:inline>
        </w:drawing>
      </w:r>
      <w:r>
        <w:rPr>
          <w:noProof/>
          <w:lang w:eastAsia="fi-FI"/>
        </w:rPr>
        <w:lastRenderedPageBreak/>
        <w:drawing>
          <wp:inline distT="0" distB="0" distL="0" distR="0" wp14:anchorId="27FB9564" wp14:editId="42E164DA">
            <wp:extent cx="5731510" cy="76498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i_300dpi_166mm_300dpi_166mm_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7649845"/>
                    </a:xfrm>
                    <a:prstGeom prst="rect">
                      <a:avLst/>
                    </a:prstGeom>
                  </pic:spPr>
                </pic:pic>
              </a:graphicData>
            </a:graphic>
          </wp:inline>
        </w:drawing>
      </w:r>
      <w:r>
        <w:rPr>
          <w:noProof/>
          <w:lang w:eastAsia="fi-FI"/>
        </w:rPr>
        <w:lastRenderedPageBreak/>
        <w:drawing>
          <wp:inline distT="0" distB="0" distL="0" distR="0" wp14:anchorId="6F5B1D6C" wp14:editId="47C6610E">
            <wp:extent cx="5731510" cy="6083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i_300dpi_166mm_300dpi_166mm_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6083935"/>
                    </a:xfrm>
                    <a:prstGeom prst="rect">
                      <a:avLst/>
                    </a:prstGeom>
                  </pic:spPr>
                </pic:pic>
              </a:graphicData>
            </a:graphic>
          </wp:inline>
        </w:drawing>
      </w:r>
    </w:p>
    <w:p w14:paraId="2F2F54BE" w14:textId="11773887" w:rsidR="00507F36" w:rsidRDefault="00507F36">
      <w:pPr>
        <w:spacing w:line="259" w:lineRule="auto"/>
        <w:jc w:val="left"/>
        <w:rPr>
          <w:lang w:val="en-US"/>
        </w:rPr>
      </w:pPr>
      <w:r>
        <w:rPr>
          <w:lang w:val="en-US"/>
        </w:rPr>
        <w:br w:type="page"/>
      </w:r>
    </w:p>
    <w:p w14:paraId="55FC93D0" w14:textId="22B29ADE" w:rsidR="00507F36" w:rsidRDefault="00507F36" w:rsidP="003B60B8">
      <w:pPr>
        <w:outlineLvl w:val="0"/>
        <w:rPr>
          <w:rFonts w:eastAsia="Times New Roman" w:cs="Times New Roman"/>
          <w:b/>
          <w:lang w:val="en-US"/>
        </w:rPr>
      </w:pPr>
      <w:r w:rsidRPr="00C83A11">
        <w:rPr>
          <w:rFonts w:eastAsia="Times New Roman" w:cs="Times New Roman"/>
          <w:b/>
          <w:lang w:val="en-US"/>
        </w:rPr>
        <w:lastRenderedPageBreak/>
        <w:t>References</w:t>
      </w:r>
    </w:p>
    <w:p w14:paraId="5C134AF9" w14:textId="3AC8A36A" w:rsidR="003932D1" w:rsidRPr="003932D1" w:rsidRDefault="00C83A11" w:rsidP="003932D1">
      <w:pPr>
        <w:widowControl w:val="0"/>
        <w:autoSpaceDE w:val="0"/>
        <w:autoSpaceDN w:val="0"/>
        <w:adjustRightInd w:val="0"/>
        <w:ind w:left="480" w:hanging="480"/>
        <w:rPr>
          <w:rFonts w:cs="Times New Roman"/>
          <w:noProof/>
          <w:lang w:val="en-US"/>
        </w:rPr>
      </w:pPr>
      <w:r>
        <w:rPr>
          <w:rFonts w:eastAsia="Times New Roman" w:cs="Times New Roman"/>
          <w:b/>
          <w:lang w:val="en-US"/>
        </w:rPr>
        <w:fldChar w:fldCharType="begin" w:fldLock="1"/>
      </w:r>
      <w:r>
        <w:rPr>
          <w:rFonts w:eastAsia="Times New Roman" w:cs="Times New Roman"/>
          <w:b/>
          <w:lang w:val="en-US"/>
        </w:rPr>
        <w:instrText xml:space="preserve">ADDIN Mendeley Bibliography CSL_BIBLIOGRAPHY </w:instrText>
      </w:r>
      <w:r>
        <w:rPr>
          <w:rFonts w:eastAsia="Times New Roman" w:cs="Times New Roman"/>
          <w:b/>
          <w:lang w:val="en-US"/>
        </w:rPr>
        <w:fldChar w:fldCharType="separate"/>
      </w:r>
      <w:r w:rsidR="003932D1" w:rsidRPr="003932D1">
        <w:rPr>
          <w:rFonts w:cs="Times New Roman"/>
          <w:noProof/>
          <w:lang w:val="en-US"/>
        </w:rPr>
        <w:t xml:space="preserve">Brändén, G. et al., </w:t>
      </w:r>
      <w:r w:rsidR="00D56DEA">
        <w:rPr>
          <w:rFonts w:cs="Times New Roman"/>
          <w:noProof/>
          <w:lang w:val="en-US"/>
        </w:rPr>
        <w:t>(</w:t>
      </w:r>
      <w:r w:rsidR="003932D1" w:rsidRPr="003932D1">
        <w:rPr>
          <w:rFonts w:cs="Times New Roman"/>
          <w:noProof/>
          <w:lang w:val="en-US"/>
        </w:rPr>
        <w:t>2014</w:t>
      </w:r>
      <w:r w:rsidR="00D56DEA">
        <w:rPr>
          <w:rFonts w:cs="Times New Roman"/>
          <w:noProof/>
          <w:lang w:val="en-US"/>
        </w:rPr>
        <w:t>)</w:t>
      </w:r>
      <w:r w:rsidR="003932D1" w:rsidRPr="003932D1">
        <w:rPr>
          <w:rFonts w:cs="Times New Roman"/>
          <w:noProof/>
          <w:lang w:val="en-US"/>
        </w:rPr>
        <w:t xml:space="preserve">. Structure-based ligand design to overcome CYP inhibition in drug discovery projects. </w:t>
      </w:r>
      <w:r w:rsidR="003932D1" w:rsidRPr="003932D1">
        <w:rPr>
          <w:rFonts w:cs="Times New Roman"/>
          <w:i/>
          <w:iCs/>
          <w:noProof/>
          <w:lang w:val="en-US"/>
        </w:rPr>
        <w:t>Drug Discovery Today</w:t>
      </w:r>
      <w:r w:rsidR="00D56DEA">
        <w:rPr>
          <w:rFonts w:cs="Times New Roman"/>
          <w:noProof/>
          <w:lang w:val="en-US"/>
        </w:rPr>
        <w:t>, 19:</w:t>
      </w:r>
      <w:r w:rsidR="003932D1" w:rsidRPr="003932D1">
        <w:rPr>
          <w:rFonts w:cs="Times New Roman"/>
          <w:noProof/>
          <w:lang w:val="en-US"/>
        </w:rPr>
        <w:t xml:space="preserve"> 905–911.</w:t>
      </w:r>
    </w:p>
    <w:p w14:paraId="6B301F1A" w14:textId="32A7F75B" w:rsidR="003932D1" w:rsidRPr="003932D1" w:rsidRDefault="003932D1" w:rsidP="003932D1">
      <w:pPr>
        <w:widowControl w:val="0"/>
        <w:autoSpaceDE w:val="0"/>
        <w:autoSpaceDN w:val="0"/>
        <w:adjustRightInd w:val="0"/>
        <w:ind w:left="480" w:hanging="480"/>
        <w:rPr>
          <w:rFonts w:cs="Times New Roman"/>
          <w:noProof/>
          <w:lang w:val="en-US"/>
        </w:rPr>
      </w:pPr>
      <w:r w:rsidRPr="003932D1">
        <w:rPr>
          <w:rFonts w:cs="Times New Roman"/>
          <w:noProof/>
          <w:lang w:val="en-US"/>
        </w:rPr>
        <w:t xml:space="preserve">DeVore, N.M. et al., </w:t>
      </w:r>
      <w:r w:rsidR="00D56DEA">
        <w:rPr>
          <w:rFonts w:cs="Times New Roman"/>
          <w:noProof/>
          <w:lang w:val="en-US"/>
        </w:rPr>
        <w:t>(</w:t>
      </w:r>
      <w:r w:rsidRPr="003932D1">
        <w:rPr>
          <w:rFonts w:cs="Times New Roman"/>
          <w:noProof/>
          <w:lang w:val="en-US"/>
        </w:rPr>
        <w:t>2012</w:t>
      </w:r>
      <w:r w:rsidR="00D56DEA">
        <w:rPr>
          <w:rFonts w:cs="Times New Roman"/>
          <w:noProof/>
          <w:lang w:val="en-US"/>
        </w:rPr>
        <w:t>)</w:t>
      </w:r>
      <w:r w:rsidRPr="003932D1">
        <w:rPr>
          <w:rFonts w:cs="Times New Roman"/>
          <w:noProof/>
          <w:lang w:val="en-US"/>
        </w:rPr>
        <w:t xml:space="preserve">. Structural comparison of cytochromes P450 2A6, 2A13, and 2E1 with pilocarpine. </w:t>
      </w:r>
      <w:r w:rsidRPr="003932D1">
        <w:rPr>
          <w:rFonts w:cs="Times New Roman"/>
          <w:i/>
          <w:iCs/>
          <w:noProof/>
          <w:lang w:val="en-US"/>
        </w:rPr>
        <w:t>FEBS Journal</w:t>
      </w:r>
      <w:r w:rsidRPr="003932D1">
        <w:rPr>
          <w:rFonts w:cs="Times New Roman"/>
          <w:noProof/>
          <w:lang w:val="en-US"/>
        </w:rPr>
        <w:t>, 279</w:t>
      </w:r>
      <w:r w:rsidR="00D56DEA">
        <w:rPr>
          <w:rFonts w:cs="Times New Roman"/>
          <w:noProof/>
          <w:lang w:val="en-US"/>
        </w:rPr>
        <w:t xml:space="preserve">: </w:t>
      </w:r>
      <w:r w:rsidRPr="003932D1">
        <w:rPr>
          <w:rFonts w:cs="Times New Roman"/>
          <w:noProof/>
          <w:lang w:val="en-US"/>
        </w:rPr>
        <w:t>1621–1631.</w:t>
      </w:r>
    </w:p>
    <w:p w14:paraId="302610D2" w14:textId="7F1A1DE1" w:rsidR="003932D1" w:rsidRPr="003932D1" w:rsidRDefault="003932D1" w:rsidP="003932D1">
      <w:pPr>
        <w:widowControl w:val="0"/>
        <w:autoSpaceDE w:val="0"/>
        <w:autoSpaceDN w:val="0"/>
        <w:adjustRightInd w:val="0"/>
        <w:ind w:left="480" w:hanging="480"/>
        <w:rPr>
          <w:rFonts w:cs="Times New Roman"/>
          <w:noProof/>
          <w:lang w:val="en-US"/>
        </w:rPr>
      </w:pPr>
      <w:r w:rsidRPr="003932D1">
        <w:rPr>
          <w:rFonts w:cs="Times New Roman"/>
          <w:noProof/>
          <w:lang w:val="en-US"/>
        </w:rPr>
        <w:t xml:space="preserve">Hsu, M.-H., Savas, U. &amp; Johnson, E.F., </w:t>
      </w:r>
      <w:r w:rsidR="00D56DEA">
        <w:rPr>
          <w:rFonts w:cs="Times New Roman"/>
          <w:noProof/>
          <w:lang w:val="en-US"/>
        </w:rPr>
        <w:t>(</w:t>
      </w:r>
      <w:r w:rsidRPr="003932D1">
        <w:rPr>
          <w:rFonts w:cs="Times New Roman"/>
          <w:noProof/>
          <w:lang w:val="en-US"/>
        </w:rPr>
        <w:t>2018</w:t>
      </w:r>
      <w:r w:rsidR="00D56DEA">
        <w:rPr>
          <w:rFonts w:cs="Times New Roman"/>
          <w:noProof/>
          <w:lang w:val="en-US"/>
        </w:rPr>
        <w:t>)</w:t>
      </w:r>
      <w:r w:rsidRPr="003932D1">
        <w:rPr>
          <w:rFonts w:cs="Times New Roman"/>
          <w:noProof/>
          <w:lang w:val="en-US"/>
        </w:rPr>
        <w:t xml:space="preserve">. The X-Ray Crystal Structure of the Human Mono-Oxygenase Cytochrome P450 3A5-Ritonavir Complex Reveals Active Site Differences between P450s 3A4 and 3A5. </w:t>
      </w:r>
      <w:r w:rsidRPr="003932D1">
        <w:rPr>
          <w:rFonts w:cs="Times New Roman"/>
          <w:i/>
          <w:iCs/>
          <w:noProof/>
          <w:lang w:val="en-US"/>
        </w:rPr>
        <w:t>Molecular Pharmacology</w:t>
      </w:r>
      <w:r w:rsidRPr="003932D1">
        <w:rPr>
          <w:rFonts w:cs="Times New Roman"/>
          <w:noProof/>
          <w:lang w:val="en-US"/>
        </w:rPr>
        <w:t>, 93</w:t>
      </w:r>
      <w:r w:rsidR="00D56DEA">
        <w:rPr>
          <w:rFonts w:cs="Times New Roman"/>
          <w:noProof/>
          <w:lang w:val="en-US"/>
        </w:rPr>
        <w:t xml:space="preserve">: </w:t>
      </w:r>
      <w:r w:rsidRPr="003932D1">
        <w:rPr>
          <w:rFonts w:cs="Times New Roman"/>
          <w:noProof/>
          <w:lang w:val="en-US"/>
        </w:rPr>
        <w:t>14–24. Available at: http://molpharm.aspetjournals.org/lookup/doi/10.1124/mol.117.109744.</w:t>
      </w:r>
    </w:p>
    <w:p w14:paraId="3F60232D" w14:textId="5B33320D" w:rsidR="003932D1" w:rsidRPr="003932D1" w:rsidRDefault="003932D1" w:rsidP="003932D1">
      <w:pPr>
        <w:widowControl w:val="0"/>
        <w:autoSpaceDE w:val="0"/>
        <w:autoSpaceDN w:val="0"/>
        <w:adjustRightInd w:val="0"/>
        <w:ind w:left="480" w:hanging="480"/>
        <w:rPr>
          <w:rFonts w:cs="Times New Roman"/>
          <w:noProof/>
          <w:lang w:val="en-US"/>
        </w:rPr>
      </w:pPr>
      <w:r w:rsidRPr="003932D1">
        <w:rPr>
          <w:rFonts w:cs="Times New Roman"/>
          <w:noProof/>
          <w:lang w:val="en-US"/>
        </w:rPr>
        <w:t xml:space="preserve">Johnson, M.S. &amp; Overington, J.P., </w:t>
      </w:r>
      <w:r w:rsidR="00C73C42">
        <w:rPr>
          <w:rFonts w:cs="Times New Roman"/>
          <w:noProof/>
          <w:lang w:val="en-US"/>
        </w:rPr>
        <w:t>(</w:t>
      </w:r>
      <w:r w:rsidRPr="003932D1">
        <w:rPr>
          <w:rFonts w:cs="Times New Roman"/>
          <w:noProof/>
          <w:lang w:val="en-US"/>
        </w:rPr>
        <w:t>1993</w:t>
      </w:r>
      <w:r w:rsidR="00C73C42">
        <w:rPr>
          <w:rFonts w:cs="Times New Roman"/>
          <w:noProof/>
          <w:lang w:val="en-US"/>
        </w:rPr>
        <w:t>)</w:t>
      </w:r>
      <w:r w:rsidRPr="003932D1">
        <w:rPr>
          <w:rFonts w:cs="Times New Roman"/>
          <w:noProof/>
          <w:lang w:val="en-US"/>
        </w:rPr>
        <w:t xml:space="preserve">. A structural basis for sequence comparisons: An evaluation of scoring methodologies. </w:t>
      </w:r>
      <w:r w:rsidRPr="003932D1">
        <w:rPr>
          <w:rFonts w:cs="Times New Roman"/>
          <w:i/>
          <w:iCs/>
          <w:noProof/>
          <w:lang w:val="en-US"/>
        </w:rPr>
        <w:t>Journal of Molecular Biology</w:t>
      </w:r>
      <w:r w:rsidRPr="003932D1">
        <w:rPr>
          <w:rFonts w:cs="Times New Roman"/>
          <w:noProof/>
          <w:lang w:val="en-US"/>
        </w:rPr>
        <w:t>, 233</w:t>
      </w:r>
      <w:r w:rsidR="00C73C42">
        <w:rPr>
          <w:rFonts w:cs="Times New Roman"/>
          <w:noProof/>
          <w:lang w:val="en-US"/>
        </w:rPr>
        <w:t xml:space="preserve">: </w:t>
      </w:r>
      <w:r w:rsidRPr="003932D1">
        <w:rPr>
          <w:rFonts w:cs="Times New Roman"/>
          <w:noProof/>
          <w:lang w:val="en-US"/>
        </w:rPr>
        <w:t>716–738.</w:t>
      </w:r>
    </w:p>
    <w:p w14:paraId="66325BD9" w14:textId="68F70202" w:rsidR="003932D1" w:rsidRPr="003932D1" w:rsidRDefault="003932D1" w:rsidP="003932D1">
      <w:pPr>
        <w:widowControl w:val="0"/>
        <w:autoSpaceDE w:val="0"/>
        <w:autoSpaceDN w:val="0"/>
        <w:adjustRightInd w:val="0"/>
        <w:ind w:left="480" w:hanging="480"/>
        <w:rPr>
          <w:rFonts w:cs="Times New Roman"/>
          <w:noProof/>
          <w:lang w:val="en-US"/>
        </w:rPr>
      </w:pPr>
      <w:r w:rsidRPr="003932D1">
        <w:rPr>
          <w:rFonts w:cs="Times New Roman"/>
          <w:noProof/>
          <w:lang w:val="en-US"/>
        </w:rPr>
        <w:t xml:space="preserve">Reynald, R.L. et al., </w:t>
      </w:r>
      <w:r w:rsidR="00C73C42">
        <w:rPr>
          <w:rFonts w:cs="Times New Roman"/>
          <w:noProof/>
          <w:lang w:val="en-US"/>
        </w:rPr>
        <w:t>(</w:t>
      </w:r>
      <w:r w:rsidRPr="003932D1">
        <w:rPr>
          <w:rFonts w:cs="Times New Roman"/>
          <w:noProof/>
          <w:lang w:val="en-US"/>
        </w:rPr>
        <w:t>2012</w:t>
      </w:r>
      <w:r w:rsidR="00C73C42">
        <w:rPr>
          <w:rFonts w:cs="Times New Roman"/>
          <w:noProof/>
          <w:lang w:val="en-US"/>
        </w:rPr>
        <w:t>)</w:t>
      </w:r>
      <w:r w:rsidRPr="003932D1">
        <w:rPr>
          <w:rFonts w:cs="Times New Roman"/>
          <w:noProof/>
          <w:lang w:val="en-US"/>
        </w:rPr>
        <w:t xml:space="preserve">. Structural characterization of human cytochrome P450 2C19: Active site differences between P450s 2C8, 2C9, and 2C19. </w:t>
      </w:r>
      <w:r w:rsidRPr="003932D1">
        <w:rPr>
          <w:rFonts w:cs="Times New Roman"/>
          <w:i/>
          <w:iCs/>
          <w:noProof/>
          <w:lang w:val="en-US"/>
        </w:rPr>
        <w:t>Journal of Biological Chemistry</w:t>
      </w:r>
      <w:r w:rsidRPr="003932D1">
        <w:rPr>
          <w:rFonts w:cs="Times New Roman"/>
          <w:noProof/>
          <w:lang w:val="en-US"/>
        </w:rPr>
        <w:t>, 287</w:t>
      </w:r>
      <w:r w:rsidR="00C73C42">
        <w:rPr>
          <w:rFonts w:cs="Times New Roman"/>
          <w:noProof/>
          <w:lang w:val="en-US"/>
        </w:rPr>
        <w:t xml:space="preserve">: </w:t>
      </w:r>
      <w:r w:rsidRPr="003932D1">
        <w:rPr>
          <w:rFonts w:cs="Times New Roman"/>
          <w:noProof/>
          <w:lang w:val="en-US"/>
        </w:rPr>
        <w:t>44581–44591.</w:t>
      </w:r>
    </w:p>
    <w:p w14:paraId="34FA8041" w14:textId="238130F2" w:rsidR="003932D1" w:rsidRPr="003932D1" w:rsidRDefault="003932D1" w:rsidP="003932D1">
      <w:pPr>
        <w:widowControl w:val="0"/>
        <w:autoSpaceDE w:val="0"/>
        <w:autoSpaceDN w:val="0"/>
        <w:adjustRightInd w:val="0"/>
        <w:ind w:left="480" w:hanging="480"/>
        <w:rPr>
          <w:rFonts w:cs="Times New Roman"/>
          <w:noProof/>
          <w:lang w:val="en-US"/>
        </w:rPr>
      </w:pPr>
      <w:r w:rsidRPr="003932D1">
        <w:rPr>
          <w:rFonts w:cs="Times New Roman"/>
          <w:noProof/>
          <w:lang w:val="en-US"/>
        </w:rPr>
        <w:t xml:space="preserve">Sansen, S. et al., </w:t>
      </w:r>
      <w:r w:rsidR="00C73C42">
        <w:rPr>
          <w:rFonts w:cs="Times New Roman"/>
          <w:noProof/>
          <w:lang w:val="en-US"/>
        </w:rPr>
        <w:t>(</w:t>
      </w:r>
      <w:r w:rsidRPr="003932D1">
        <w:rPr>
          <w:rFonts w:cs="Times New Roman"/>
          <w:noProof/>
          <w:lang w:val="en-US"/>
        </w:rPr>
        <w:t>2007</w:t>
      </w:r>
      <w:r w:rsidR="00C73C42">
        <w:rPr>
          <w:rFonts w:cs="Times New Roman"/>
          <w:noProof/>
          <w:lang w:val="en-US"/>
        </w:rPr>
        <w:t>)</w:t>
      </w:r>
      <w:r w:rsidRPr="003932D1">
        <w:rPr>
          <w:rFonts w:cs="Times New Roman"/>
          <w:noProof/>
          <w:lang w:val="en-US"/>
        </w:rPr>
        <w:t xml:space="preserve">. Adaptations for the oxidation of polycyclic aromatic hydrocarbons exhibited by the structure of human P450 1A2. </w:t>
      </w:r>
      <w:r w:rsidRPr="003932D1">
        <w:rPr>
          <w:rFonts w:cs="Times New Roman"/>
          <w:i/>
          <w:iCs/>
          <w:noProof/>
          <w:lang w:val="en-US"/>
        </w:rPr>
        <w:t>Journal of Biological Chemistry</w:t>
      </w:r>
      <w:r w:rsidRPr="003932D1">
        <w:rPr>
          <w:rFonts w:cs="Times New Roman"/>
          <w:noProof/>
          <w:lang w:val="en-US"/>
        </w:rPr>
        <w:t>, 282</w:t>
      </w:r>
      <w:r w:rsidR="00C73C42">
        <w:rPr>
          <w:rFonts w:cs="Times New Roman"/>
          <w:noProof/>
          <w:lang w:val="en-US"/>
        </w:rPr>
        <w:t xml:space="preserve">: </w:t>
      </w:r>
      <w:r w:rsidRPr="003932D1">
        <w:rPr>
          <w:rFonts w:cs="Times New Roman"/>
          <w:noProof/>
          <w:lang w:val="en-US"/>
        </w:rPr>
        <w:t xml:space="preserve"> 14348–14355.</w:t>
      </w:r>
    </w:p>
    <w:p w14:paraId="09171116" w14:textId="62AAA2C5" w:rsidR="003932D1" w:rsidRPr="003932D1" w:rsidRDefault="003932D1" w:rsidP="003932D1">
      <w:pPr>
        <w:widowControl w:val="0"/>
        <w:autoSpaceDE w:val="0"/>
        <w:autoSpaceDN w:val="0"/>
        <w:adjustRightInd w:val="0"/>
        <w:ind w:left="480" w:hanging="480"/>
        <w:rPr>
          <w:rFonts w:cs="Times New Roman"/>
          <w:noProof/>
          <w:lang w:val="en-US"/>
        </w:rPr>
      </w:pPr>
      <w:r w:rsidRPr="003932D1">
        <w:rPr>
          <w:rFonts w:cs="Times New Roman"/>
          <w:noProof/>
          <w:lang w:val="en-US"/>
        </w:rPr>
        <w:t xml:space="preserve">Schoch, G.A. et al., </w:t>
      </w:r>
      <w:r w:rsidR="00C73C42">
        <w:rPr>
          <w:rFonts w:cs="Times New Roman"/>
          <w:noProof/>
          <w:lang w:val="en-US"/>
        </w:rPr>
        <w:t>(</w:t>
      </w:r>
      <w:r w:rsidRPr="003932D1">
        <w:rPr>
          <w:rFonts w:cs="Times New Roman"/>
          <w:noProof/>
          <w:lang w:val="en-US"/>
        </w:rPr>
        <w:t>2008</w:t>
      </w:r>
      <w:r w:rsidR="00C73C42">
        <w:rPr>
          <w:rFonts w:cs="Times New Roman"/>
          <w:noProof/>
          <w:lang w:val="en-US"/>
        </w:rPr>
        <w:t>)</w:t>
      </w:r>
      <w:r w:rsidRPr="003932D1">
        <w:rPr>
          <w:rFonts w:cs="Times New Roman"/>
          <w:noProof/>
          <w:lang w:val="en-US"/>
        </w:rPr>
        <w:t xml:space="preserve">. Determinants of cytochrome P450 2C8 substrate binding: Structures of complexes with montelukast, troglitazone, felodipine, and 9-cis-retinoic acid. </w:t>
      </w:r>
      <w:r w:rsidRPr="003932D1">
        <w:rPr>
          <w:rFonts w:cs="Times New Roman"/>
          <w:i/>
          <w:iCs/>
          <w:noProof/>
          <w:lang w:val="en-US"/>
        </w:rPr>
        <w:t>Journal of Biological Chemistry</w:t>
      </w:r>
      <w:r w:rsidRPr="003932D1">
        <w:rPr>
          <w:rFonts w:cs="Times New Roman"/>
          <w:noProof/>
          <w:lang w:val="en-US"/>
        </w:rPr>
        <w:t>, 283</w:t>
      </w:r>
      <w:r w:rsidR="00C73C42">
        <w:rPr>
          <w:rFonts w:cs="Times New Roman"/>
          <w:noProof/>
          <w:lang w:val="en-US"/>
        </w:rPr>
        <w:t xml:space="preserve">: </w:t>
      </w:r>
      <w:r w:rsidRPr="003932D1">
        <w:rPr>
          <w:rFonts w:cs="Times New Roman"/>
          <w:noProof/>
          <w:lang w:val="en-US"/>
        </w:rPr>
        <w:t>17227–17237.</w:t>
      </w:r>
    </w:p>
    <w:p w14:paraId="54F739CE" w14:textId="47342EF7" w:rsidR="003932D1" w:rsidRPr="003932D1" w:rsidRDefault="003932D1" w:rsidP="003932D1">
      <w:pPr>
        <w:widowControl w:val="0"/>
        <w:autoSpaceDE w:val="0"/>
        <w:autoSpaceDN w:val="0"/>
        <w:adjustRightInd w:val="0"/>
        <w:ind w:left="480" w:hanging="480"/>
        <w:rPr>
          <w:rFonts w:cs="Times New Roman"/>
          <w:noProof/>
          <w:lang w:val="en-US"/>
        </w:rPr>
      </w:pPr>
      <w:r w:rsidRPr="003932D1">
        <w:rPr>
          <w:rFonts w:cs="Times New Roman"/>
          <w:noProof/>
          <w:lang w:val="en-US"/>
        </w:rPr>
        <w:t xml:space="preserve">Sevrioukova, I.F. &amp; Poulos, T.L., </w:t>
      </w:r>
      <w:r w:rsidR="00C73C42">
        <w:rPr>
          <w:rFonts w:cs="Times New Roman"/>
          <w:noProof/>
          <w:lang w:val="en-US"/>
        </w:rPr>
        <w:t>(</w:t>
      </w:r>
      <w:r w:rsidRPr="003932D1">
        <w:rPr>
          <w:rFonts w:cs="Times New Roman"/>
          <w:noProof/>
          <w:lang w:val="en-US"/>
        </w:rPr>
        <w:t>2012</w:t>
      </w:r>
      <w:r w:rsidR="00C73C42">
        <w:rPr>
          <w:rFonts w:cs="Times New Roman"/>
          <w:noProof/>
          <w:lang w:val="en-US"/>
        </w:rPr>
        <w:t>)</w:t>
      </w:r>
      <w:r w:rsidRPr="003932D1">
        <w:rPr>
          <w:rFonts w:cs="Times New Roman"/>
          <w:noProof/>
          <w:lang w:val="en-US"/>
        </w:rPr>
        <w:t xml:space="preserve">. Structural and mechanistic insights into the interaction of cytochrome P4503A4 with bromoergocryptine, a type I ligand. </w:t>
      </w:r>
      <w:r w:rsidRPr="003932D1">
        <w:rPr>
          <w:rFonts w:cs="Times New Roman"/>
          <w:i/>
          <w:iCs/>
          <w:noProof/>
          <w:lang w:val="en-US"/>
        </w:rPr>
        <w:t>Journal of Biological Chemistry</w:t>
      </w:r>
      <w:r w:rsidR="00C73C42">
        <w:rPr>
          <w:rFonts w:cs="Times New Roman"/>
          <w:noProof/>
          <w:lang w:val="en-US"/>
        </w:rPr>
        <w:t xml:space="preserve">, 287: </w:t>
      </w:r>
      <w:r w:rsidRPr="003932D1">
        <w:rPr>
          <w:rFonts w:cs="Times New Roman"/>
          <w:noProof/>
          <w:lang w:val="en-US"/>
        </w:rPr>
        <w:t>3510–3517.</w:t>
      </w:r>
    </w:p>
    <w:p w14:paraId="2B71723F" w14:textId="00D6F382" w:rsidR="003932D1" w:rsidRPr="003932D1" w:rsidRDefault="003932D1" w:rsidP="003932D1">
      <w:pPr>
        <w:widowControl w:val="0"/>
        <w:autoSpaceDE w:val="0"/>
        <w:autoSpaceDN w:val="0"/>
        <w:adjustRightInd w:val="0"/>
        <w:ind w:left="480" w:hanging="480"/>
        <w:rPr>
          <w:rFonts w:cs="Times New Roman"/>
          <w:noProof/>
          <w:lang w:val="en-US"/>
        </w:rPr>
      </w:pPr>
      <w:r w:rsidRPr="003932D1">
        <w:rPr>
          <w:rFonts w:cs="Times New Roman"/>
          <w:noProof/>
          <w:lang w:val="en-US"/>
        </w:rPr>
        <w:t xml:space="preserve">Sevrioukova, I.F. &amp; Poulos, T.L., </w:t>
      </w:r>
      <w:r w:rsidR="00C73C42">
        <w:rPr>
          <w:rFonts w:cs="Times New Roman"/>
          <w:noProof/>
          <w:lang w:val="en-US"/>
        </w:rPr>
        <w:t>(</w:t>
      </w:r>
      <w:r w:rsidRPr="003932D1">
        <w:rPr>
          <w:rFonts w:cs="Times New Roman"/>
          <w:noProof/>
          <w:lang w:val="en-US"/>
        </w:rPr>
        <w:t>2017</w:t>
      </w:r>
      <w:r w:rsidR="00C73C42">
        <w:rPr>
          <w:rFonts w:cs="Times New Roman"/>
          <w:noProof/>
          <w:lang w:val="en-US"/>
        </w:rPr>
        <w:t>)</w:t>
      </w:r>
      <w:r w:rsidRPr="003932D1">
        <w:rPr>
          <w:rFonts w:cs="Times New Roman"/>
          <w:noProof/>
          <w:lang w:val="en-US"/>
        </w:rPr>
        <w:t xml:space="preserve">. Structural basis for regiospecific midazolam oxidation by human cytochrome P450 3A4. </w:t>
      </w:r>
      <w:r w:rsidRPr="003932D1">
        <w:rPr>
          <w:rFonts w:cs="Times New Roman"/>
          <w:i/>
          <w:iCs/>
          <w:noProof/>
          <w:lang w:val="en-US"/>
        </w:rPr>
        <w:t>Proceedings of the National Academy of Sciences</w:t>
      </w:r>
      <w:r w:rsidR="00C73C42">
        <w:rPr>
          <w:rFonts w:cs="Times New Roman"/>
          <w:noProof/>
          <w:lang w:val="en-US"/>
        </w:rPr>
        <w:t xml:space="preserve">, 114: </w:t>
      </w:r>
      <w:r w:rsidRPr="003932D1">
        <w:rPr>
          <w:rFonts w:cs="Times New Roman"/>
          <w:noProof/>
          <w:lang w:val="en-US"/>
        </w:rPr>
        <w:t>486–491. Available at: http://www.pnas.org/lookup/doi/10.1073/pnas.1616198114.</w:t>
      </w:r>
    </w:p>
    <w:p w14:paraId="3A38AFA2" w14:textId="35974563" w:rsidR="003932D1" w:rsidRPr="003932D1" w:rsidRDefault="003932D1" w:rsidP="003932D1">
      <w:pPr>
        <w:widowControl w:val="0"/>
        <w:autoSpaceDE w:val="0"/>
        <w:autoSpaceDN w:val="0"/>
        <w:adjustRightInd w:val="0"/>
        <w:ind w:left="480" w:hanging="480"/>
        <w:rPr>
          <w:rFonts w:cs="Times New Roman"/>
          <w:noProof/>
          <w:lang w:val="en-US"/>
        </w:rPr>
      </w:pPr>
      <w:r w:rsidRPr="003B60B8">
        <w:rPr>
          <w:rFonts w:cs="Times New Roman"/>
          <w:noProof/>
        </w:rPr>
        <w:t xml:space="preserve">Shah, M.B. et al., </w:t>
      </w:r>
      <w:r w:rsidR="00C73C42">
        <w:rPr>
          <w:rFonts w:cs="Times New Roman"/>
          <w:noProof/>
        </w:rPr>
        <w:t>(</w:t>
      </w:r>
      <w:r w:rsidRPr="003B60B8">
        <w:rPr>
          <w:rFonts w:cs="Times New Roman"/>
          <w:noProof/>
        </w:rPr>
        <w:t>2012</w:t>
      </w:r>
      <w:r w:rsidR="00C73C42">
        <w:rPr>
          <w:rFonts w:cs="Times New Roman"/>
          <w:noProof/>
        </w:rPr>
        <w:t>)</w:t>
      </w:r>
      <w:r w:rsidRPr="003B60B8">
        <w:rPr>
          <w:rFonts w:cs="Times New Roman"/>
          <w:noProof/>
        </w:rPr>
        <w:t xml:space="preserve">. </w:t>
      </w:r>
      <w:r w:rsidRPr="003932D1">
        <w:rPr>
          <w:rFonts w:cs="Times New Roman"/>
          <w:noProof/>
          <w:lang w:val="en-US"/>
        </w:rPr>
        <w:t xml:space="preserve">Conformational adaptation of human cytochrome P450 2B6 and rabbit cytochrome P450 2B4 revealed upon binding multiple amlodipine molecules. </w:t>
      </w:r>
      <w:r w:rsidRPr="003932D1">
        <w:rPr>
          <w:rFonts w:cs="Times New Roman"/>
          <w:i/>
          <w:iCs/>
          <w:noProof/>
          <w:lang w:val="en-US"/>
        </w:rPr>
        <w:t>Biochemistry</w:t>
      </w:r>
      <w:r w:rsidRPr="003932D1">
        <w:rPr>
          <w:rFonts w:cs="Times New Roman"/>
          <w:noProof/>
          <w:lang w:val="en-US"/>
        </w:rPr>
        <w:t>, 51</w:t>
      </w:r>
      <w:r w:rsidR="00C73C42">
        <w:rPr>
          <w:rFonts w:cs="Times New Roman"/>
          <w:noProof/>
          <w:lang w:val="en-US"/>
        </w:rPr>
        <w:t xml:space="preserve">: </w:t>
      </w:r>
      <w:r w:rsidRPr="003932D1">
        <w:rPr>
          <w:rFonts w:cs="Times New Roman"/>
          <w:noProof/>
          <w:lang w:val="en-US"/>
        </w:rPr>
        <w:t>7225–7238.</w:t>
      </w:r>
    </w:p>
    <w:p w14:paraId="2BB69E0A" w14:textId="7AE82AA9" w:rsidR="003932D1" w:rsidRPr="003932D1" w:rsidRDefault="003932D1" w:rsidP="003932D1">
      <w:pPr>
        <w:widowControl w:val="0"/>
        <w:autoSpaceDE w:val="0"/>
        <w:autoSpaceDN w:val="0"/>
        <w:adjustRightInd w:val="0"/>
        <w:ind w:left="480" w:hanging="480"/>
        <w:rPr>
          <w:rFonts w:cs="Times New Roman"/>
          <w:noProof/>
          <w:lang w:val="en-US"/>
        </w:rPr>
      </w:pPr>
      <w:r w:rsidRPr="003932D1">
        <w:rPr>
          <w:rFonts w:cs="Times New Roman"/>
          <w:noProof/>
          <w:lang w:val="en-US"/>
        </w:rPr>
        <w:lastRenderedPageBreak/>
        <w:t xml:space="preserve">Shah, M.B. et al., </w:t>
      </w:r>
      <w:r w:rsidR="00C73C42">
        <w:rPr>
          <w:rFonts w:cs="Times New Roman"/>
          <w:noProof/>
          <w:lang w:val="en-US"/>
        </w:rPr>
        <w:t>(</w:t>
      </w:r>
      <w:r w:rsidRPr="003932D1">
        <w:rPr>
          <w:rFonts w:cs="Times New Roman"/>
          <w:noProof/>
          <w:lang w:val="en-US"/>
        </w:rPr>
        <w:t>2011</w:t>
      </w:r>
      <w:r w:rsidR="00C73C42">
        <w:rPr>
          <w:rFonts w:cs="Times New Roman"/>
          <w:noProof/>
          <w:lang w:val="en-US"/>
        </w:rPr>
        <w:t>)</w:t>
      </w:r>
      <w:r w:rsidRPr="003932D1">
        <w:rPr>
          <w:rFonts w:cs="Times New Roman"/>
          <w:noProof/>
          <w:lang w:val="en-US"/>
        </w:rPr>
        <w:t xml:space="preserve">. Structures of cytochrome P450 2B6 bound to 4-benzylpyridine and. </w:t>
      </w:r>
      <w:r w:rsidRPr="003932D1">
        <w:rPr>
          <w:rFonts w:cs="Times New Roman"/>
          <w:i/>
          <w:iCs/>
          <w:noProof/>
          <w:lang w:val="en-US"/>
        </w:rPr>
        <w:t>Molecular pharmacology</w:t>
      </w:r>
      <w:r w:rsidRPr="003932D1">
        <w:rPr>
          <w:rFonts w:cs="Times New Roman"/>
          <w:noProof/>
          <w:lang w:val="en-US"/>
        </w:rPr>
        <w:t>, 80</w:t>
      </w:r>
      <w:r w:rsidR="00C73C42">
        <w:rPr>
          <w:rFonts w:cs="Times New Roman"/>
          <w:noProof/>
          <w:lang w:val="en-US"/>
        </w:rPr>
        <w:t xml:space="preserve">: </w:t>
      </w:r>
      <w:r w:rsidRPr="003932D1">
        <w:rPr>
          <w:rFonts w:cs="Times New Roman"/>
          <w:noProof/>
          <w:lang w:val="en-US"/>
        </w:rPr>
        <w:t>1047–1055.</w:t>
      </w:r>
    </w:p>
    <w:p w14:paraId="17D9A45A" w14:textId="7E5A2B9B" w:rsidR="003932D1" w:rsidRPr="003932D1" w:rsidRDefault="003932D1" w:rsidP="003932D1">
      <w:pPr>
        <w:widowControl w:val="0"/>
        <w:autoSpaceDE w:val="0"/>
        <w:autoSpaceDN w:val="0"/>
        <w:adjustRightInd w:val="0"/>
        <w:ind w:left="480" w:hanging="480"/>
        <w:rPr>
          <w:rFonts w:cs="Times New Roman"/>
          <w:noProof/>
          <w:lang w:val="en-US"/>
        </w:rPr>
      </w:pPr>
      <w:r w:rsidRPr="003932D1">
        <w:rPr>
          <w:rFonts w:cs="Times New Roman"/>
          <w:noProof/>
          <w:lang w:val="en-US"/>
        </w:rPr>
        <w:t xml:space="preserve">Walsh, A.A., Szklarz, G.D. &amp; Scott, E.E., </w:t>
      </w:r>
      <w:r w:rsidR="00C73C42">
        <w:rPr>
          <w:rFonts w:cs="Times New Roman"/>
          <w:noProof/>
          <w:lang w:val="en-US"/>
        </w:rPr>
        <w:t>(</w:t>
      </w:r>
      <w:r w:rsidRPr="003932D1">
        <w:rPr>
          <w:rFonts w:cs="Times New Roman"/>
          <w:noProof/>
          <w:lang w:val="en-US"/>
        </w:rPr>
        <w:t>2013</w:t>
      </w:r>
      <w:r w:rsidR="00C73C42">
        <w:rPr>
          <w:rFonts w:cs="Times New Roman"/>
          <w:noProof/>
          <w:lang w:val="en-US"/>
        </w:rPr>
        <w:t>)</w:t>
      </w:r>
      <w:r w:rsidRPr="003932D1">
        <w:rPr>
          <w:rFonts w:cs="Times New Roman"/>
          <w:noProof/>
          <w:lang w:val="en-US"/>
        </w:rPr>
        <w:t xml:space="preserve">. Human cytochrome P450 1A1 structure and utility in understanding drug and xenobiotic metabolism. </w:t>
      </w:r>
      <w:r w:rsidRPr="003932D1">
        <w:rPr>
          <w:rFonts w:cs="Times New Roman"/>
          <w:i/>
          <w:iCs/>
          <w:noProof/>
          <w:lang w:val="en-US"/>
        </w:rPr>
        <w:t>Journal of Biological Chemistry</w:t>
      </w:r>
      <w:r w:rsidRPr="003932D1">
        <w:rPr>
          <w:rFonts w:cs="Times New Roman"/>
          <w:noProof/>
          <w:lang w:val="en-US"/>
        </w:rPr>
        <w:t>, 288</w:t>
      </w:r>
      <w:r w:rsidR="00C73C42">
        <w:rPr>
          <w:rFonts w:cs="Times New Roman"/>
          <w:noProof/>
          <w:lang w:val="en-US"/>
        </w:rPr>
        <w:t xml:space="preserve">: </w:t>
      </w:r>
      <w:r w:rsidRPr="003932D1">
        <w:rPr>
          <w:rFonts w:cs="Times New Roman"/>
          <w:noProof/>
          <w:lang w:val="en-US"/>
        </w:rPr>
        <w:t>12932–12943.</w:t>
      </w:r>
    </w:p>
    <w:p w14:paraId="1382C573" w14:textId="64F32C94" w:rsidR="003932D1" w:rsidRPr="003932D1" w:rsidRDefault="003932D1" w:rsidP="003932D1">
      <w:pPr>
        <w:widowControl w:val="0"/>
        <w:autoSpaceDE w:val="0"/>
        <w:autoSpaceDN w:val="0"/>
        <w:adjustRightInd w:val="0"/>
        <w:ind w:left="480" w:hanging="480"/>
        <w:rPr>
          <w:rFonts w:cs="Times New Roman"/>
          <w:noProof/>
          <w:lang w:val="en-US"/>
        </w:rPr>
      </w:pPr>
      <w:r w:rsidRPr="003932D1">
        <w:rPr>
          <w:rFonts w:cs="Times New Roman"/>
          <w:noProof/>
          <w:lang w:val="en-US"/>
        </w:rPr>
        <w:t xml:space="preserve">Wang, A. et al., </w:t>
      </w:r>
      <w:r w:rsidR="00C73C42">
        <w:rPr>
          <w:rFonts w:cs="Times New Roman"/>
          <w:noProof/>
          <w:lang w:val="en-US"/>
        </w:rPr>
        <w:t>(</w:t>
      </w:r>
      <w:r w:rsidRPr="003932D1">
        <w:rPr>
          <w:rFonts w:cs="Times New Roman"/>
          <w:noProof/>
          <w:lang w:val="en-US"/>
        </w:rPr>
        <w:t>2015</w:t>
      </w:r>
      <w:r w:rsidR="00C73C42">
        <w:rPr>
          <w:rFonts w:cs="Times New Roman"/>
          <w:noProof/>
          <w:lang w:val="en-US"/>
        </w:rPr>
        <w:t>)</w:t>
      </w:r>
      <w:r w:rsidRPr="003932D1">
        <w:rPr>
          <w:rFonts w:cs="Times New Roman"/>
          <w:noProof/>
          <w:lang w:val="en-US"/>
        </w:rPr>
        <w:t xml:space="preserve">. Contributions of ionic interactions and protein dynamics to cytochrome P450 2D6 (CYP2D6) substrate and inhibitor binding. </w:t>
      </w:r>
      <w:r w:rsidRPr="003932D1">
        <w:rPr>
          <w:rFonts w:cs="Times New Roman"/>
          <w:i/>
          <w:iCs/>
          <w:noProof/>
          <w:lang w:val="en-US"/>
        </w:rPr>
        <w:t>Journal of Biological Chemistry</w:t>
      </w:r>
      <w:r w:rsidR="00C73C42">
        <w:rPr>
          <w:rFonts w:cs="Times New Roman"/>
          <w:noProof/>
          <w:lang w:val="en-US"/>
        </w:rPr>
        <w:t xml:space="preserve">, 290: </w:t>
      </w:r>
      <w:r w:rsidRPr="003932D1">
        <w:rPr>
          <w:rFonts w:cs="Times New Roman"/>
          <w:noProof/>
          <w:lang w:val="en-US"/>
        </w:rPr>
        <w:t>5092–5104.</w:t>
      </w:r>
    </w:p>
    <w:p w14:paraId="1ADD7B76" w14:textId="2249D868" w:rsidR="003932D1" w:rsidRPr="003932D1" w:rsidRDefault="003932D1" w:rsidP="003932D1">
      <w:pPr>
        <w:widowControl w:val="0"/>
        <w:autoSpaceDE w:val="0"/>
        <w:autoSpaceDN w:val="0"/>
        <w:adjustRightInd w:val="0"/>
        <w:ind w:left="480" w:hanging="480"/>
        <w:rPr>
          <w:rFonts w:cs="Times New Roman"/>
          <w:noProof/>
          <w:lang w:val="en-US"/>
        </w:rPr>
      </w:pPr>
      <w:r w:rsidRPr="003932D1">
        <w:rPr>
          <w:rFonts w:cs="Times New Roman"/>
          <w:noProof/>
          <w:lang w:val="en-US"/>
        </w:rPr>
        <w:t xml:space="preserve">Wang, A. et al., </w:t>
      </w:r>
      <w:r w:rsidR="00C73C42">
        <w:rPr>
          <w:rFonts w:cs="Times New Roman"/>
          <w:noProof/>
          <w:lang w:val="en-US"/>
        </w:rPr>
        <w:t>(</w:t>
      </w:r>
      <w:r w:rsidRPr="003932D1">
        <w:rPr>
          <w:rFonts w:cs="Times New Roman"/>
          <w:noProof/>
          <w:lang w:val="en-US"/>
        </w:rPr>
        <w:t>2012</w:t>
      </w:r>
      <w:r w:rsidR="00C73C42">
        <w:rPr>
          <w:rFonts w:cs="Times New Roman"/>
          <w:noProof/>
          <w:lang w:val="en-US"/>
        </w:rPr>
        <w:t>)</w:t>
      </w:r>
      <w:r w:rsidRPr="003932D1">
        <w:rPr>
          <w:rFonts w:cs="Times New Roman"/>
          <w:noProof/>
          <w:lang w:val="en-US"/>
        </w:rPr>
        <w:t xml:space="preserve">. Crystal Structure of Human Cytochrome P450 2D6 with Prinomastat Bound. </w:t>
      </w:r>
      <w:r w:rsidRPr="003932D1">
        <w:rPr>
          <w:rFonts w:cs="Times New Roman"/>
          <w:i/>
          <w:iCs/>
          <w:noProof/>
          <w:lang w:val="en-US"/>
        </w:rPr>
        <w:t>Journal of Biological Chemistry</w:t>
      </w:r>
      <w:r w:rsidRPr="003932D1">
        <w:rPr>
          <w:rFonts w:cs="Times New Roman"/>
          <w:noProof/>
          <w:lang w:val="en-US"/>
        </w:rPr>
        <w:t>, 287</w:t>
      </w:r>
      <w:r w:rsidR="00C73C42">
        <w:rPr>
          <w:rFonts w:cs="Times New Roman"/>
          <w:noProof/>
          <w:lang w:val="en-US"/>
        </w:rPr>
        <w:t xml:space="preserve">: </w:t>
      </w:r>
      <w:r w:rsidRPr="003932D1">
        <w:rPr>
          <w:rFonts w:cs="Times New Roman"/>
          <w:noProof/>
          <w:lang w:val="en-US"/>
        </w:rPr>
        <w:t>10834–10843. Available at: http://www.jbc.org/lookup/doi/10.1074/jbc.M111.307918.</w:t>
      </w:r>
    </w:p>
    <w:p w14:paraId="3DD61790" w14:textId="0442D5E5" w:rsidR="003932D1" w:rsidRPr="003932D1" w:rsidRDefault="003932D1" w:rsidP="003932D1">
      <w:pPr>
        <w:widowControl w:val="0"/>
        <w:autoSpaceDE w:val="0"/>
        <w:autoSpaceDN w:val="0"/>
        <w:adjustRightInd w:val="0"/>
        <w:ind w:left="480" w:hanging="480"/>
        <w:rPr>
          <w:rFonts w:cs="Times New Roman"/>
          <w:noProof/>
          <w:lang w:val="en-US"/>
        </w:rPr>
      </w:pPr>
      <w:r w:rsidRPr="003932D1">
        <w:rPr>
          <w:rFonts w:cs="Times New Roman"/>
          <w:noProof/>
          <w:lang w:val="en-US"/>
        </w:rPr>
        <w:t xml:space="preserve">Wang, A. et al., </w:t>
      </w:r>
      <w:r w:rsidR="00C73C42">
        <w:rPr>
          <w:rFonts w:cs="Times New Roman"/>
          <w:noProof/>
          <w:lang w:val="en-US"/>
        </w:rPr>
        <w:t>(</w:t>
      </w:r>
      <w:r w:rsidRPr="003932D1">
        <w:rPr>
          <w:rFonts w:cs="Times New Roman"/>
          <w:noProof/>
          <w:lang w:val="en-US"/>
        </w:rPr>
        <w:t>2011</w:t>
      </w:r>
      <w:r w:rsidR="00C73C42">
        <w:rPr>
          <w:rFonts w:cs="Times New Roman"/>
          <w:noProof/>
          <w:lang w:val="en-US"/>
        </w:rPr>
        <w:t>)</w:t>
      </w:r>
      <w:r w:rsidRPr="003932D1">
        <w:rPr>
          <w:rFonts w:cs="Times New Roman"/>
          <w:noProof/>
          <w:lang w:val="en-US"/>
        </w:rPr>
        <w:t xml:space="preserve">. Structural characterization of the complex between ??-naphthoflavone and human cytochrome P450 1B1. </w:t>
      </w:r>
      <w:r w:rsidRPr="003932D1">
        <w:rPr>
          <w:rFonts w:cs="Times New Roman"/>
          <w:i/>
          <w:iCs/>
          <w:noProof/>
          <w:lang w:val="en-US"/>
        </w:rPr>
        <w:t>Journal of Biological Chemistry</w:t>
      </w:r>
      <w:r w:rsidRPr="003932D1">
        <w:rPr>
          <w:rFonts w:cs="Times New Roman"/>
          <w:noProof/>
          <w:lang w:val="en-US"/>
        </w:rPr>
        <w:t>, 286</w:t>
      </w:r>
      <w:r w:rsidR="00C73C42">
        <w:rPr>
          <w:rFonts w:cs="Times New Roman"/>
          <w:noProof/>
          <w:lang w:val="en-US"/>
        </w:rPr>
        <w:t xml:space="preserve">: </w:t>
      </w:r>
      <w:r w:rsidRPr="003932D1">
        <w:rPr>
          <w:rFonts w:cs="Times New Roman"/>
          <w:noProof/>
          <w:lang w:val="en-US"/>
        </w:rPr>
        <w:t>5736–5743.</w:t>
      </w:r>
    </w:p>
    <w:p w14:paraId="5952C3E8" w14:textId="0B8BC32B" w:rsidR="003932D1" w:rsidRPr="003932D1" w:rsidRDefault="003932D1" w:rsidP="003932D1">
      <w:pPr>
        <w:widowControl w:val="0"/>
        <w:autoSpaceDE w:val="0"/>
        <w:autoSpaceDN w:val="0"/>
        <w:adjustRightInd w:val="0"/>
        <w:ind w:left="480" w:hanging="480"/>
        <w:rPr>
          <w:rFonts w:cs="Times New Roman"/>
          <w:noProof/>
          <w:lang w:val="en-US"/>
        </w:rPr>
      </w:pPr>
      <w:r w:rsidRPr="003932D1">
        <w:rPr>
          <w:rFonts w:cs="Times New Roman"/>
          <w:noProof/>
          <w:lang w:val="en-US"/>
        </w:rPr>
        <w:t xml:space="preserve">Wester, M.R. et al., </w:t>
      </w:r>
      <w:r w:rsidR="00C73C42">
        <w:rPr>
          <w:rFonts w:cs="Times New Roman"/>
          <w:noProof/>
          <w:lang w:val="en-US"/>
        </w:rPr>
        <w:t>(</w:t>
      </w:r>
      <w:r w:rsidRPr="003932D1">
        <w:rPr>
          <w:rFonts w:cs="Times New Roman"/>
          <w:noProof/>
          <w:lang w:val="en-US"/>
        </w:rPr>
        <w:t>2004</w:t>
      </w:r>
      <w:r w:rsidR="00C73C42">
        <w:rPr>
          <w:rFonts w:cs="Times New Roman"/>
          <w:noProof/>
          <w:lang w:val="en-US"/>
        </w:rPr>
        <w:t>)</w:t>
      </w:r>
      <w:r w:rsidRPr="003932D1">
        <w:rPr>
          <w:rFonts w:cs="Times New Roman"/>
          <w:noProof/>
          <w:lang w:val="en-US"/>
        </w:rPr>
        <w:t xml:space="preserve">. The structure of human cytochrome P450 2C9 complexed with flurbiprofen at 2.0-Å resolution. </w:t>
      </w:r>
      <w:r w:rsidRPr="003932D1">
        <w:rPr>
          <w:rFonts w:cs="Times New Roman"/>
          <w:i/>
          <w:iCs/>
          <w:noProof/>
          <w:lang w:val="en-US"/>
        </w:rPr>
        <w:t>Journal of Biological Chemistry</w:t>
      </w:r>
      <w:r w:rsidRPr="003932D1">
        <w:rPr>
          <w:rFonts w:cs="Times New Roman"/>
          <w:noProof/>
          <w:lang w:val="en-US"/>
        </w:rPr>
        <w:t>, 279</w:t>
      </w:r>
      <w:r w:rsidR="00C73C42">
        <w:rPr>
          <w:rFonts w:cs="Times New Roman"/>
          <w:noProof/>
          <w:lang w:val="en-US"/>
        </w:rPr>
        <w:t xml:space="preserve">: </w:t>
      </w:r>
      <w:r w:rsidRPr="003932D1">
        <w:rPr>
          <w:rFonts w:cs="Times New Roman"/>
          <w:noProof/>
          <w:lang w:val="en-US"/>
        </w:rPr>
        <w:t>35630–35637.</w:t>
      </w:r>
    </w:p>
    <w:p w14:paraId="573277E4" w14:textId="7F1D664E" w:rsidR="003932D1" w:rsidRPr="003932D1" w:rsidRDefault="003932D1" w:rsidP="003932D1">
      <w:pPr>
        <w:widowControl w:val="0"/>
        <w:autoSpaceDE w:val="0"/>
        <w:autoSpaceDN w:val="0"/>
        <w:adjustRightInd w:val="0"/>
        <w:ind w:left="480" w:hanging="480"/>
        <w:rPr>
          <w:rFonts w:cs="Times New Roman"/>
          <w:noProof/>
          <w:lang w:val="en-US"/>
        </w:rPr>
      </w:pPr>
      <w:r w:rsidRPr="003932D1">
        <w:rPr>
          <w:rFonts w:cs="Times New Roman"/>
          <w:noProof/>
          <w:lang w:val="en-US"/>
        </w:rPr>
        <w:t xml:space="preserve">Williams, P. a et al., </w:t>
      </w:r>
      <w:r w:rsidR="00C73C42">
        <w:rPr>
          <w:rFonts w:cs="Times New Roman"/>
          <w:noProof/>
          <w:lang w:val="en-US"/>
        </w:rPr>
        <w:t>(</w:t>
      </w:r>
      <w:r w:rsidRPr="003932D1">
        <w:rPr>
          <w:rFonts w:cs="Times New Roman"/>
          <w:noProof/>
          <w:lang w:val="en-US"/>
        </w:rPr>
        <w:t>2003</w:t>
      </w:r>
      <w:r w:rsidR="00C73C42">
        <w:rPr>
          <w:rFonts w:cs="Times New Roman"/>
          <w:noProof/>
          <w:lang w:val="en-US"/>
        </w:rPr>
        <w:t>)</w:t>
      </w:r>
      <w:r w:rsidRPr="003932D1">
        <w:rPr>
          <w:rFonts w:cs="Times New Roman"/>
          <w:noProof/>
          <w:lang w:val="en-US"/>
        </w:rPr>
        <w:t xml:space="preserve">. Crystal structure of human cytochrome P450 2C9 with bound warfarin. </w:t>
      </w:r>
      <w:r w:rsidRPr="003932D1">
        <w:rPr>
          <w:rFonts w:cs="Times New Roman"/>
          <w:i/>
          <w:iCs/>
          <w:noProof/>
          <w:lang w:val="en-US"/>
        </w:rPr>
        <w:t>Nature</w:t>
      </w:r>
      <w:r w:rsidRPr="003932D1">
        <w:rPr>
          <w:rFonts w:cs="Times New Roman"/>
          <w:noProof/>
          <w:lang w:val="en-US"/>
        </w:rPr>
        <w:t>, 424</w:t>
      </w:r>
      <w:r w:rsidR="00C73C42">
        <w:rPr>
          <w:rFonts w:cs="Times New Roman"/>
          <w:noProof/>
          <w:lang w:val="en-US"/>
        </w:rPr>
        <w:t xml:space="preserve">: </w:t>
      </w:r>
      <w:r w:rsidRPr="003932D1">
        <w:rPr>
          <w:rFonts w:cs="Times New Roman"/>
          <w:noProof/>
          <w:lang w:val="en-US"/>
        </w:rPr>
        <w:t>464–468. Available at: http://www.nature.com/nature/journal/v424/n6947/abs/nature01862.html.</w:t>
      </w:r>
    </w:p>
    <w:p w14:paraId="462E5326" w14:textId="05FF1AC9" w:rsidR="003932D1" w:rsidRPr="003932D1" w:rsidRDefault="003932D1" w:rsidP="003932D1">
      <w:pPr>
        <w:widowControl w:val="0"/>
        <w:autoSpaceDE w:val="0"/>
        <w:autoSpaceDN w:val="0"/>
        <w:adjustRightInd w:val="0"/>
        <w:ind w:left="480" w:hanging="480"/>
        <w:rPr>
          <w:rFonts w:cs="Times New Roman"/>
          <w:noProof/>
          <w:lang w:val="en-US"/>
        </w:rPr>
      </w:pPr>
      <w:r w:rsidRPr="003B60B8">
        <w:rPr>
          <w:rFonts w:cs="Times New Roman"/>
          <w:noProof/>
        </w:rPr>
        <w:t xml:space="preserve">Yano, J.K. et al., </w:t>
      </w:r>
      <w:r w:rsidR="00C73C42">
        <w:rPr>
          <w:rFonts w:cs="Times New Roman"/>
          <w:noProof/>
        </w:rPr>
        <w:t>(</w:t>
      </w:r>
      <w:r w:rsidRPr="003B60B8">
        <w:rPr>
          <w:rFonts w:cs="Times New Roman"/>
          <w:noProof/>
        </w:rPr>
        <w:t>2005</w:t>
      </w:r>
      <w:r w:rsidR="00C73C42">
        <w:rPr>
          <w:rFonts w:cs="Times New Roman"/>
          <w:noProof/>
        </w:rPr>
        <w:t>)</w:t>
      </w:r>
      <w:r w:rsidRPr="003B60B8">
        <w:rPr>
          <w:rFonts w:cs="Times New Roman"/>
          <w:noProof/>
        </w:rPr>
        <w:t xml:space="preserve">. </w:t>
      </w:r>
      <w:r w:rsidRPr="003932D1">
        <w:rPr>
          <w:rFonts w:cs="Times New Roman"/>
          <w:noProof/>
          <w:lang w:val="en-US"/>
        </w:rPr>
        <w:t xml:space="preserve">Structures of human microsomal cytochrome P450 2A6 complexed with coumarin and methoxsalen. </w:t>
      </w:r>
      <w:r w:rsidRPr="003932D1">
        <w:rPr>
          <w:rFonts w:cs="Times New Roman"/>
          <w:i/>
          <w:iCs/>
          <w:noProof/>
          <w:lang w:val="en-US"/>
        </w:rPr>
        <w:t>Nature Structural and Molecular Biology</w:t>
      </w:r>
      <w:r w:rsidR="00C73C42">
        <w:rPr>
          <w:rFonts w:cs="Times New Roman"/>
          <w:noProof/>
          <w:lang w:val="en-US"/>
        </w:rPr>
        <w:t xml:space="preserve">, 12: </w:t>
      </w:r>
      <w:r w:rsidRPr="003932D1">
        <w:rPr>
          <w:rFonts w:cs="Times New Roman"/>
          <w:noProof/>
          <w:lang w:val="en-US"/>
        </w:rPr>
        <w:t>822–823.</w:t>
      </w:r>
    </w:p>
    <w:p w14:paraId="7A38B32A" w14:textId="6D225417" w:rsidR="003932D1" w:rsidRPr="003932D1" w:rsidRDefault="003932D1" w:rsidP="003932D1">
      <w:pPr>
        <w:widowControl w:val="0"/>
        <w:autoSpaceDE w:val="0"/>
        <w:autoSpaceDN w:val="0"/>
        <w:adjustRightInd w:val="0"/>
        <w:ind w:left="480" w:hanging="480"/>
        <w:rPr>
          <w:rFonts w:cs="Times New Roman"/>
          <w:noProof/>
        </w:rPr>
      </w:pPr>
      <w:r w:rsidRPr="003932D1">
        <w:rPr>
          <w:rFonts w:cs="Times New Roman"/>
          <w:noProof/>
          <w:lang w:val="en-US"/>
        </w:rPr>
        <w:t xml:space="preserve">Yano, J.K. et al., </w:t>
      </w:r>
      <w:r w:rsidR="00C73C42">
        <w:rPr>
          <w:rFonts w:cs="Times New Roman"/>
          <w:noProof/>
          <w:lang w:val="en-US"/>
        </w:rPr>
        <w:t>(</w:t>
      </w:r>
      <w:r w:rsidRPr="003932D1">
        <w:rPr>
          <w:rFonts w:cs="Times New Roman"/>
          <w:noProof/>
          <w:lang w:val="en-US"/>
        </w:rPr>
        <w:t>2006</w:t>
      </w:r>
      <w:r w:rsidR="00C73C42">
        <w:rPr>
          <w:rFonts w:cs="Times New Roman"/>
          <w:noProof/>
          <w:lang w:val="en-US"/>
        </w:rPr>
        <w:t>)</w:t>
      </w:r>
      <w:r w:rsidRPr="003932D1">
        <w:rPr>
          <w:rFonts w:cs="Times New Roman"/>
          <w:noProof/>
          <w:lang w:val="en-US"/>
        </w:rPr>
        <w:t xml:space="preserve">. Synthetic inhibitors of cytochrome P-450 2A6: Inhibitory activity, difference spectra, mechanism of inhibition, and protein cocrystallization. </w:t>
      </w:r>
      <w:r w:rsidRPr="003932D1">
        <w:rPr>
          <w:rFonts w:cs="Times New Roman"/>
          <w:i/>
          <w:iCs/>
          <w:noProof/>
          <w:lang w:val="en-US"/>
        </w:rPr>
        <w:t>Journal of Medicinal Chemistry</w:t>
      </w:r>
      <w:r w:rsidRPr="003932D1">
        <w:rPr>
          <w:rFonts w:cs="Times New Roman"/>
          <w:noProof/>
          <w:lang w:val="en-US"/>
        </w:rPr>
        <w:t>, 49</w:t>
      </w:r>
      <w:r w:rsidR="00C73C42">
        <w:rPr>
          <w:rFonts w:cs="Times New Roman"/>
          <w:noProof/>
          <w:lang w:val="en-US"/>
        </w:rPr>
        <w:t xml:space="preserve">: </w:t>
      </w:r>
      <w:r w:rsidRPr="003932D1">
        <w:rPr>
          <w:rFonts w:cs="Times New Roman"/>
          <w:noProof/>
          <w:lang w:val="en-US"/>
        </w:rPr>
        <w:t>6987–7001.</w:t>
      </w:r>
    </w:p>
    <w:p w14:paraId="582152D3" w14:textId="630F4289" w:rsidR="00C83A11" w:rsidRPr="00C83A11" w:rsidRDefault="00C83A11" w:rsidP="003932D1">
      <w:pPr>
        <w:widowControl w:val="0"/>
        <w:autoSpaceDE w:val="0"/>
        <w:autoSpaceDN w:val="0"/>
        <w:adjustRightInd w:val="0"/>
        <w:ind w:left="640" w:hanging="640"/>
        <w:rPr>
          <w:rFonts w:eastAsia="Times New Roman" w:cs="Times New Roman"/>
          <w:b/>
          <w:lang w:val="en-US"/>
        </w:rPr>
      </w:pPr>
      <w:r>
        <w:rPr>
          <w:rFonts w:eastAsia="Times New Roman" w:cs="Times New Roman"/>
          <w:b/>
          <w:lang w:val="en-US"/>
        </w:rPr>
        <w:fldChar w:fldCharType="end"/>
      </w:r>
    </w:p>
    <w:p w14:paraId="4702B4EF" w14:textId="3411408D" w:rsidR="00CE5DAC" w:rsidRPr="00507F36" w:rsidRDefault="00CE5DAC">
      <w:pPr>
        <w:rPr>
          <w:lang w:val="en-US"/>
        </w:rPr>
      </w:pPr>
      <w:bookmarkStart w:id="0" w:name="_GoBack"/>
      <w:bookmarkEnd w:id="0"/>
    </w:p>
    <w:sectPr w:rsidR="00CE5DAC" w:rsidRPr="00507F3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FC7142E"/>
    <w:multiLevelType w:val="hybridMultilevel"/>
    <w:tmpl w:val="AA285D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1B6E53D"/>
    <w:rsid w:val="000C1671"/>
    <w:rsid w:val="000D5881"/>
    <w:rsid w:val="000F6B5E"/>
    <w:rsid w:val="001B25CE"/>
    <w:rsid w:val="001E5088"/>
    <w:rsid w:val="002F27EC"/>
    <w:rsid w:val="0033054C"/>
    <w:rsid w:val="003638F9"/>
    <w:rsid w:val="003932D1"/>
    <w:rsid w:val="003B60B8"/>
    <w:rsid w:val="00487FB0"/>
    <w:rsid w:val="004C648E"/>
    <w:rsid w:val="00502A9C"/>
    <w:rsid w:val="00507F36"/>
    <w:rsid w:val="005607DF"/>
    <w:rsid w:val="005911AC"/>
    <w:rsid w:val="0062015A"/>
    <w:rsid w:val="006D6A40"/>
    <w:rsid w:val="00723AFB"/>
    <w:rsid w:val="00770394"/>
    <w:rsid w:val="007C5EDF"/>
    <w:rsid w:val="007C7F81"/>
    <w:rsid w:val="008D11B1"/>
    <w:rsid w:val="00905DEE"/>
    <w:rsid w:val="00912BD4"/>
    <w:rsid w:val="00942D43"/>
    <w:rsid w:val="00AE2FA7"/>
    <w:rsid w:val="00C1317E"/>
    <w:rsid w:val="00C65FFE"/>
    <w:rsid w:val="00C73C42"/>
    <w:rsid w:val="00C83A11"/>
    <w:rsid w:val="00CC0CAD"/>
    <w:rsid w:val="00CE5DAC"/>
    <w:rsid w:val="00D41C15"/>
    <w:rsid w:val="00D56DEA"/>
    <w:rsid w:val="00FE65D9"/>
    <w:rsid w:val="21B6E53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6E53D"/>
  <w15:chartTrackingRefBased/>
  <w15:docId w15:val="{ABB3C74C-8D9E-4293-BEBA-3FFF02BA7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7F36"/>
    <w:pPr>
      <w:spacing w:line="360" w:lineRule="auto"/>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07F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507F36"/>
    <w:pPr>
      <w:spacing w:line="240" w:lineRule="auto"/>
    </w:pPr>
    <w:rPr>
      <w:szCs w:val="24"/>
    </w:rPr>
  </w:style>
  <w:style w:type="character" w:customStyle="1" w:styleId="CommentTextChar">
    <w:name w:val="Comment Text Char"/>
    <w:basedOn w:val="DefaultParagraphFont"/>
    <w:link w:val="CommentText"/>
    <w:uiPriority w:val="99"/>
    <w:rsid w:val="00507F36"/>
    <w:rPr>
      <w:rFonts w:ascii="Times New Roman" w:hAnsi="Times New Roman"/>
      <w:sz w:val="24"/>
      <w:szCs w:val="24"/>
    </w:rPr>
  </w:style>
  <w:style w:type="character" w:styleId="CommentReference">
    <w:name w:val="annotation reference"/>
    <w:basedOn w:val="DefaultParagraphFont"/>
    <w:uiPriority w:val="99"/>
    <w:semiHidden/>
    <w:unhideWhenUsed/>
    <w:rsid w:val="00507F36"/>
    <w:rPr>
      <w:sz w:val="18"/>
      <w:szCs w:val="18"/>
    </w:rPr>
  </w:style>
  <w:style w:type="paragraph" w:styleId="BalloonText">
    <w:name w:val="Balloon Text"/>
    <w:basedOn w:val="Normal"/>
    <w:link w:val="BalloonTextChar"/>
    <w:uiPriority w:val="99"/>
    <w:semiHidden/>
    <w:unhideWhenUsed/>
    <w:rsid w:val="00507F36"/>
    <w:pPr>
      <w:spacing w:after="0" w:line="240" w:lineRule="auto"/>
    </w:pPr>
    <w:rPr>
      <w:rFonts w:cs="Times New Roman"/>
      <w:sz w:val="18"/>
      <w:szCs w:val="18"/>
    </w:rPr>
  </w:style>
  <w:style w:type="character" w:customStyle="1" w:styleId="BalloonTextChar">
    <w:name w:val="Balloon Text Char"/>
    <w:basedOn w:val="DefaultParagraphFont"/>
    <w:link w:val="BalloonText"/>
    <w:uiPriority w:val="99"/>
    <w:semiHidden/>
    <w:rsid w:val="00507F36"/>
    <w:rPr>
      <w:rFonts w:ascii="Times New Roman" w:hAnsi="Times New Roman" w:cs="Times New Roman"/>
      <w:sz w:val="18"/>
      <w:szCs w:val="18"/>
    </w:rPr>
  </w:style>
  <w:style w:type="paragraph" w:styleId="ListParagraph">
    <w:name w:val="List Paragraph"/>
    <w:basedOn w:val="Normal"/>
    <w:uiPriority w:val="34"/>
    <w:qFormat/>
    <w:rsid w:val="0062015A"/>
    <w:pPr>
      <w:ind w:left="720"/>
      <w:contextualSpacing/>
    </w:pPr>
  </w:style>
  <w:style w:type="table" w:styleId="GridTable1Light-Accent1">
    <w:name w:val="Grid Table 1 Light Accent 1"/>
    <w:basedOn w:val="TableNormal"/>
    <w:uiPriority w:val="46"/>
    <w:rsid w:val="006D6A40"/>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9A127-7D0D-4F89-9F20-8007A077D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6281</Words>
  <Characters>50883</Characters>
  <Application>Microsoft Office Word</Application>
  <DocSecurity>0</DocSecurity>
  <Lines>424</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Ahinko, Mira</dc:creator>
  <cp:keywords/>
  <dc:description/>
  <cp:lastModifiedBy>Risto Juvonen</cp:lastModifiedBy>
  <cp:revision>2</cp:revision>
  <cp:lastPrinted>2018-09-24T13:37:00Z</cp:lastPrinted>
  <dcterms:created xsi:type="dcterms:W3CDTF">2018-09-24T13:59:00Z</dcterms:created>
  <dcterms:modified xsi:type="dcterms:W3CDTF">2018-09-24T13:59:00Z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http://www.zotero.org/styles/boreal-environment-research</vt:lpwstr>
  </property>
  <property fmtid="{D5CDD505-2E9C-101B-9397-08002B2CF9AE}" pid="9" name="Mendeley Recent Style Name 3_1">
    <vt:lpwstr>Boreal Environment Research</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http://www.zotero.org/styles/frontiers-in-pharmacology</vt:lpwstr>
  </property>
  <property fmtid="{D5CDD505-2E9C-101B-9397-08002B2CF9AE}" pid="13" name="Mendeley Recent Style Name 5_1">
    <vt:lpwstr>Frontiers in Pharmacology</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(author-date)</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http://www.zotero.org/styles/journal-of-the-american-chemical-society</vt:lpwstr>
  </property>
  <property fmtid="{D5CDD505-2E9C-101B-9397-08002B2CF9AE}" pid="19" name="Mendeley Recent Style Name 8_1">
    <vt:lpwstr>Journal of the American Chemical Society</vt:lpwstr>
  </property>
  <property fmtid="{D5CDD505-2E9C-101B-9397-08002B2CF9AE}" pid="20" name="Mendeley Recent Style Id 9_1">
    <vt:lpwstr>http://www.zotero.org/styles/modern-humanities-research-association</vt:lpwstr>
  </property>
  <property fmtid="{D5CDD505-2E9C-101B-9397-08002B2CF9AE}" pid="21" name="Mendeley Recent Style Name 9_1">
    <vt:lpwstr>Modern Humanities Research Association 3rd edition (note with bibliography)</vt:lpwstr>
  </property>
  <property fmtid="{D5CDD505-2E9C-101B-9397-08002B2CF9AE}" pid="22" name="Mendeley Document_1">
    <vt:lpwstr>True</vt:lpwstr>
  </property>
  <property fmtid="{D5CDD505-2E9C-101B-9397-08002B2CF9AE}" pid="23" name="Mendeley Unique User Id_1">
    <vt:lpwstr>7ade7803-1862-3eda-9f86-beb554c74c18</vt:lpwstr>
  </property>
  <property fmtid="{D5CDD505-2E9C-101B-9397-08002B2CF9AE}" pid="24" name="Mendeley Citation Style_1">
    <vt:lpwstr>http://www.zotero.org/styles/harvard1</vt:lpwstr>
  </property>
</Properties>
</file>