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A0B1E" w14:textId="77777777" w:rsidR="00FC7BE1" w:rsidRDefault="00821C34" w:rsidP="00FC7BE1">
      <w:pPr>
        <w:spacing w:line="360" w:lineRule="auto"/>
        <w:rPr>
          <w:rFonts w:ascii="Times New Roman" w:hAnsi="Times New Roman" w:cs="Times New Roman"/>
          <w:b/>
          <w:sz w:val="36"/>
        </w:rPr>
      </w:pPr>
      <w:r w:rsidRPr="007218AC">
        <w:rPr>
          <w:rFonts w:ascii="Times New Roman" w:hAnsi="Times New Roman" w:cs="Times New Roman"/>
          <w:b/>
          <w:sz w:val="36"/>
        </w:rPr>
        <w:t>Supplementary Information</w:t>
      </w:r>
    </w:p>
    <w:p w14:paraId="1931CE3B" w14:textId="5B8F8DE1" w:rsidR="00FC7BE1" w:rsidRDefault="00FC7BE1" w:rsidP="00FC7BE1">
      <w:pPr>
        <w:spacing w:before="120" w:after="120" w:line="360" w:lineRule="auto"/>
        <w:jc w:val="both"/>
        <w:rPr>
          <w:rFonts w:ascii="Calisto MT" w:hAnsi="Calisto MT" w:cs="Calibri Light"/>
          <w:sz w:val="24"/>
        </w:rPr>
      </w:pPr>
      <w:r w:rsidRPr="00FC7BE1">
        <w:rPr>
          <w:rFonts w:ascii="Calisto MT" w:hAnsi="Calisto MT" w:cs="Calibri Light"/>
          <w:i/>
          <w:sz w:val="24"/>
        </w:rPr>
        <w:t>De novo</w:t>
      </w:r>
      <w:r w:rsidRPr="00FC7BE1">
        <w:rPr>
          <w:rFonts w:ascii="Calisto MT" w:hAnsi="Calisto MT" w:cs="Calibri Light"/>
          <w:sz w:val="24"/>
        </w:rPr>
        <w:t xml:space="preserve"> genotyping of the MHC in an Australian dragon lizard aided by family group data</w:t>
      </w:r>
    </w:p>
    <w:p w14:paraId="2D42CB54" w14:textId="3E2FEE71" w:rsidR="00FC7BE1" w:rsidRPr="00FC7BE1" w:rsidRDefault="00FC7BE1" w:rsidP="00FC7BE1">
      <w:pPr>
        <w:spacing w:before="120" w:after="120" w:line="360" w:lineRule="auto"/>
        <w:jc w:val="both"/>
        <w:rPr>
          <w:rFonts w:ascii="Calisto MT" w:hAnsi="Calisto MT"/>
          <w:sz w:val="32"/>
          <w:szCs w:val="28"/>
        </w:rPr>
      </w:pPr>
      <w:r w:rsidRPr="00FC7BE1">
        <w:rPr>
          <w:rFonts w:ascii="Calisto MT" w:hAnsi="Calisto MT" w:cs="Calibri Light"/>
        </w:rPr>
        <w:t>Hacking, J., Bradford, T., Pierce, K., Gardner, M.</w:t>
      </w:r>
    </w:p>
    <w:p w14:paraId="403FBE11" w14:textId="3B83DEB7" w:rsidR="002940BE" w:rsidRPr="00FC7BE1" w:rsidRDefault="00821C34" w:rsidP="00FC7BE1">
      <w:pPr>
        <w:spacing w:line="360" w:lineRule="auto"/>
        <w:rPr>
          <w:rFonts w:asciiTheme="majorHAnsi" w:hAnsiTheme="majorHAnsi" w:cstheme="majorHAnsi"/>
          <w:b/>
        </w:rPr>
      </w:pPr>
      <w:r w:rsidRPr="007218AC">
        <w:rPr>
          <w:rFonts w:ascii="Times New Roman" w:hAnsi="Times New Roman" w:cs="Times New Roman"/>
          <w:b/>
          <w:sz w:val="36"/>
        </w:rPr>
        <w:t xml:space="preserve"> </w:t>
      </w:r>
    </w:p>
    <w:p w14:paraId="5D01EFE7" w14:textId="1C8D9532" w:rsidR="00C04AA9" w:rsidRDefault="00571C18" w:rsidP="00FC7BE1">
      <w:pPr>
        <w:spacing w:before="120" w:after="120" w:line="360" w:lineRule="auto"/>
        <w:jc w:val="both"/>
        <w:rPr>
          <w:rFonts w:ascii="Calisto MT" w:hAnsi="Calisto MT" w:cstheme="majorHAnsi"/>
          <w:i/>
          <w:sz w:val="24"/>
        </w:rPr>
      </w:pPr>
      <w:r>
        <w:rPr>
          <w:rFonts w:ascii="Calisto MT" w:hAnsi="Calisto MT" w:cstheme="majorHAnsi"/>
          <w:i/>
          <w:sz w:val="24"/>
        </w:rPr>
        <w:t xml:space="preserve">Introduction: </w:t>
      </w:r>
      <w:r w:rsidR="00C04AA9">
        <w:rPr>
          <w:rFonts w:ascii="Calisto MT" w:hAnsi="Calisto MT" w:cstheme="majorHAnsi"/>
          <w:i/>
          <w:sz w:val="24"/>
        </w:rPr>
        <w:t>Details on the AmpliSAS genotyping method</w:t>
      </w:r>
    </w:p>
    <w:p w14:paraId="0D530AA5" w14:textId="1F3303A8" w:rsidR="00C04AA9" w:rsidRPr="00C876EF" w:rsidRDefault="00C04AA9" w:rsidP="00C04AA9">
      <w:pPr>
        <w:spacing w:before="120" w:after="120" w:line="480" w:lineRule="auto"/>
        <w:jc w:val="both"/>
        <w:rPr>
          <w:rFonts w:asciiTheme="majorHAnsi" w:hAnsiTheme="majorHAnsi" w:cstheme="majorHAnsi"/>
        </w:rPr>
      </w:pPr>
      <w:r w:rsidRPr="00C876EF">
        <w:rPr>
          <w:rFonts w:asciiTheme="majorHAnsi" w:hAnsiTheme="majorHAnsi" w:cstheme="majorHAnsi"/>
        </w:rPr>
        <w:t xml:space="preserve">During AmpliSAS clustering genotypes are resolved on an amplicon-by-amplicon basis; taking into account unequal amplification among samples and among alleles, rather than applying a global read depth frequency threshold (first and fourth issue, table 1). Variants are ordered by read depth and each variant either forms a cluster and becomes a dominant sequence, or is deemed an artefact sequence based on clustering parameters. Clustering parameters include user-defined substitution and indel error rates, sequence length parameters, and a dominance frequency threshold at which a sequence within a cluster is allowed to form its own cluster, becoming another dominant sequence. Dominant sequences that then pass user-defined filtering parameters, such as excluding very low frequency variants and chimeras, are considered true alleles. When a variant is classified as an artefact its read depth is added to that of the dominant sequence from which it likely originated. This helps to separate true alleles that have lower read depths and artefact sequences that occur at higher frequencies (second issue, table 1). Finally, the dominance frequency threshold applied within clusters allows the discrimination of true alleles that are relatively similar (third issue, table 1). In addition, the AmpliCHECK pre-genotyping tool, which is also part of the AmpliSAT suite </w:t>
      </w:r>
      <w:r w:rsidRPr="00C876EF">
        <w:rPr>
          <w:rFonts w:asciiTheme="majorHAnsi" w:hAnsiTheme="majorHAnsi" w:cstheme="majorHAnsi"/>
        </w:rPr>
        <w:fldChar w:fldCharType="begin"/>
      </w:r>
      <w:r w:rsidRPr="00C876EF">
        <w:rPr>
          <w:rFonts w:asciiTheme="majorHAnsi" w:hAnsiTheme="majorHAnsi" w:cstheme="majorHAnsi"/>
        </w:rPr>
        <w:instrText xml:space="preserve"> ADDIN EN.CITE &lt;EndNote&gt;&lt;Cite&gt;&lt;Author&gt;Sebastian&lt;/Author&gt;&lt;Year&gt;2016&lt;/Year&gt;&lt;RecNum&gt;2464&lt;/RecNum&gt;&lt;DisplayText&gt;(Sebastian, Herdegen, Migalska, &amp;amp; Radwan, 2016)&lt;/DisplayText&gt;&lt;record&gt;&lt;rec-number&gt;2464&lt;/rec-number&gt;&lt;foreign-keys&gt;&lt;key app="EN" db-id="9tvdvttdw2vdzzefs985swtw5arfx559r0fd" timestamp="0"&gt;2464&lt;/key&gt;&lt;/foreign-keys&gt;&lt;ref-type name="Journal Article"&gt;17&lt;/ref-type&gt;&lt;contributors&gt;&lt;authors&gt;&lt;author&gt;Sebastian, A&lt;/author&gt;&lt;author&gt;Herdegen, M.&lt;/author&gt;&lt;author&gt;Migalska, M&lt;/author&gt;&lt;author&gt;Radwan, Jacek&lt;/author&gt;&lt;/authors&gt;&lt;/contributors&gt;&lt;titles&gt;&lt;title&gt;AMPLISAS: a web server for multilocus genotyping using next-generation amplicon sequencing data&lt;/title&gt;&lt;secondary-title&gt;Molecular Ecology&lt;/secondary-title&gt;&lt;/titles&gt;&lt;periodical&gt;&lt;full-title&gt;Molecular Ecology&lt;/full-title&gt;&lt;abbr-1&gt;Molecular ecology&lt;/abbr-1&gt;&lt;/periodical&gt;&lt;pages&gt;498–510&lt;/pages&gt;&lt;volume&gt;16&lt;/volume&gt;&lt;number&gt;2&lt;/number&gt;&lt;dates&gt;&lt;year&gt;2016&lt;/year&gt;&lt;/dates&gt;&lt;urls&gt;&lt;/urls&gt;&lt;/record&gt;&lt;/Cite&gt;&lt;/EndNote&gt;</w:instrText>
      </w:r>
      <w:r w:rsidRPr="00C876EF">
        <w:rPr>
          <w:rFonts w:asciiTheme="majorHAnsi" w:hAnsiTheme="majorHAnsi" w:cstheme="majorHAnsi"/>
        </w:rPr>
        <w:fldChar w:fldCharType="separate"/>
      </w:r>
      <w:r w:rsidRPr="00C876EF">
        <w:rPr>
          <w:rFonts w:asciiTheme="majorHAnsi" w:hAnsiTheme="majorHAnsi" w:cstheme="majorHAnsi"/>
          <w:noProof/>
        </w:rPr>
        <w:t>(</w:t>
      </w:r>
      <w:hyperlink w:anchor="_ENREF_7" w:tooltip="Sebastian, 2016 #2464" w:history="1">
        <w:r w:rsidRPr="00C876EF">
          <w:rPr>
            <w:rFonts w:asciiTheme="majorHAnsi" w:hAnsiTheme="majorHAnsi" w:cstheme="majorHAnsi"/>
            <w:noProof/>
          </w:rPr>
          <w:t>Sebastian, Herdegen, Migalska, &amp; Radwan, 2016</w:t>
        </w:r>
      </w:hyperlink>
      <w:r w:rsidRPr="00C876EF">
        <w:rPr>
          <w:rFonts w:asciiTheme="majorHAnsi" w:hAnsiTheme="majorHAnsi" w:cstheme="majorHAnsi"/>
          <w:noProof/>
        </w:rPr>
        <w:t>)</w:t>
      </w:r>
      <w:r w:rsidRPr="00C876EF">
        <w:rPr>
          <w:rFonts w:asciiTheme="majorHAnsi" w:hAnsiTheme="majorHAnsi" w:cstheme="majorHAnsi"/>
        </w:rPr>
        <w:fldChar w:fldCharType="end"/>
      </w:r>
      <w:r w:rsidRPr="00C876EF">
        <w:rPr>
          <w:rFonts w:asciiTheme="majorHAnsi" w:hAnsiTheme="majorHAnsi" w:cstheme="majorHAnsi"/>
        </w:rPr>
        <w:t xml:space="preserve">, is extremely useful for </w:t>
      </w:r>
      <w:r w:rsidRPr="00C876EF">
        <w:rPr>
          <w:rFonts w:asciiTheme="majorHAnsi" w:hAnsiTheme="majorHAnsi" w:cstheme="majorHAnsi"/>
          <w:i/>
        </w:rPr>
        <w:t>de novo</w:t>
      </w:r>
      <w:r w:rsidRPr="00C876EF">
        <w:rPr>
          <w:rFonts w:asciiTheme="majorHAnsi" w:hAnsiTheme="majorHAnsi" w:cstheme="majorHAnsi"/>
        </w:rPr>
        <w:t xml:space="preserve"> genotyping in non-model systems as it provides preliminary information on amplicon read depth, variant frequencies and estimated error rates.</w:t>
      </w:r>
    </w:p>
    <w:p w14:paraId="3D30959A" w14:textId="77777777" w:rsidR="00C04AA9" w:rsidRDefault="00C04AA9" w:rsidP="00FC7BE1">
      <w:pPr>
        <w:spacing w:before="120" w:after="120" w:line="360" w:lineRule="auto"/>
        <w:jc w:val="both"/>
        <w:rPr>
          <w:rFonts w:ascii="Calisto MT" w:hAnsi="Calisto MT" w:cstheme="majorHAnsi"/>
          <w:i/>
          <w:sz w:val="24"/>
        </w:rPr>
      </w:pPr>
    </w:p>
    <w:p w14:paraId="7E073102" w14:textId="2959E1C7" w:rsidR="002940BE" w:rsidRPr="00FC7BE1" w:rsidRDefault="00CE5B8C" w:rsidP="00FC7BE1">
      <w:pPr>
        <w:spacing w:before="120" w:after="120" w:line="360" w:lineRule="auto"/>
        <w:jc w:val="both"/>
        <w:rPr>
          <w:rFonts w:ascii="Calisto MT" w:hAnsi="Calisto MT" w:cstheme="majorHAnsi"/>
          <w:i/>
          <w:sz w:val="24"/>
        </w:rPr>
      </w:pPr>
      <w:r>
        <w:rPr>
          <w:rFonts w:ascii="Calisto MT" w:hAnsi="Calisto MT" w:cstheme="majorHAnsi"/>
          <w:i/>
          <w:sz w:val="24"/>
        </w:rPr>
        <w:t xml:space="preserve">Materials and Methods: </w:t>
      </w:r>
      <w:r w:rsidR="002940BE" w:rsidRPr="00FC7BE1">
        <w:rPr>
          <w:rFonts w:ascii="Calisto MT" w:hAnsi="Calisto MT" w:cstheme="majorHAnsi"/>
          <w:i/>
          <w:sz w:val="24"/>
        </w:rPr>
        <w:t>Illumina MiSeq library preparation</w:t>
      </w:r>
    </w:p>
    <w:p w14:paraId="0214ED9A" w14:textId="394C3CFC" w:rsidR="00C3364B" w:rsidRPr="00FC7BE1" w:rsidRDefault="00C3364B" w:rsidP="00FC7BE1">
      <w:pPr>
        <w:spacing w:before="120" w:after="120" w:line="360" w:lineRule="auto"/>
        <w:jc w:val="both"/>
        <w:rPr>
          <w:rFonts w:asciiTheme="majorHAnsi" w:hAnsiTheme="majorHAnsi" w:cstheme="majorHAnsi"/>
        </w:rPr>
      </w:pPr>
      <w:r w:rsidRPr="00FC7BE1">
        <w:rPr>
          <w:rFonts w:asciiTheme="majorHAnsi" w:hAnsiTheme="majorHAnsi" w:cstheme="majorHAnsi"/>
        </w:rPr>
        <w:t xml:space="preserve">A two-step PCR protocol was used to prepare a MiSeq sequencing library following </w:t>
      </w:r>
      <w:hyperlink w:anchor="_ENREF_6" w:tooltip="Pearson, 2016 #2537" w:history="1">
        <w:r w:rsidR="00C04AA9" w:rsidRPr="00FC7BE1">
          <w:rPr>
            <w:rFonts w:asciiTheme="majorHAnsi" w:hAnsiTheme="majorHAnsi" w:cstheme="majorHAnsi"/>
          </w:rPr>
          <w:fldChar w:fldCharType="begin"/>
        </w:r>
        <w:r w:rsidR="00C04AA9" w:rsidRPr="00FC7BE1">
          <w:rPr>
            <w:rFonts w:asciiTheme="majorHAnsi" w:hAnsiTheme="majorHAnsi" w:cstheme="majorHAnsi"/>
          </w:rPr>
          <w:instrText xml:space="preserve"> ADDIN EN.CITE &lt;EndNote&gt;&lt;Cite AuthorYear="1"&gt;&lt;Author&gt;Pearson&lt;/Author&gt;&lt;Year&gt;2016&lt;/Year&gt;&lt;RecNum&gt;2537&lt;/RecNum&gt;&lt;DisplayText&gt;Pearson, Bradford, Ansari, Bull, &amp;amp;  Gardner (2016)&lt;/DisplayText&gt;&lt;record&gt;&lt;rec-number&gt;2537&lt;/rec-number&gt;&lt;foreign-keys&gt;&lt;key app="EN" db-id="9tvdvttdw2vdzzefs985swtw5arfx559r0fd" timestamp="0"&gt;2537&lt;/key&gt;&lt;/foreign-keys&gt;&lt;ref-type name="Journal Article"&gt;17&lt;/ref-type&gt;&lt;contributors&gt;&lt;authors&gt;&lt;author&gt;Pearson, SK&lt;/author&gt;&lt;author&gt;Bradford, TM&lt;/author&gt;&lt;author&gt;Ansari, TH&lt;/author&gt;&lt;author&gt;Bull, M&lt;/author&gt;&lt;author&gt;Gardner, M&lt;/author&gt;&lt;/authors&gt;&lt;/contributors&gt;&lt;titles&gt;&lt;title&gt;&lt;style face="normal" font="default" size="100%"&gt;MHC genotyping from next-generation sequencing: detailed methodology for the gidgee skink, &lt;/style&gt;&lt;style face="italic" font="default" size="100%"&gt;Egernia stokesii&lt;/style&gt;&lt;/title&gt;&lt;secondary-title&gt;Transactions of the Royal Society of South Australia&lt;/secondary-title&gt;&lt;/titles&gt;&lt;pages&gt;244-262&lt;/pages&gt;&lt;volume&gt;140&lt;/volume&gt;&lt;number&gt;2&lt;/number&gt;&lt;dates&gt;&lt;year&gt;2016&lt;/year&gt;&lt;/dates&gt;&lt;urls&gt;&lt;/urls&gt;&lt;/record&gt;&lt;/Cite&gt;&lt;/EndNote&gt;</w:instrText>
        </w:r>
        <w:r w:rsidR="00C04AA9" w:rsidRPr="00FC7BE1">
          <w:rPr>
            <w:rFonts w:asciiTheme="majorHAnsi" w:hAnsiTheme="majorHAnsi" w:cstheme="majorHAnsi"/>
          </w:rPr>
          <w:fldChar w:fldCharType="separate"/>
        </w:r>
        <w:r w:rsidR="00C04AA9" w:rsidRPr="00FC7BE1">
          <w:rPr>
            <w:rFonts w:asciiTheme="majorHAnsi" w:hAnsiTheme="majorHAnsi" w:cstheme="majorHAnsi"/>
            <w:noProof/>
          </w:rPr>
          <w:t>Pearson, Bradford, Ansari, Bull, &amp;  Gardner (2016)</w:t>
        </w:r>
        <w:r w:rsidR="00C04AA9" w:rsidRPr="00FC7BE1">
          <w:rPr>
            <w:rFonts w:asciiTheme="majorHAnsi" w:hAnsiTheme="majorHAnsi" w:cstheme="majorHAnsi"/>
          </w:rPr>
          <w:fldChar w:fldCharType="end"/>
        </w:r>
      </w:hyperlink>
      <w:r w:rsidRPr="00FC7BE1">
        <w:rPr>
          <w:rFonts w:asciiTheme="majorHAnsi" w:hAnsiTheme="majorHAnsi" w:cstheme="majorHAnsi"/>
        </w:rPr>
        <w:t xml:space="preserve">. MHC-targeting primers were used in the first PCR, followed by a second PCR to add Illumina sequencing adapters and sample indexes. MHC-targeting primers were designed </w:t>
      </w:r>
      <w:r w:rsidRPr="00FC7BE1">
        <w:rPr>
          <w:rFonts w:asciiTheme="majorHAnsi" w:hAnsiTheme="majorHAnsi" w:cstheme="majorHAnsi"/>
        </w:rPr>
        <w:lastRenderedPageBreak/>
        <w:t xml:space="preserve">for α1 and α2 based on </w:t>
      </w:r>
      <w:r w:rsidRPr="00FC7BE1">
        <w:rPr>
          <w:rFonts w:asciiTheme="majorHAnsi" w:hAnsiTheme="majorHAnsi" w:cstheme="majorHAnsi"/>
          <w:i/>
        </w:rPr>
        <w:t>C. decresii</w:t>
      </w:r>
      <w:r w:rsidRPr="00FC7BE1">
        <w:rPr>
          <w:rFonts w:asciiTheme="majorHAnsi" w:hAnsiTheme="majorHAnsi" w:cstheme="majorHAnsi"/>
        </w:rPr>
        <w:t xml:space="preserve"> transcriptome data </w:t>
      </w:r>
      <w:r w:rsidRPr="00FC7BE1">
        <w:rPr>
          <w:rFonts w:asciiTheme="majorHAnsi" w:hAnsiTheme="majorHAnsi" w:cstheme="majorHAnsi"/>
        </w:rPr>
        <w:fldChar w:fldCharType="begin"/>
      </w:r>
      <w:r w:rsidR="00BB6FCF" w:rsidRPr="00FC7BE1">
        <w:rPr>
          <w:rFonts w:asciiTheme="majorHAnsi" w:hAnsiTheme="majorHAnsi" w:cstheme="majorHAnsi"/>
        </w:rPr>
        <w:instrText xml:space="preserve"> ADDIN EN.CITE &lt;EndNote&gt;&lt;Cite&gt;&lt;Author&gt;Hacking&lt;/Author&gt;&lt;Year&gt;2017&lt;/Year&gt;&lt;RecNum&gt;3419&lt;/RecNum&gt;&lt;Prefix&gt;table S2`, &lt;/Prefix&gt;&lt;DisplayText&gt;(table S2, Hacking, Bertozzi, Moussalli, Bradford, &amp;amp; Gardner, 2017)&lt;/DisplayText&gt;&lt;record&gt;&lt;rec-number&gt;3419&lt;/rec-number&gt;&lt;foreign-keys&gt;&lt;key app="EN" db-id="9tvdvttdw2vdzzefs985swtw5arfx559r0fd" timestamp="0"&gt;3419&lt;/key&gt;&lt;/foreign-keys&gt;&lt;ref-type name="Journal Article"&gt;17&lt;/ref-type&gt;&lt;contributors&gt;&lt;authors&gt;&lt;author&gt;Hacking, J. D.&lt;/author&gt;&lt;author&gt;Bertozzi, T.&lt;/author&gt;&lt;author&gt;Moussalli, A.&lt;/author&gt;&lt;author&gt;Bradford, T. M.&lt;/author&gt;&lt;author&gt;Gardner, M. G.&lt;/author&gt;&lt;/authors&gt;&lt;/contributors&gt;&lt;titles&gt;&lt;title&gt;Characterization of major histocompatibility complex class I transcripts in an Australian dragon lizard&lt;/title&gt;&lt;secondary-title&gt;Manuscript submitted for publication&lt;/secondary-title&gt;&lt;/titles&gt;&lt;dates&gt;&lt;year&gt;2017&lt;/year&gt;&lt;/dates&gt;&lt;urls&gt;&lt;/urls&gt;&lt;/record&gt;&lt;/Cite&gt;&lt;/EndNote&gt;</w:instrText>
      </w:r>
      <w:r w:rsidRPr="00FC7BE1">
        <w:rPr>
          <w:rFonts w:asciiTheme="majorHAnsi" w:hAnsiTheme="majorHAnsi" w:cstheme="majorHAnsi"/>
        </w:rPr>
        <w:fldChar w:fldCharType="separate"/>
      </w:r>
      <w:r w:rsidR="00381A41" w:rsidRPr="00FC7BE1">
        <w:rPr>
          <w:rFonts w:asciiTheme="majorHAnsi" w:hAnsiTheme="majorHAnsi" w:cstheme="majorHAnsi"/>
          <w:noProof/>
        </w:rPr>
        <w:t>(</w:t>
      </w:r>
      <w:hyperlink w:anchor="_ENREF_2" w:tooltip="Hacking, 2017 #3419" w:history="1">
        <w:r w:rsidR="00C04AA9" w:rsidRPr="00FC7BE1">
          <w:rPr>
            <w:rFonts w:asciiTheme="majorHAnsi" w:hAnsiTheme="majorHAnsi" w:cstheme="majorHAnsi"/>
            <w:noProof/>
          </w:rPr>
          <w:t>table S2, Hacking, Bertozzi, Moussalli, Bradford, &amp; Gardner, 2017</w:t>
        </w:r>
      </w:hyperlink>
      <w:r w:rsidR="00381A41" w:rsidRPr="00FC7BE1">
        <w:rPr>
          <w:rFonts w:asciiTheme="majorHAnsi" w:hAnsiTheme="majorHAnsi" w:cstheme="majorHAnsi"/>
          <w:noProof/>
        </w:rPr>
        <w:t>)</w:t>
      </w:r>
      <w:r w:rsidRPr="00FC7BE1">
        <w:rPr>
          <w:rFonts w:asciiTheme="majorHAnsi" w:hAnsiTheme="majorHAnsi" w:cstheme="majorHAnsi"/>
        </w:rPr>
        <w:fldChar w:fldCharType="end"/>
      </w:r>
      <w:r w:rsidRPr="00FC7BE1">
        <w:rPr>
          <w:rFonts w:asciiTheme="majorHAnsi" w:hAnsiTheme="majorHAnsi" w:cstheme="majorHAnsi"/>
        </w:rPr>
        <w:t xml:space="preserve"> using </w:t>
      </w:r>
      <w:r w:rsidRPr="00FC7BE1">
        <w:rPr>
          <w:rFonts w:asciiTheme="majorHAnsi" w:hAnsiTheme="majorHAnsi" w:cstheme="majorHAnsi"/>
          <w:color w:val="131413"/>
        </w:rPr>
        <w:t xml:space="preserve">Primer 3 ver. 2.3.4 </w:t>
      </w:r>
      <w:r w:rsidRPr="00FC7BE1">
        <w:rPr>
          <w:rFonts w:asciiTheme="majorHAnsi" w:hAnsiTheme="majorHAnsi" w:cstheme="majorHAnsi"/>
          <w:color w:val="131413"/>
        </w:rPr>
        <w:fldChar w:fldCharType="begin"/>
      </w:r>
      <w:r w:rsidR="00381A41" w:rsidRPr="00FC7BE1">
        <w:rPr>
          <w:rFonts w:asciiTheme="majorHAnsi" w:hAnsiTheme="majorHAnsi" w:cstheme="majorHAnsi"/>
          <w:color w:val="131413"/>
        </w:rPr>
        <w:instrText xml:space="preserve"> ADDIN EN.CITE &lt;EndNote&gt;&lt;Cite&gt;&lt;Author&gt;Untergasser&lt;/Author&gt;&lt;Year&gt;2012&lt;/Year&gt;&lt;RecNum&gt;2660&lt;/RecNum&gt;&lt;DisplayText&gt;(Untergasser et al., 2012)&lt;/DisplayText&gt;&lt;record&gt;&lt;rec-number&gt;2660&lt;/rec-number&gt;&lt;foreign-keys&gt;&lt;key app="EN" db-id="9tvdvttdw2vdzzefs985swtw5arfx559r0fd" timestamp="0"&gt;2660&lt;/key&gt;&lt;/foreign-keys&gt;&lt;ref-type name="Journal Article"&gt;17&lt;/ref-type&gt;&lt;contributors&gt;&lt;authors&gt;&lt;author&gt;Untergasser, Andreas&lt;/author&gt;&lt;author&gt;Cutcutache, Ioana&lt;/author&gt;&lt;author&gt;Koressaar, Triinu&lt;/author&gt;&lt;author&gt;Ye, Jian&lt;/author&gt;&lt;author&gt;Faircloth, Brant C.&lt;/author&gt;&lt;author&gt;Remm, Maido&lt;/author&gt;&lt;author&gt;Rozen, Steven G.&lt;/author&gt;&lt;/authors&gt;&lt;/contributors&gt;&lt;titles&gt;&lt;title&gt;Primer3—new capabilities and interfaces&lt;/title&gt;&lt;secondary-title&gt;Nucleic Acids Research&lt;/secondary-title&gt;&lt;/titles&gt;&lt;pages&gt;e115-e115&lt;/pages&gt;&lt;volume&gt;40&lt;/volume&gt;&lt;number&gt;15&lt;/number&gt;&lt;dates&gt;&lt;year&gt;2012&lt;/year&gt;&lt;pub-dates&gt;&lt;date&gt;06/21&amp;#xD;04/27/received&amp;#xD;05/21/revised&amp;#xD;05/26/accepted&lt;/date&gt;&lt;/pub-dates&gt;&lt;/dates&gt;&lt;publisher&gt;Oxford University Press&lt;/publisher&gt;&lt;isbn&gt;0305-1048&amp;#xD;1362-4962&lt;/isbn&gt;&lt;accession-num&gt;PMC3424584&lt;/accession-num&gt;&lt;urls&gt;&lt;related-urls&gt;&lt;url&gt;http://www.ncbi.nlm.nih.gov/pmc/articles/PMC3424584/&lt;/url&gt;&lt;/related-urls&gt;&lt;/urls&gt;&lt;electronic-resource-num&gt;10.1093/nar/gks596&lt;/electronic-resource-num&gt;&lt;remote-database-name&gt;PMC&lt;/remote-database-name&gt;&lt;/record&gt;&lt;/Cite&gt;&lt;/EndNote&gt;</w:instrText>
      </w:r>
      <w:r w:rsidRPr="00FC7BE1">
        <w:rPr>
          <w:rFonts w:asciiTheme="majorHAnsi" w:hAnsiTheme="majorHAnsi" w:cstheme="majorHAnsi"/>
          <w:color w:val="131413"/>
        </w:rPr>
        <w:fldChar w:fldCharType="separate"/>
      </w:r>
      <w:r w:rsidR="00381A41" w:rsidRPr="00FC7BE1">
        <w:rPr>
          <w:rFonts w:asciiTheme="majorHAnsi" w:hAnsiTheme="majorHAnsi" w:cstheme="majorHAnsi"/>
          <w:noProof/>
          <w:color w:val="131413"/>
        </w:rPr>
        <w:t>(</w:t>
      </w:r>
      <w:hyperlink w:anchor="_ENREF_9" w:tooltip="Untergasser, 2012 #2660" w:history="1">
        <w:r w:rsidR="00C04AA9" w:rsidRPr="00FC7BE1">
          <w:rPr>
            <w:rFonts w:asciiTheme="majorHAnsi" w:hAnsiTheme="majorHAnsi" w:cstheme="majorHAnsi"/>
            <w:noProof/>
            <w:color w:val="131413"/>
          </w:rPr>
          <w:t>Untergasser et al., 2012</w:t>
        </w:r>
      </w:hyperlink>
      <w:r w:rsidR="00381A41" w:rsidRPr="00FC7BE1">
        <w:rPr>
          <w:rFonts w:asciiTheme="majorHAnsi" w:hAnsiTheme="majorHAnsi" w:cstheme="majorHAnsi"/>
          <w:noProof/>
          <w:color w:val="131413"/>
        </w:rPr>
        <w:t>)</w:t>
      </w:r>
      <w:r w:rsidRPr="00FC7BE1">
        <w:rPr>
          <w:rFonts w:asciiTheme="majorHAnsi" w:hAnsiTheme="majorHAnsi" w:cstheme="majorHAnsi"/>
          <w:color w:val="131413"/>
        </w:rPr>
        <w:fldChar w:fldCharType="end"/>
      </w:r>
      <w:r w:rsidRPr="00FC7BE1">
        <w:rPr>
          <w:rFonts w:asciiTheme="majorHAnsi" w:hAnsiTheme="majorHAnsi" w:cstheme="majorHAnsi"/>
          <w:color w:val="131413"/>
        </w:rPr>
        <w:t xml:space="preserve"> in </w:t>
      </w:r>
      <w:proofErr w:type="spellStart"/>
      <w:r w:rsidRPr="00FC7BE1">
        <w:rPr>
          <w:rFonts w:asciiTheme="majorHAnsi" w:hAnsiTheme="majorHAnsi" w:cstheme="majorHAnsi"/>
        </w:rPr>
        <w:t>Geneious</w:t>
      </w:r>
      <w:proofErr w:type="spellEnd"/>
      <w:r w:rsidRPr="00FC7BE1">
        <w:rPr>
          <w:rFonts w:asciiTheme="majorHAnsi" w:hAnsiTheme="majorHAnsi" w:cstheme="majorHAnsi"/>
        </w:rPr>
        <w:t xml:space="preserve"> ver. 8.1.7 </w:t>
      </w:r>
      <w:r w:rsidRPr="00FC7BE1">
        <w:rPr>
          <w:rFonts w:asciiTheme="majorHAnsi" w:hAnsiTheme="majorHAnsi" w:cstheme="majorHAnsi"/>
        </w:rPr>
        <w:fldChar w:fldCharType="begin"/>
      </w:r>
      <w:r w:rsidR="00381A41" w:rsidRPr="00FC7BE1">
        <w:rPr>
          <w:rFonts w:asciiTheme="majorHAnsi" w:hAnsiTheme="majorHAnsi" w:cstheme="majorHAnsi"/>
        </w:rPr>
        <w:instrText xml:space="preserve"> ADDIN EN.CITE &lt;EndNote&gt;&lt;Cite&gt;&lt;Author&gt;Kearse&lt;/Author&gt;&lt;Year&gt;2012&lt;/Year&gt;&lt;RecNum&gt;2455&lt;/RecNum&gt;&lt;DisplayText&gt;(Kearse et al., 2012)&lt;/DisplayText&gt;&lt;record&gt;&lt;rec-number&gt;2455&lt;/rec-number&gt;&lt;foreign-keys&gt;&lt;key app="EN" db-id="9tvdvttdw2vdzzefs985swtw5arfx559r0fd" timestamp="0"&gt;2455&lt;/key&gt;&lt;/foreign-keys&gt;&lt;ref-type name="Journal Article"&gt;17&lt;/ref-type&gt;&lt;contributors&gt;&lt;authors&gt;&lt;author&gt;Kearse, M.&lt;/author&gt;&lt;author&gt;Moir, R.&lt;/author&gt;&lt;author&gt;Wilson, A.&lt;/author&gt;&lt;author&gt;Stones-Havas, S.&lt;/author&gt;&lt;author&gt;Cheung, M.&lt;/author&gt;&lt;author&gt;Sturrock, S.&lt;/author&gt;&lt;author&gt;Buxton, S.&lt;/author&gt;&lt;author&gt;Cooper, A.&lt;/author&gt;&lt;author&gt;Markowitz, S.&lt;/author&gt;&lt;author&gt;Duran, C.&lt;/author&gt;&lt;author&gt;Thierer, T.&lt;/author&gt;&lt;author&gt;Ashton, B.&lt;/author&gt;&lt;author&gt;Mentjies, P.&lt;/author&gt;&lt;author&gt;Drummond, A.&lt;/author&gt;&lt;/authors&gt;&lt;/contributors&gt;&lt;titles&gt;&lt;title&gt;Geneious Basic: an integrated and extendable desktop software platform for the organization and analysis of sequence data&lt;/title&gt;&lt;secondary-title&gt;Bioinformatics&lt;/secondary-title&gt;&lt;/titles&gt;&lt;pages&gt;1647-1649&lt;/pages&gt;&lt;volume&gt;28&lt;/volume&gt;&lt;number&gt;12&lt;/number&gt;&lt;dates&gt;&lt;year&gt;2012&lt;/year&gt;&lt;/dates&gt;&lt;urls&gt;&lt;related-urls&gt;&lt;url&gt;http://www.geneious.com&lt;/url&gt;&lt;/related-urls&gt;&lt;/urls&gt;&lt;/record&gt;&lt;/Cite&gt;&lt;/EndNote&gt;</w:instrText>
      </w:r>
      <w:r w:rsidRPr="00FC7BE1">
        <w:rPr>
          <w:rFonts w:asciiTheme="majorHAnsi" w:hAnsiTheme="majorHAnsi" w:cstheme="majorHAnsi"/>
        </w:rPr>
        <w:fldChar w:fldCharType="separate"/>
      </w:r>
      <w:r w:rsidR="00381A41" w:rsidRPr="00FC7BE1">
        <w:rPr>
          <w:rFonts w:asciiTheme="majorHAnsi" w:hAnsiTheme="majorHAnsi" w:cstheme="majorHAnsi"/>
          <w:noProof/>
        </w:rPr>
        <w:t>(</w:t>
      </w:r>
      <w:hyperlink w:anchor="_ENREF_4" w:tooltip="Kearse, 2012 #2455" w:history="1">
        <w:r w:rsidR="00C04AA9" w:rsidRPr="00FC7BE1">
          <w:rPr>
            <w:rFonts w:asciiTheme="majorHAnsi" w:hAnsiTheme="majorHAnsi" w:cstheme="majorHAnsi"/>
            <w:noProof/>
          </w:rPr>
          <w:t>Kearse et al., 2012</w:t>
        </w:r>
      </w:hyperlink>
      <w:r w:rsidR="00381A41" w:rsidRPr="00FC7BE1">
        <w:rPr>
          <w:rFonts w:asciiTheme="majorHAnsi" w:hAnsiTheme="majorHAnsi" w:cstheme="majorHAnsi"/>
          <w:noProof/>
        </w:rPr>
        <w:t>)</w:t>
      </w:r>
      <w:r w:rsidRPr="00FC7BE1">
        <w:rPr>
          <w:rFonts w:asciiTheme="majorHAnsi" w:hAnsiTheme="majorHAnsi" w:cstheme="majorHAnsi"/>
        </w:rPr>
        <w:fldChar w:fldCharType="end"/>
      </w:r>
      <w:r w:rsidRPr="00FC7BE1">
        <w:rPr>
          <w:rFonts w:asciiTheme="majorHAnsi" w:hAnsiTheme="majorHAnsi" w:cstheme="majorHAnsi"/>
        </w:rPr>
        <w:t xml:space="preserve">. The MHC-targeting primers and a MRT </w:t>
      </w:r>
      <w:r w:rsidRPr="00FC7BE1">
        <w:rPr>
          <w:rFonts w:asciiTheme="majorHAnsi" w:hAnsiTheme="majorHAnsi" w:cstheme="majorHAnsi"/>
        </w:rPr>
        <w:fldChar w:fldCharType="begin"/>
      </w:r>
      <w:r w:rsidR="00381A41" w:rsidRPr="00FC7BE1">
        <w:rPr>
          <w:rFonts w:asciiTheme="majorHAnsi" w:hAnsiTheme="majorHAnsi" w:cstheme="majorHAnsi"/>
        </w:rPr>
        <w:instrText xml:space="preserve"> ADDIN EN.CITE &lt;EndNote&gt;&lt;Cite&gt;&lt;Author&gt;Hayden&lt;/Author&gt;&lt;Year&gt;2008&lt;/Year&gt;&lt;RecNum&gt;2538&lt;/RecNum&gt;&lt;Prefix&gt;multiplex ready technology`, &lt;/Prefix&gt;&lt;DisplayText&gt;(multiplex ready technology, Hayden, Nguyen, Waterman, &amp;amp; Chalmers, 2008)&lt;/DisplayText&gt;&lt;record&gt;&lt;rec-number&gt;2538&lt;/rec-number&gt;&lt;foreign-keys&gt;&lt;key app="EN" db-id="9tvdvttdw2vdzzefs985swtw5arfx559r0fd" timestamp="0"&gt;2538&lt;/key&gt;&lt;/foreign-keys&gt;&lt;ref-type name="Journal Article"&gt;17&lt;/ref-type&gt;&lt;contributors&gt;&lt;authors&gt;&lt;author&gt;Hayden, MJ&lt;/author&gt;&lt;author&gt;Nguyen, TM&lt;/author&gt;&lt;author&gt;Waterman, A&lt;/author&gt;&lt;author&gt;Chalmers, KJ&lt;/author&gt;&lt;/authors&gt;&lt;/contributors&gt;&lt;titles&gt;&lt;title&gt;Multiplex-Ready PCR: A new method for multiplexed SSR and SNP genotyping&lt;/title&gt;&lt;secondary-title&gt;BMC Genomics&lt;/secondary-title&gt;&lt;/titles&gt;&lt;pages&gt;1-12&lt;/pages&gt;&lt;volume&gt;9&lt;/volume&gt;&lt;dates&gt;&lt;year&gt;2008&lt;/year&gt;&lt;/dates&gt;&lt;urls&gt;&lt;/urls&gt;&lt;/record&gt;&lt;/Cite&gt;&lt;/EndNote&gt;</w:instrText>
      </w:r>
      <w:r w:rsidRPr="00FC7BE1">
        <w:rPr>
          <w:rFonts w:asciiTheme="majorHAnsi" w:hAnsiTheme="majorHAnsi" w:cstheme="majorHAnsi"/>
        </w:rPr>
        <w:fldChar w:fldCharType="separate"/>
      </w:r>
      <w:r w:rsidR="00381A41" w:rsidRPr="00FC7BE1">
        <w:rPr>
          <w:rFonts w:asciiTheme="majorHAnsi" w:hAnsiTheme="majorHAnsi" w:cstheme="majorHAnsi"/>
          <w:noProof/>
        </w:rPr>
        <w:t>(</w:t>
      </w:r>
      <w:hyperlink w:anchor="_ENREF_3" w:tooltip="Hayden, 2008 #2538" w:history="1">
        <w:r w:rsidR="00C04AA9" w:rsidRPr="00FC7BE1">
          <w:rPr>
            <w:rFonts w:asciiTheme="majorHAnsi" w:hAnsiTheme="majorHAnsi" w:cstheme="majorHAnsi"/>
            <w:noProof/>
          </w:rPr>
          <w:t>multiplex ready technology, Hayden, Nguyen, Waterman, &amp; Chalmers, 2008</w:t>
        </w:r>
      </w:hyperlink>
      <w:r w:rsidR="00381A41" w:rsidRPr="00FC7BE1">
        <w:rPr>
          <w:rFonts w:asciiTheme="majorHAnsi" w:hAnsiTheme="majorHAnsi" w:cstheme="majorHAnsi"/>
          <w:noProof/>
        </w:rPr>
        <w:t>)</w:t>
      </w:r>
      <w:r w:rsidRPr="00FC7BE1">
        <w:rPr>
          <w:rFonts w:asciiTheme="majorHAnsi" w:hAnsiTheme="majorHAnsi" w:cstheme="majorHAnsi"/>
        </w:rPr>
        <w:fldChar w:fldCharType="end"/>
      </w:r>
      <w:r w:rsidRPr="00FC7BE1">
        <w:rPr>
          <w:rFonts w:asciiTheme="majorHAnsi" w:hAnsiTheme="majorHAnsi" w:cstheme="majorHAnsi"/>
        </w:rPr>
        <w:t xml:space="preserve"> linker sequence constitute the inner primers. The outer primers consisted of indexes unique to each individual and Illumina-specific adapters with an MRT linker sequence. The inner and outer primers are connected via the MRT primer sequence. A summary of the whole library preparation process, primer design details and all inner and outer primer sequences are provided</w:t>
      </w:r>
      <w:r w:rsidR="00F31D3F" w:rsidRPr="00FC7BE1">
        <w:rPr>
          <w:rFonts w:asciiTheme="majorHAnsi" w:hAnsiTheme="majorHAnsi" w:cstheme="majorHAnsi"/>
        </w:rPr>
        <w:t xml:space="preserve"> </w:t>
      </w:r>
      <w:r w:rsidR="0016294B" w:rsidRPr="00FC7BE1">
        <w:rPr>
          <w:rFonts w:asciiTheme="majorHAnsi" w:hAnsiTheme="majorHAnsi" w:cstheme="majorHAnsi"/>
        </w:rPr>
        <w:t>(figure S1, table S1)</w:t>
      </w:r>
      <w:r w:rsidRPr="00FC7BE1">
        <w:rPr>
          <w:rFonts w:asciiTheme="majorHAnsi" w:hAnsiTheme="majorHAnsi" w:cstheme="majorHAnsi"/>
        </w:rPr>
        <w:t>.</w:t>
      </w:r>
    </w:p>
    <w:p w14:paraId="77EBDA46" w14:textId="23E41120" w:rsidR="00C3364B" w:rsidRPr="00FC7BE1" w:rsidRDefault="00C3364B" w:rsidP="00FC7BE1">
      <w:pPr>
        <w:spacing w:before="120" w:after="120" w:line="360" w:lineRule="auto"/>
        <w:ind w:firstLine="360"/>
        <w:jc w:val="both"/>
        <w:rPr>
          <w:rFonts w:asciiTheme="majorHAnsi" w:hAnsiTheme="majorHAnsi" w:cstheme="majorHAnsi"/>
        </w:rPr>
      </w:pPr>
      <w:r w:rsidRPr="00FC7BE1">
        <w:rPr>
          <w:rFonts w:asciiTheme="majorHAnsi" w:hAnsiTheme="majorHAnsi" w:cstheme="majorHAnsi"/>
        </w:rPr>
        <w:t xml:space="preserve">MHC-targeting primer pairs MHC1_A1_G234_F/MHC1_A1_G234_R and MHC1_A2_G234_F/MHC1_A2_G12_R </w:t>
      </w:r>
      <w:r w:rsidRPr="00FC7BE1">
        <w:rPr>
          <w:rFonts w:asciiTheme="majorHAnsi" w:hAnsiTheme="majorHAnsi" w:cstheme="majorHAnsi"/>
        </w:rPr>
        <w:fldChar w:fldCharType="begin"/>
      </w:r>
      <w:r w:rsidR="00BB6FCF" w:rsidRPr="00FC7BE1">
        <w:rPr>
          <w:rFonts w:asciiTheme="majorHAnsi" w:hAnsiTheme="majorHAnsi" w:cstheme="majorHAnsi"/>
        </w:rPr>
        <w:instrText xml:space="preserve"> ADDIN EN.CITE &lt;EndNote&gt;&lt;Cite&gt;&lt;Author&gt;Hacking&lt;/Author&gt;&lt;Year&gt;2017&lt;/Year&gt;&lt;RecNum&gt;3419&lt;/RecNum&gt;&lt;DisplayText&gt;(Hacking, et al., 2017)&lt;/DisplayText&gt;&lt;record&gt;&lt;rec-number&gt;3419&lt;/rec-number&gt;&lt;foreign-keys&gt;&lt;key app="EN" db-id="9tvdvttdw2vdzzefs985swtw5arfx559r0fd" timestamp="0"&gt;3419&lt;/key&gt;&lt;/foreign-keys&gt;&lt;ref-type name="Journal Article"&gt;17&lt;/ref-type&gt;&lt;contributors&gt;&lt;authors&gt;&lt;author&gt;Hacking, J. D.&lt;/author&gt;&lt;author&gt;Bertozzi, T.&lt;/author&gt;&lt;author&gt;Moussalli, A.&lt;/author&gt;&lt;author&gt;Bradford, T. M.&lt;/author&gt;&lt;author&gt;Gardner, M. G.&lt;/author&gt;&lt;/authors&gt;&lt;/contributors&gt;&lt;titles&gt;&lt;title&gt;Characterization of major histocompatibility complex class I transcripts in an Australian dragon lizard&lt;/title&gt;&lt;secondary-title&gt;Manuscript submitted for publication&lt;/secondary-title&gt;&lt;/titles&gt;&lt;dates&gt;&lt;year&gt;2017&lt;/year&gt;&lt;/dates&gt;&lt;urls&gt;&lt;/urls&gt;&lt;/record&gt;&lt;/Cite&gt;&lt;/EndNote&gt;</w:instrText>
      </w:r>
      <w:r w:rsidRPr="00FC7BE1">
        <w:rPr>
          <w:rFonts w:asciiTheme="majorHAnsi" w:hAnsiTheme="majorHAnsi" w:cstheme="majorHAnsi"/>
        </w:rPr>
        <w:fldChar w:fldCharType="separate"/>
      </w:r>
      <w:r w:rsidR="00381A41" w:rsidRPr="00FC7BE1">
        <w:rPr>
          <w:rFonts w:asciiTheme="majorHAnsi" w:hAnsiTheme="majorHAnsi" w:cstheme="majorHAnsi"/>
          <w:noProof/>
        </w:rPr>
        <w:t>(</w:t>
      </w:r>
      <w:hyperlink w:anchor="_ENREF_2" w:tooltip="Hacking, 2017 #3419" w:history="1">
        <w:r w:rsidR="00C04AA9" w:rsidRPr="00FC7BE1">
          <w:rPr>
            <w:rFonts w:asciiTheme="majorHAnsi" w:hAnsiTheme="majorHAnsi" w:cstheme="majorHAnsi"/>
            <w:noProof/>
          </w:rPr>
          <w:t>Hacking, et al., 2017</w:t>
        </w:r>
      </w:hyperlink>
      <w:r w:rsidR="00381A41" w:rsidRPr="00FC7BE1">
        <w:rPr>
          <w:rFonts w:asciiTheme="majorHAnsi" w:hAnsiTheme="majorHAnsi" w:cstheme="majorHAnsi"/>
          <w:noProof/>
        </w:rPr>
        <w:t>)</w:t>
      </w:r>
      <w:r w:rsidRPr="00FC7BE1">
        <w:rPr>
          <w:rFonts w:asciiTheme="majorHAnsi" w:hAnsiTheme="majorHAnsi" w:cstheme="majorHAnsi"/>
        </w:rPr>
        <w:fldChar w:fldCharType="end"/>
      </w:r>
      <w:r w:rsidRPr="00FC7BE1">
        <w:rPr>
          <w:rFonts w:asciiTheme="majorHAnsi" w:hAnsiTheme="majorHAnsi" w:cstheme="majorHAnsi"/>
        </w:rPr>
        <w:t xml:space="preserve"> were used to amplify parts of the MHC I α1 (exon 2) and α2 (exon 3) domains in DNA samples for 337 individuals from Hawker, 40 individuals from Mount Remarkable, 27 individuals from the Barossa, 40 individuals from </w:t>
      </w:r>
      <w:proofErr w:type="spellStart"/>
      <w:r w:rsidRPr="00FC7BE1">
        <w:rPr>
          <w:rFonts w:asciiTheme="majorHAnsi" w:hAnsiTheme="majorHAnsi" w:cstheme="majorHAnsi"/>
        </w:rPr>
        <w:t>Morialta</w:t>
      </w:r>
      <w:proofErr w:type="spellEnd"/>
      <w:r w:rsidRPr="00FC7BE1">
        <w:rPr>
          <w:rFonts w:asciiTheme="majorHAnsi" w:hAnsiTheme="majorHAnsi" w:cstheme="majorHAnsi"/>
        </w:rPr>
        <w:t xml:space="preserve">, and 41 individuals from Kangaroo Island (total of 485). Technical replicates (n = 12) amplified in independent PCR reactions were included in the MiSeq library. A small number of replicates were used as family group data were also available to investigate the accuracy of MHC genotypes. Amplification reactions for the first PCR </w:t>
      </w:r>
      <w:proofErr w:type="spellStart"/>
      <w:r w:rsidRPr="00FC7BE1">
        <w:rPr>
          <w:rFonts w:asciiTheme="majorHAnsi" w:hAnsiTheme="majorHAnsi" w:cstheme="majorHAnsi"/>
        </w:rPr>
        <w:t>totalled</w:t>
      </w:r>
      <w:proofErr w:type="spellEnd"/>
      <w:r w:rsidRPr="00FC7BE1">
        <w:rPr>
          <w:rFonts w:asciiTheme="majorHAnsi" w:hAnsiTheme="majorHAnsi" w:cstheme="majorHAnsi"/>
        </w:rPr>
        <w:t xml:space="preserve"> 12µl and contained </w:t>
      </w:r>
      <w:r w:rsidRPr="00FC7BE1">
        <w:rPr>
          <w:rFonts w:asciiTheme="majorHAnsi" w:hAnsiTheme="majorHAnsi" w:cstheme="majorHAnsi"/>
          <w:color w:val="000000" w:themeColor="text1"/>
        </w:rPr>
        <w:t>4mM each dNTP, 0.25 mg/ml BSA</w:t>
      </w:r>
      <w:r w:rsidRPr="00FC7BE1">
        <w:rPr>
          <w:rFonts w:asciiTheme="majorHAnsi" w:hAnsiTheme="majorHAnsi" w:cstheme="majorHAnsi"/>
        </w:rPr>
        <w:t xml:space="preserve">, 0.4µM forward and reverse primers, 0.5U </w:t>
      </w:r>
      <w:proofErr w:type="spellStart"/>
      <w:r w:rsidRPr="00FC7BE1">
        <w:rPr>
          <w:rFonts w:asciiTheme="majorHAnsi" w:hAnsiTheme="majorHAnsi" w:cstheme="majorHAnsi"/>
        </w:rPr>
        <w:t>Immolase</w:t>
      </w:r>
      <w:proofErr w:type="spellEnd"/>
      <w:r w:rsidRPr="00FC7BE1">
        <w:rPr>
          <w:rFonts w:asciiTheme="majorHAnsi" w:hAnsiTheme="majorHAnsi" w:cstheme="majorHAnsi"/>
        </w:rPr>
        <w:t xml:space="preserve"> enzyme and approximately 20ng of template DNA. Thermal cycling conditions consisted of an initial </w:t>
      </w:r>
      <w:proofErr w:type="spellStart"/>
      <w:r w:rsidRPr="00FC7BE1">
        <w:rPr>
          <w:rFonts w:asciiTheme="majorHAnsi" w:hAnsiTheme="majorHAnsi" w:cstheme="majorHAnsi"/>
        </w:rPr>
        <w:t>denaturisation</w:t>
      </w:r>
      <w:proofErr w:type="spellEnd"/>
      <w:r w:rsidRPr="00FC7BE1">
        <w:rPr>
          <w:rFonts w:asciiTheme="majorHAnsi" w:hAnsiTheme="majorHAnsi" w:cstheme="majorHAnsi"/>
        </w:rPr>
        <w:t xml:space="preserve"> step of 95</w:t>
      </w:r>
      <w:r w:rsidRPr="00FC7BE1">
        <w:rPr>
          <w:rFonts w:asciiTheme="majorHAnsi" w:hAnsiTheme="majorHAnsi" w:cstheme="majorHAnsi"/>
        </w:rPr>
        <w:sym w:font="Symbol" w:char="F0B0"/>
      </w:r>
      <w:r w:rsidRPr="00FC7BE1">
        <w:rPr>
          <w:rFonts w:asciiTheme="majorHAnsi" w:hAnsiTheme="majorHAnsi" w:cstheme="majorHAnsi"/>
        </w:rPr>
        <w:t>C for 10 minutes, 30 cycles of 94</w:t>
      </w:r>
      <w:r w:rsidRPr="00FC7BE1">
        <w:rPr>
          <w:rFonts w:asciiTheme="majorHAnsi" w:hAnsiTheme="majorHAnsi" w:cstheme="majorHAnsi"/>
        </w:rPr>
        <w:sym w:font="Symbol" w:char="F0B0"/>
      </w:r>
      <w:r w:rsidRPr="00FC7BE1">
        <w:rPr>
          <w:rFonts w:asciiTheme="majorHAnsi" w:hAnsiTheme="majorHAnsi" w:cstheme="majorHAnsi"/>
        </w:rPr>
        <w:t>C for 45 seconds, 57</w:t>
      </w:r>
      <w:r w:rsidRPr="00FC7BE1">
        <w:rPr>
          <w:rFonts w:asciiTheme="majorHAnsi" w:hAnsiTheme="majorHAnsi" w:cstheme="majorHAnsi"/>
        </w:rPr>
        <w:sym w:font="Symbol" w:char="F0B0"/>
      </w:r>
      <w:r w:rsidRPr="00FC7BE1">
        <w:rPr>
          <w:rFonts w:asciiTheme="majorHAnsi" w:hAnsiTheme="majorHAnsi" w:cstheme="majorHAnsi"/>
        </w:rPr>
        <w:t>C for 45 seconds and 72</w:t>
      </w:r>
      <w:r w:rsidRPr="00FC7BE1">
        <w:rPr>
          <w:rFonts w:asciiTheme="majorHAnsi" w:hAnsiTheme="majorHAnsi" w:cstheme="majorHAnsi"/>
        </w:rPr>
        <w:sym w:font="Symbol" w:char="F0B0"/>
      </w:r>
      <w:r w:rsidRPr="00FC7BE1">
        <w:rPr>
          <w:rFonts w:asciiTheme="majorHAnsi" w:hAnsiTheme="majorHAnsi" w:cstheme="majorHAnsi"/>
        </w:rPr>
        <w:t>C for 60 seconds, followed by a final extension of 72</w:t>
      </w:r>
      <w:r w:rsidRPr="00FC7BE1">
        <w:rPr>
          <w:rFonts w:asciiTheme="majorHAnsi" w:hAnsiTheme="majorHAnsi" w:cstheme="majorHAnsi"/>
        </w:rPr>
        <w:sym w:font="Symbol" w:char="F0B0"/>
      </w:r>
      <w:r w:rsidRPr="00FC7BE1">
        <w:rPr>
          <w:rFonts w:asciiTheme="majorHAnsi" w:hAnsiTheme="majorHAnsi" w:cstheme="majorHAnsi"/>
        </w:rPr>
        <w:t xml:space="preserve">C for 6 minutes. After PCR clean-up using </w:t>
      </w:r>
      <w:proofErr w:type="spellStart"/>
      <w:r w:rsidRPr="00FC7BE1">
        <w:rPr>
          <w:rFonts w:asciiTheme="majorHAnsi" w:hAnsiTheme="majorHAnsi" w:cstheme="majorHAnsi"/>
        </w:rPr>
        <w:t>MultiScreenHTS</w:t>
      </w:r>
      <w:proofErr w:type="spellEnd"/>
      <w:r w:rsidRPr="00FC7BE1">
        <w:rPr>
          <w:rFonts w:asciiTheme="majorHAnsi" w:hAnsiTheme="majorHAnsi" w:cstheme="majorHAnsi"/>
        </w:rPr>
        <w:t xml:space="preserve"> 384-well filter plates on a vacuum manifold (Merck Millipore), a second PCR was undertaken to attach the outer primers. Amplification reactions were 12µl and contained </w:t>
      </w:r>
      <w:r w:rsidRPr="00FC7BE1">
        <w:rPr>
          <w:rFonts w:asciiTheme="majorHAnsi" w:hAnsiTheme="majorHAnsi" w:cstheme="majorHAnsi"/>
          <w:color w:val="000000" w:themeColor="text1"/>
        </w:rPr>
        <w:t>4mM dNTP, 0.25 mg/ml BSA</w:t>
      </w:r>
      <w:r w:rsidRPr="00FC7BE1">
        <w:rPr>
          <w:rFonts w:asciiTheme="majorHAnsi" w:hAnsiTheme="majorHAnsi" w:cstheme="majorHAnsi"/>
        </w:rPr>
        <w:t xml:space="preserve"> 0.4µM forward and reverse outer primer, 0.5U </w:t>
      </w:r>
      <w:proofErr w:type="spellStart"/>
      <w:r w:rsidRPr="00FC7BE1">
        <w:rPr>
          <w:rFonts w:asciiTheme="majorHAnsi" w:hAnsiTheme="majorHAnsi" w:cstheme="majorHAnsi"/>
        </w:rPr>
        <w:t>Immolase</w:t>
      </w:r>
      <w:proofErr w:type="spellEnd"/>
      <w:r w:rsidRPr="00FC7BE1">
        <w:rPr>
          <w:rFonts w:asciiTheme="majorHAnsi" w:hAnsiTheme="majorHAnsi" w:cstheme="majorHAnsi"/>
        </w:rPr>
        <w:t xml:space="preserve"> enzyme and approximately 20ng of template DNA. Thermal cycling conditions for the second PCR consisted of an initial </w:t>
      </w:r>
      <w:proofErr w:type="spellStart"/>
      <w:r w:rsidRPr="00FC7BE1">
        <w:rPr>
          <w:rFonts w:asciiTheme="majorHAnsi" w:hAnsiTheme="majorHAnsi" w:cstheme="majorHAnsi"/>
        </w:rPr>
        <w:t>denaturisation</w:t>
      </w:r>
      <w:proofErr w:type="spellEnd"/>
      <w:r w:rsidRPr="00FC7BE1">
        <w:rPr>
          <w:rFonts w:asciiTheme="majorHAnsi" w:hAnsiTheme="majorHAnsi" w:cstheme="majorHAnsi"/>
        </w:rPr>
        <w:t xml:space="preserve"> step of 95</w:t>
      </w:r>
      <w:r w:rsidRPr="00FC7BE1">
        <w:rPr>
          <w:rFonts w:asciiTheme="majorHAnsi" w:hAnsiTheme="majorHAnsi" w:cstheme="majorHAnsi"/>
        </w:rPr>
        <w:sym w:font="Symbol" w:char="F0B0"/>
      </w:r>
      <w:r w:rsidRPr="00FC7BE1">
        <w:rPr>
          <w:rFonts w:asciiTheme="majorHAnsi" w:hAnsiTheme="majorHAnsi" w:cstheme="majorHAnsi"/>
        </w:rPr>
        <w:t>C for 10 minutes, 10 cycles of 92</w:t>
      </w:r>
      <w:r w:rsidRPr="00FC7BE1">
        <w:rPr>
          <w:rFonts w:asciiTheme="majorHAnsi" w:hAnsiTheme="majorHAnsi" w:cstheme="majorHAnsi"/>
        </w:rPr>
        <w:sym w:font="Symbol" w:char="F0B0"/>
      </w:r>
      <w:r w:rsidRPr="00FC7BE1">
        <w:rPr>
          <w:rFonts w:asciiTheme="majorHAnsi" w:hAnsiTheme="majorHAnsi" w:cstheme="majorHAnsi"/>
        </w:rPr>
        <w:t>C for 15 seconds, 54</w:t>
      </w:r>
      <w:r w:rsidRPr="00FC7BE1">
        <w:rPr>
          <w:rFonts w:asciiTheme="majorHAnsi" w:hAnsiTheme="majorHAnsi" w:cstheme="majorHAnsi"/>
        </w:rPr>
        <w:sym w:font="Symbol" w:char="F0B0"/>
      </w:r>
      <w:r w:rsidRPr="00FC7BE1">
        <w:rPr>
          <w:rFonts w:asciiTheme="majorHAnsi" w:hAnsiTheme="majorHAnsi" w:cstheme="majorHAnsi"/>
        </w:rPr>
        <w:t>C for 60 seconds and 72</w:t>
      </w:r>
      <w:r w:rsidRPr="00FC7BE1">
        <w:rPr>
          <w:rFonts w:asciiTheme="majorHAnsi" w:hAnsiTheme="majorHAnsi" w:cstheme="majorHAnsi"/>
        </w:rPr>
        <w:sym w:font="Symbol" w:char="F0B0"/>
      </w:r>
      <w:r w:rsidRPr="00FC7BE1">
        <w:rPr>
          <w:rFonts w:asciiTheme="majorHAnsi" w:hAnsiTheme="majorHAnsi" w:cstheme="majorHAnsi"/>
        </w:rPr>
        <w:t>C for 1 minute and 30 seconds, followed by a final extension of 72</w:t>
      </w:r>
      <w:r w:rsidRPr="00FC7BE1">
        <w:rPr>
          <w:rFonts w:asciiTheme="majorHAnsi" w:hAnsiTheme="majorHAnsi" w:cstheme="majorHAnsi"/>
        </w:rPr>
        <w:sym w:font="Symbol" w:char="F0B0"/>
      </w:r>
      <w:r w:rsidRPr="00FC7BE1">
        <w:rPr>
          <w:rFonts w:asciiTheme="majorHAnsi" w:hAnsiTheme="majorHAnsi" w:cstheme="majorHAnsi"/>
        </w:rPr>
        <w:t xml:space="preserve">C for 10 minutes.    </w:t>
      </w:r>
    </w:p>
    <w:p w14:paraId="2E21AB84" w14:textId="4358B68A" w:rsidR="00C3364B" w:rsidRDefault="00C3364B" w:rsidP="00FC7BE1">
      <w:pPr>
        <w:spacing w:before="120" w:after="120" w:line="360" w:lineRule="auto"/>
        <w:ind w:firstLine="360"/>
        <w:jc w:val="both"/>
        <w:rPr>
          <w:rFonts w:asciiTheme="majorHAnsi" w:hAnsiTheme="majorHAnsi" w:cstheme="majorHAnsi"/>
        </w:rPr>
      </w:pPr>
      <w:r w:rsidRPr="00FC7BE1">
        <w:rPr>
          <w:rFonts w:asciiTheme="majorHAnsi" w:hAnsiTheme="majorHAnsi" w:cstheme="majorHAnsi"/>
        </w:rPr>
        <w:t xml:space="preserve">Gel </w:t>
      </w:r>
      <w:r w:rsidRPr="00FC7BE1">
        <w:rPr>
          <w:rFonts w:asciiTheme="majorHAnsi" w:hAnsiTheme="majorHAnsi" w:cstheme="majorHAnsi"/>
          <w:color w:val="000000" w:themeColor="text1"/>
        </w:rPr>
        <w:t>electrophoresis</w:t>
      </w:r>
      <w:r w:rsidRPr="00FC7BE1">
        <w:rPr>
          <w:rFonts w:asciiTheme="majorHAnsi" w:hAnsiTheme="majorHAnsi" w:cstheme="majorHAnsi"/>
        </w:rPr>
        <w:t xml:space="preserve"> (1.5% agarose) was performed for every amplicon following the second PCR and the resulting bands were scored for band strength (absent, weak, moderate, and strong). </w:t>
      </w:r>
      <w:proofErr w:type="spellStart"/>
      <w:r w:rsidRPr="00FC7BE1">
        <w:rPr>
          <w:rFonts w:asciiTheme="majorHAnsi" w:hAnsiTheme="majorHAnsi" w:cstheme="majorHAnsi"/>
        </w:rPr>
        <w:t>TapeStation</w:t>
      </w:r>
      <w:proofErr w:type="spellEnd"/>
      <w:r w:rsidRPr="00FC7BE1">
        <w:rPr>
          <w:rFonts w:asciiTheme="majorHAnsi" w:hAnsiTheme="majorHAnsi" w:cstheme="majorHAnsi"/>
        </w:rPr>
        <w:t xml:space="preserve"> analysis (Agilent 2200 </w:t>
      </w:r>
      <w:proofErr w:type="spellStart"/>
      <w:r w:rsidRPr="00FC7BE1">
        <w:rPr>
          <w:rFonts w:asciiTheme="majorHAnsi" w:hAnsiTheme="majorHAnsi" w:cstheme="majorHAnsi"/>
        </w:rPr>
        <w:t>TapeStation</w:t>
      </w:r>
      <w:proofErr w:type="spellEnd"/>
      <w:r w:rsidRPr="00FC7BE1">
        <w:rPr>
          <w:rFonts w:asciiTheme="majorHAnsi" w:hAnsiTheme="majorHAnsi" w:cstheme="majorHAnsi"/>
        </w:rPr>
        <w:t xml:space="preserve"> ©; Agilent Technologies) was undertaken on a subset of amplicons from each gel score category to determine the concentration, molarity and the amount of contaminating adapter dimer present at 125bp.  Nine individuals did not have visible amplicons on the gel and were excluded from downstream analyses. Amplicons were combined into a weak pool, and a moderate/strong pool based on gel band score and </w:t>
      </w:r>
      <w:proofErr w:type="spellStart"/>
      <w:r w:rsidRPr="00FC7BE1">
        <w:rPr>
          <w:rFonts w:asciiTheme="majorHAnsi" w:hAnsiTheme="majorHAnsi" w:cstheme="majorHAnsi"/>
        </w:rPr>
        <w:t>TapeStation</w:t>
      </w:r>
      <w:proofErr w:type="spellEnd"/>
      <w:r w:rsidRPr="00FC7BE1">
        <w:rPr>
          <w:rFonts w:asciiTheme="majorHAnsi" w:hAnsiTheme="majorHAnsi" w:cstheme="majorHAnsi"/>
        </w:rPr>
        <w:t xml:space="preserve"> analysis. The weak pool contained a moderate amount of adapter dimer that was successfully removed using an </w:t>
      </w:r>
      <w:proofErr w:type="spellStart"/>
      <w:r w:rsidRPr="00FC7BE1">
        <w:rPr>
          <w:rFonts w:asciiTheme="majorHAnsi" w:hAnsiTheme="majorHAnsi" w:cstheme="majorHAnsi"/>
        </w:rPr>
        <w:t>Ampure</w:t>
      </w:r>
      <w:proofErr w:type="spellEnd"/>
      <w:r w:rsidRPr="00FC7BE1">
        <w:rPr>
          <w:rFonts w:asciiTheme="majorHAnsi" w:hAnsiTheme="majorHAnsi" w:cstheme="majorHAnsi"/>
        </w:rPr>
        <w:t xml:space="preserve"> size-</w:t>
      </w:r>
      <w:r w:rsidRPr="00FC7BE1">
        <w:rPr>
          <w:rFonts w:asciiTheme="majorHAnsi" w:hAnsiTheme="majorHAnsi" w:cstheme="majorHAnsi"/>
        </w:rPr>
        <w:lastRenderedPageBreak/>
        <w:t xml:space="preserve">selection clean-up </w:t>
      </w:r>
      <w:r w:rsidRPr="00FC7BE1">
        <w:rPr>
          <w:rFonts w:asciiTheme="majorHAnsi" w:hAnsiTheme="majorHAnsi" w:cstheme="majorHAnsi"/>
        </w:rPr>
        <w:fldChar w:fldCharType="begin"/>
      </w:r>
      <w:r w:rsidR="00381A41" w:rsidRPr="00FC7BE1">
        <w:rPr>
          <w:rFonts w:asciiTheme="majorHAnsi" w:hAnsiTheme="majorHAnsi" w:cstheme="majorHAnsi"/>
        </w:rPr>
        <w:instrText xml:space="preserve"> ADDIN EN.CITE &lt;EndNote&gt;&lt;Cite&gt;&lt;Author&gt;Li&lt;/Author&gt;&lt;Year&gt;2013&lt;/Year&gt;&lt;RecNum&gt;2539&lt;/RecNum&gt;&lt;Prefix&gt;Agencourt AMPure beads`, Beckman Coulter`, Inc.`, &lt;/Prefix&gt;&lt;DisplayText&gt;(Agencourt AMPure beads, Beckman Coulter, Inc., Li, Hofreiter, Straube, Corrigan, &amp;amp; Naylor, 2013)&lt;/DisplayText&gt;&lt;record&gt;&lt;rec-number&gt;2539&lt;/rec-number&gt;&lt;foreign-keys&gt;&lt;key app="EN" db-id="9tvdvttdw2vdzzefs985swtw5arfx559r0fd" timestamp="0"&gt;2539&lt;/key&gt;&lt;/foreign-keys&gt;&lt;ref-type name="Journal Article"&gt;17&lt;/ref-type&gt;&lt;contributors&gt;&lt;authors&gt;&lt;author&gt;Li, C&lt;/author&gt;&lt;author&gt;Hofreiter, M&lt;/author&gt;&lt;author&gt;Straube, N&lt;/author&gt;&lt;author&gt;Corrigan, S&lt;/author&gt;&lt;author&gt;Naylor, G&lt;/author&gt;&lt;/authors&gt;&lt;/contributors&gt;&lt;titles&gt;&lt;title&gt;Capturing protein-coding genes across highly divergent species&lt;/title&gt;&lt;secondary-title&gt;BioTechniques&lt;/secondary-title&gt;&lt;/titles&gt;&lt;pages&gt;321-326&lt;/pages&gt;&lt;volume&gt;54&lt;/volume&gt;&lt;dates&gt;&lt;year&gt;2013&lt;/year&gt;&lt;/dates&gt;&lt;urls&gt;&lt;/urls&gt;&lt;/record&gt;&lt;/Cite&gt;&lt;/EndNote&gt;</w:instrText>
      </w:r>
      <w:r w:rsidRPr="00FC7BE1">
        <w:rPr>
          <w:rFonts w:asciiTheme="majorHAnsi" w:hAnsiTheme="majorHAnsi" w:cstheme="majorHAnsi"/>
        </w:rPr>
        <w:fldChar w:fldCharType="separate"/>
      </w:r>
      <w:r w:rsidR="00381A41" w:rsidRPr="00FC7BE1">
        <w:rPr>
          <w:rFonts w:asciiTheme="majorHAnsi" w:hAnsiTheme="majorHAnsi" w:cstheme="majorHAnsi"/>
          <w:noProof/>
        </w:rPr>
        <w:t>(</w:t>
      </w:r>
      <w:hyperlink w:anchor="_ENREF_5" w:tooltip="Li, 2013 #2539" w:history="1">
        <w:r w:rsidR="00C04AA9" w:rsidRPr="00FC7BE1">
          <w:rPr>
            <w:rFonts w:asciiTheme="majorHAnsi" w:hAnsiTheme="majorHAnsi" w:cstheme="majorHAnsi"/>
            <w:noProof/>
          </w:rPr>
          <w:t>Agencourt AMPure beads, Beckman Coulter, Inc., Li, Hofreiter, Straube, Corrigan, &amp; Naylor, 2013</w:t>
        </w:r>
      </w:hyperlink>
      <w:r w:rsidR="00381A41" w:rsidRPr="00FC7BE1">
        <w:rPr>
          <w:rFonts w:asciiTheme="majorHAnsi" w:hAnsiTheme="majorHAnsi" w:cstheme="majorHAnsi"/>
          <w:noProof/>
        </w:rPr>
        <w:t>)</w:t>
      </w:r>
      <w:r w:rsidRPr="00FC7BE1">
        <w:rPr>
          <w:rFonts w:asciiTheme="majorHAnsi" w:hAnsiTheme="majorHAnsi" w:cstheme="majorHAnsi"/>
        </w:rPr>
        <w:fldChar w:fldCharType="end"/>
      </w:r>
      <w:r w:rsidRPr="00FC7BE1">
        <w:rPr>
          <w:rFonts w:asciiTheme="majorHAnsi" w:hAnsiTheme="majorHAnsi" w:cstheme="majorHAnsi"/>
        </w:rPr>
        <w:t xml:space="preserve"> prior to sequencing. </w:t>
      </w:r>
      <w:proofErr w:type="spellStart"/>
      <w:r w:rsidRPr="00FC7BE1">
        <w:rPr>
          <w:rFonts w:asciiTheme="majorHAnsi" w:hAnsiTheme="majorHAnsi" w:cstheme="majorHAnsi"/>
        </w:rPr>
        <w:t>TapeStation</w:t>
      </w:r>
      <w:proofErr w:type="spellEnd"/>
      <w:r w:rsidRPr="00FC7BE1">
        <w:rPr>
          <w:rFonts w:asciiTheme="majorHAnsi" w:hAnsiTheme="majorHAnsi" w:cstheme="majorHAnsi"/>
        </w:rPr>
        <w:t xml:space="preserve"> analysis was undertaken on each cleaned pool to determine concentration and molarity. A portion of each of the cleaned pools was combined to make a final pool, with the volume added based on the number of amplicons within each pool, after </w:t>
      </w:r>
      <w:proofErr w:type="spellStart"/>
      <w:r w:rsidRPr="00FC7BE1">
        <w:rPr>
          <w:rFonts w:asciiTheme="majorHAnsi" w:hAnsiTheme="majorHAnsi" w:cstheme="majorHAnsi"/>
        </w:rPr>
        <w:t>equalising</w:t>
      </w:r>
      <w:proofErr w:type="spellEnd"/>
      <w:r w:rsidRPr="00FC7BE1">
        <w:rPr>
          <w:rFonts w:asciiTheme="majorHAnsi" w:hAnsiTheme="majorHAnsi" w:cstheme="majorHAnsi"/>
        </w:rPr>
        <w:t xml:space="preserve"> molarity. The completed MiSeq library was sent to the </w:t>
      </w:r>
      <w:r w:rsidR="0016294B" w:rsidRPr="00FC7BE1">
        <w:rPr>
          <w:rFonts w:asciiTheme="majorHAnsi" w:hAnsiTheme="majorHAnsi" w:cstheme="majorHAnsi"/>
        </w:rPr>
        <w:t>Australian Genome Research Facility (</w:t>
      </w:r>
      <w:r w:rsidRPr="00FC7BE1">
        <w:rPr>
          <w:rFonts w:asciiTheme="majorHAnsi" w:hAnsiTheme="majorHAnsi" w:cstheme="majorHAnsi"/>
        </w:rPr>
        <w:t>AGRF</w:t>
      </w:r>
      <w:r w:rsidR="0016294B" w:rsidRPr="00FC7BE1">
        <w:rPr>
          <w:rFonts w:asciiTheme="majorHAnsi" w:hAnsiTheme="majorHAnsi" w:cstheme="majorHAnsi"/>
        </w:rPr>
        <w:t>)</w:t>
      </w:r>
      <w:r w:rsidRPr="00FC7BE1">
        <w:rPr>
          <w:rFonts w:asciiTheme="majorHAnsi" w:hAnsiTheme="majorHAnsi" w:cstheme="majorHAnsi"/>
        </w:rPr>
        <w:t xml:space="preserve"> for 300bp paired-end sequencing on the Illumina MiSeq platform with 10% </w:t>
      </w:r>
      <w:proofErr w:type="spellStart"/>
      <w:r w:rsidRPr="00FC7BE1">
        <w:rPr>
          <w:rFonts w:asciiTheme="majorHAnsi" w:hAnsiTheme="majorHAnsi" w:cstheme="majorHAnsi"/>
        </w:rPr>
        <w:t>PhiX</w:t>
      </w:r>
      <w:proofErr w:type="spellEnd"/>
      <w:r w:rsidRPr="00FC7BE1">
        <w:rPr>
          <w:rFonts w:asciiTheme="majorHAnsi" w:hAnsiTheme="majorHAnsi" w:cstheme="majorHAnsi"/>
        </w:rPr>
        <w:t xml:space="preserve"> (a viral genome) added to create additional complexity within the library for more efficient base detection. </w:t>
      </w:r>
    </w:p>
    <w:p w14:paraId="6E45CE44" w14:textId="77777777" w:rsidR="00FC7BE1" w:rsidRPr="00FC7BE1" w:rsidRDefault="00FC7BE1" w:rsidP="00FC7BE1">
      <w:pPr>
        <w:spacing w:before="120" w:after="120" w:line="360" w:lineRule="auto"/>
        <w:ind w:firstLine="360"/>
        <w:jc w:val="both"/>
        <w:rPr>
          <w:rFonts w:asciiTheme="majorHAnsi" w:hAnsiTheme="majorHAnsi" w:cstheme="majorHAnsi"/>
        </w:rPr>
      </w:pPr>
    </w:p>
    <w:p w14:paraId="3A184AD5" w14:textId="1AD6FA99" w:rsidR="002940BE" w:rsidRPr="00FC7BE1" w:rsidRDefault="006D3D39" w:rsidP="00FC7BE1">
      <w:pPr>
        <w:spacing w:before="120" w:after="120" w:line="360" w:lineRule="auto"/>
        <w:jc w:val="both"/>
        <w:rPr>
          <w:rFonts w:ascii="Calisto MT" w:hAnsi="Calisto MT" w:cstheme="majorHAnsi"/>
          <w:i/>
          <w:sz w:val="24"/>
        </w:rPr>
      </w:pPr>
      <w:r>
        <w:rPr>
          <w:rFonts w:ascii="Calisto MT" w:hAnsi="Calisto MT" w:cstheme="majorHAnsi"/>
          <w:i/>
          <w:sz w:val="24"/>
        </w:rPr>
        <w:t xml:space="preserve">Materials and Methods: </w:t>
      </w:r>
      <w:r w:rsidR="002940BE" w:rsidRPr="00FC7BE1">
        <w:rPr>
          <w:rFonts w:ascii="Calisto MT" w:hAnsi="Calisto MT" w:cstheme="majorHAnsi"/>
          <w:i/>
          <w:sz w:val="24"/>
        </w:rPr>
        <w:t>Pre-genotyping bioinformatics</w:t>
      </w:r>
    </w:p>
    <w:p w14:paraId="0DCD3662" w14:textId="7D2DA016" w:rsidR="007218AC" w:rsidRPr="00FC7BE1" w:rsidRDefault="007218AC" w:rsidP="00FC7BE1">
      <w:pPr>
        <w:pStyle w:val="Default"/>
        <w:spacing w:before="120" w:after="120" w:line="360" w:lineRule="auto"/>
        <w:jc w:val="both"/>
        <w:rPr>
          <w:rFonts w:asciiTheme="majorHAnsi" w:hAnsiTheme="majorHAnsi" w:cstheme="majorHAnsi"/>
          <w:sz w:val="22"/>
          <w:szCs w:val="22"/>
        </w:rPr>
      </w:pPr>
      <w:r w:rsidRPr="00FC7BE1">
        <w:rPr>
          <w:rFonts w:asciiTheme="majorHAnsi" w:hAnsiTheme="majorHAnsi" w:cstheme="majorHAnsi"/>
          <w:sz w:val="22"/>
          <w:szCs w:val="22"/>
        </w:rPr>
        <w:t xml:space="preserve">Several bioinformatics steps were undertaken to prepare data for genotyping (figure S2). MiSeq paired-end data was received from the AGRF de-multiplexed by sample index, with two separate files per sample (read 1; R1 and read 2; R2). The overall quality of the data was determined by performing </w:t>
      </w:r>
      <w:proofErr w:type="spellStart"/>
      <w:r w:rsidRPr="00FC7BE1">
        <w:rPr>
          <w:rFonts w:asciiTheme="majorHAnsi" w:hAnsiTheme="majorHAnsi" w:cstheme="majorHAnsi"/>
          <w:sz w:val="22"/>
          <w:szCs w:val="22"/>
        </w:rPr>
        <w:t>FastQC</w:t>
      </w:r>
      <w:proofErr w:type="spellEnd"/>
      <w:r w:rsidRPr="00FC7BE1">
        <w:rPr>
          <w:rFonts w:asciiTheme="majorHAnsi" w:hAnsiTheme="majorHAnsi" w:cstheme="majorHAnsi"/>
          <w:sz w:val="22"/>
          <w:szCs w:val="22"/>
        </w:rPr>
        <w:t xml:space="preserve"> ver. 0.11.2 </w:t>
      </w:r>
      <w:r w:rsidRPr="00FC7BE1">
        <w:rPr>
          <w:rFonts w:asciiTheme="majorHAnsi" w:hAnsiTheme="majorHAnsi" w:cstheme="majorHAnsi"/>
          <w:sz w:val="22"/>
          <w:szCs w:val="22"/>
        </w:rPr>
        <w:fldChar w:fldCharType="begin"/>
      </w:r>
      <w:r w:rsidR="00381A41" w:rsidRPr="00FC7BE1">
        <w:rPr>
          <w:rFonts w:asciiTheme="majorHAnsi" w:hAnsiTheme="majorHAnsi" w:cstheme="majorHAnsi"/>
          <w:sz w:val="22"/>
          <w:szCs w:val="22"/>
        </w:rPr>
        <w:instrText xml:space="preserve"> ADDIN EN.CITE &lt;EndNote&gt;&lt;Cite&gt;&lt;Author&gt;Andrews&lt;/Author&gt;&lt;Year&gt;2010&lt;/Year&gt;&lt;RecNum&gt;2454&lt;/RecNum&gt;&lt;DisplayText&gt;(Andrews, 2010)&lt;/DisplayText&gt;&lt;record&gt;&lt;rec-number&gt;2454&lt;/rec-number&gt;&lt;foreign-keys&gt;&lt;key app="EN" db-id="9tvdvttdw2vdzzefs985swtw5arfx559r0fd" timestamp="0"&gt;2454&lt;/key&gt;&lt;/foreign-keys&gt;&lt;ref-type name="Electronic Article"&gt;43&lt;/ref-type&gt;&lt;contributors&gt;&lt;authors&gt;&lt;author&gt;Andrews, S&lt;/author&gt;&lt;/authors&gt;&lt;/contributors&gt;&lt;titles&gt;&lt;title&gt;FastQC a Quality Control Tool for High Throughput Sequence Data [Online]&lt;/title&gt;&lt;tertiary-title&gt;FastQC a Quality Control Tool for High Throughput Sequence Data [Online]&amp;#xD;&lt;/tertiary-title&gt;&lt;/titles&gt;&lt;dates&gt;&lt;year&gt;2010&lt;/year&gt;&lt;/dates&gt;&lt;urls&gt;&lt;related-urls&gt;&lt;url&gt;http://www.bioinformatics.babraham.ac.uk/projects/fastqc/&lt;/url&gt;&lt;/related-urls&gt;&lt;/urls&gt;&lt;/record&gt;&lt;/Cite&gt;&lt;/EndNote&gt;</w:instrText>
      </w:r>
      <w:r w:rsidRPr="00FC7BE1">
        <w:rPr>
          <w:rFonts w:asciiTheme="majorHAnsi" w:hAnsiTheme="majorHAnsi" w:cstheme="majorHAnsi"/>
          <w:sz w:val="22"/>
          <w:szCs w:val="22"/>
        </w:rPr>
        <w:fldChar w:fldCharType="separate"/>
      </w:r>
      <w:r w:rsidR="00381A41" w:rsidRPr="00FC7BE1">
        <w:rPr>
          <w:rFonts w:asciiTheme="majorHAnsi" w:hAnsiTheme="majorHAnsi" w:cstheme="majorHAnsi"/>
          <w:noProof/>
          <w:sz w:val="22"/>
          <w:szCs w:val="22"/>
        </w:rPr>
        <w:t>(</w:t>
      </w:r>
      <w:hyperlink w:anchor="_ENREF_1" w:tooltip="Andrews, 2010 #2454" w:history="1">
        <w:r w:rsidR="00C04AA9" w:rsidRPr="00FC7BE1">
          <w:rPr>
            <w:rFonts w:asciiTheme="majorHAnsi" w:hAnsiTheme="majorHAnsi" w:cstheme="majorHAnsi"/>
            <w:noProof/>
            <w:sz w:val="22"/>
            <w:szCs w:val="22"/>
          </w:rPr>
          <w:t>Andrews, 2010</w:t>
        </w:r>
      </w:hyperlink>
      <w:r w:rsidR="00381A41" w:rsidRPr="00FC7BE1">
        <w:rPr>
          <w:rFonts w:asciiTheme="majorHAnsi" w:hAnsiTheme="majorHAnsi" w:cstheme="majorHAnsi"/>
          <w:noProof/>
          <w:sz w:val="22"/>
          <w:szCs w:val="22"/>
        </w:rPr>
        <w:t>)</w:t>
      </w:r>
      <w:r w:rsidRPr="00FC7BE1">
        <w:rPr>
          <w:rFonts w:asciiTheme="majorHAnsi" w:hAnsiTheme="majorHAnsi" w:cstheme="majorHAnsi"/>
          <w:sz w:val="22"/>
          <w:szCs w:val="22"/>
        </w:rPr>
        <w:fldChar w:fldCharType="end"/>
      </w:r>
      <w:r w:rsidRPr="00FC7BE1">
        <w:rPr>
          <w:rFonts w:asciiTheme="majorHAnsi" w:hAnsiTheme="majorHAnsi" w:cstheme="majorHAnsi"/>
          <w:sz w:val="22"/>
          <w:szCs w:val="22"/>
        </w:rPr>
        <w:t xml:space="preserve"> analyses on all R1 and all R2 files (concatenated across individuals). Paired-end reads for each individual were assembled using PEAR ver. 0.9.5 </w:t>
      </w:r>
      <w:r w:rsidRPr="00FC7BE1">
        <w:rPr>
          <w:rFonts w:asciiTheme="majorHAnsi" w:hAnsiTheme="majorHAnsi" w:cstheme="majorHAnsi"/>
          <w:sz w:val="22"/>
          <w:szCs w:val="22"/>
        </w:rPr>
        <w:fldChar w:fldCharType="begin"/>
      </w:r>
      <w:r w:rsidR="00381A41" w:rsidRPr="00FC7BE1">
        <w:rPr>
          <w:rFonts w:asciiTheme="majorHAnsi" w:hAnsiTheme="majorHAnsi" w:cstheme="majorHAnsi"/>
          <w:sz w:val="22"/>
          <w:szCs w:val="22"/>
        </w:rPr>
        <w:instrText xml:space="preserve"> ADDIN EN.CITE &lt;EndNote&gt;&lt;Cite&gt;&lt;Author&gt;Zhang&lt;/Author&gt;&lt;Year&gt;2014&lt;/Year&gt;&lt;RecNum&gt;2453&lt;/RecNum&gt;&lt;DisplayText&gt;(Zhang, Kobert, Flouri, &amp;amp; Stamatakis, 2014)&lt;/DisplayText&gt;&lt;record&gt;&lt;rec-number&gt;2453&lt;/rec-number&gt;&lt;foreign-keys&gt;&lt;key app="EN" db-id="9tvdvttdw2vdzzefs985swtw5arfx559r0fd" timestamp="0"&gt;2453&lt;/key&gt;&lt;/foreign-keys&gt;&lt;ref-type name="Journal Article"&gt;17&lt;/ref-type&gt;&lt;contributors&gt;&lt;authors&gt;&lt;author&gt;Zhang, J.&lt;/author&gt;&lt;author&gt;Kobert, K.&lt;/author&gt;&lt;author&gt;Flouri, T.&lt;/author&gt;&lt;author&gt;Stamatakis, A.&lt;/author&gt;&lt;/authors&gt;&lt;/contributors&gt;&lt;titles&gt;&lt;title&gt;PEAR: A fast and accurate Illumina Paired-End reAd mergeR&lt;/title&gt;&lt;secondary-title&gt;Bioinformatics &lt;/secondary-title&gt;&lt;/titles&gt;&lt;pages&gt;614-620&lt;/pages&gt;&lt;volume&gt;30&lt;/volume&gt;&lt;number&gt;5&lt;/number&gt;&lt;dates&gt;&lt;year&gt;2014&lt;/year&gt;&lt;/dates&gt;&lt;urls&gt;&lt;/urls&gt;&lt;/record&gt;&lt;/Cite&gt;&lt;/EndNote&gt;</w:instrText>
      </w:r>
      <w:r w:rsidRPr="00FC7BE1">
        <w:rPr>
          <w:rFonts w:asciiTheme="majorHAnsi" w:hAnsiTheme="majorHAnsi" w:cstheme="majorHAnsi"/>
          <w:sz w:val="22"/>
          <w:szCs w:val="22"/>
        </w:rPr>
        <w:fldChar w:fldCharType="separate"/>
      </w:r>
      <w:r w:rsidR="00381A41" w:rsidRPr="00FC7BE1">
        <w:rPr>
          <w:rFonts w:asciiTheme="majorHAnsi" w:hAnsiTheme="majorHAnsi" w:cstheme="majorHAnsi"/>
          <w:noProof/>
          <w:sz w:val="22"/>
          <w:szCs w:val="22"/>
        </w:rPr>
        <w:t>(</w:t>
      </w:r>
      <w:hyperlink w:anchor="_ENREF_10" w:tooltip="Zhang, 2014 #2453" w:history="1">
        <w:r w:rsidR="00C04AA9" w:rsidRPr="00FC7BE1">
          <w:rPr>
            <w:rFonts w:asciiTheme="majorHAnsi" w:hAnsiTheme="majorHAnsi" w:cstheme="majorHAnsi"/>
            <w:noProof/>
            <w:sz w:val="22"/>
            <w:szCs w:val="22"/>
          </w:rPr>
          <w:t>Zhang, Kobert, Flouri, &amp; Stamatakis, 2014</w:t>
        </w:r>
      </w:hyperlink>
      <w:r w:rsidR="00381A41" w:rsidRPr="00FC7BE1">
        <w:rPr>
          <w:rFonts w:asciiTheme="majorHAnsi" w:hAnsiTheme="majorHAnsi" w:cstheme="majorHAnsi"/>
          <w:noProof/>
          <w:sz w:val="22"/>
          <w:szCs w:val="22"/>
        </w:rPr>
        <w:t>)</w:t>
      </w:r>
      <w:r w:rsidRPr="00FC7BE1">
        <w:rPr>
          <w:rFonts w:asciiTheme="majorHAnsi" w:hAnsiTheme="majorHAnsi" w:cstheme="majorHAnsi"/>
          <w:sz w:val="22"/>
          <w:szCs w:val="22"/>
        </w:rPr>
        <w:fldChar w:fldCharType="end"/>
      </w:r>
      <w:r w:rsidRPr="00FC7BE1">
        <w:rPr>
          <w:rFonts w:asciiTheme="majorHAnsi" w:hAnsiTheme="majorHAnsi" w:cstheme="majorHAnsi"/>
          <w:sz w:val="22"/>
          <w:szCs w:val="22"/>
        </w:rPr>
        <w:t xml:space="preserve"> with a 50bp minimum overlap of reads and a Q-value cutoff of 20. Improvement in the quality of the reads (henceforth, assembled paired-end reads are referred to as ‘reads’) was assessed by </w:t>
      </w:r>
      <w:proofErr w:type="spellStart"/>
      <w:r w:rsidRPr="00FC7BE1">
        <w:rPr>
          <w:rFonts w:asciiTheme="majorHAnsi" w:hAnsiTheme="majorHAnsi" w:cstheme="majorHAnsi"/>
          <w:sz w:val="22"/>
          <w:szCs w:val="22"/>
        </w:rPr>
        <w:t>FastQC</w:t>
      </w:r>
      <w:proofErr w:type="spellEnd"/>
      <w:r w:rsidRPr="00FC7BE1">
        <w:rPr>
          <w:rFonts w:asciiTheme="majorHAnsi" w:hAnsiTheme="majorHAnsi" w:cstheme="majorHAnsi"/>
          <w:sz w:val="22"/>
          <w:szCs w:val="22"/>
        </w:rPr>
        <w:t xml:space="preserve"> analysis of 15 randomly selected samples. Target region sequence lengths were investigated for a subset of samples (n=15) in </w:t>
      </w:r>
      <w:proofErr w:type="spellStart"/>
      <w:r w:rsidRPr="00FC7BE1">
        <w:rPr>
          <w:rFonts w:asciiTheme="majorHAnsi" w:hAnsiTheme="majorHAnsi" w:cstheme="majorHAnsi"/>
          <w:sz w:val="22"/>
          <w:szCs w:val="22"/>
        </w:rPr>
        <w:t>Geneious</w:t>
      </w:r>
      <w:proofErr w:type="spellEnd"/>
      <w:r w:rsidRPr="00FC7BE1">
        <w:rPr>
          <w:rFonts w:asciiTheme="majorHAnsi" w:hAnsiTheme="majorHAnsi" w:cstheme="majorHAnsi"/>
          <w:sz w:val="22"/>
          <w:szCs w:val="22"/>
        </w:rPr>
        <w:t xml:space="preserve"> ver. 8.1.7 </w:t>
      </w:r>
      <w:r w:rsidRPr="00FC7BE1">
        <w:rPr>
          <w:rFonts w:asciiTheme="majorHAnsi" w:hAnsiTheme="majorHAnsi" w:cstheme="majorHAnsi"/>
          <w:sz w:val="22"/>
          <w:szCs w:val="22"/>
        </w:rPr>
        <w:fldChar w:fldCharType="begin"/>
      </w:r>
      <w:r w:rsidR="00381A41" w:rsidRPr="00FC7BE1">
        <w:rPr>
          <w:rFonts w:asciiTheme="majorHAnsi" w:hAnsiTheme="majorHAnsi" w:cstheme="majorHAnsi"/>
          <w:sz w:val="22"/>
          <w:szCs w:val="22"/>
        </w:rPr>
        <w:instrText xml:space="preserve"> ADDIN EN.CITE &lt;EndNote&gt;&lt;Cite&gt;&lt;Author&gt;Kearse&lt;/Author&gt;&lt;Year&gt;2012&lt;/Year&gt;&lt;RecNum&gt;2455&lt;/RecNum&gt;&lt;DisplayText&gt;(Kearse, et al., 2012)&lt;/DisplayText&gt;&lt;record&gt;&lt;rec-number&gt;2455&lt;/rec-number&gt;&lt;foreign-keys&gt;&lt;key app="EN" db-id="9tvdvttdw2vdzzefs985swtw5arfx559r0fd" timestamp="0"&gt;2455&lt;/key&gt;&lt;/foreign-keys&gt;&lt;ref-type name="Journal Article"&gt;17&lt;/ref-type&gt;&lt;contributors&gt;&lt;authors&gt;&lt;author&gt;Kearse, M.&lt;/author&gt;&lt;author&gt;Moir, R.&lt;/author&gt;&lt;author&gt;Wilson, A.&lt;/author&gt;&lt;author&gt;Stones-Havas, S.&lt;/author&gt;&lt;author&gt;Cheung, M.&lt;/author&gt;&lt;author&gt;Sturrock, S.&lt;/author&gt;&lt;author&gt;Buxton, S.&lt;/author&gt;&lt;author&gt;Cooper, A.&lt;/author&gt;&lt;author&gt;Markowitz, S.&lt;/author&gt;&lt;author&gt;Duran, C.&lt;/author&gt;&lt;author&gt;Thierer, T.&lt;/author&gt;&lt;author&gt;Ashton, B.&lt;/author&gt;&lt;author&gt;Mentjies, P.&lt;/author&gt;&lt;author&gt;Drummond, A.&lt;/author&gt;&lt;/authors&gt;&lt;/contributors&gt;&lt;titles&gt;&lt;title&gt;Geneious Basic: an integrated and extendable desktop software platform for the organization and analysis of sequence data&lt;/title&gt;&lt;secondary-title&gt;Bioinformatics&lt;/secondary-title&gt;&lt;/titles&gt;&lt;pages&gt;1647-1649&lt;/pages&gt;&lt;volume&gt;28&lt;/volume&gt;&lt;number&gt;12&lt;/number&gt;&lt;dates&gt;&lt;year&gt;2012&lt;/year&gt;&lt;/dates&gt;&lt;urls&gt;&lt;related-urls&gt;&lt;url&gt;http://www.geneious.com&lt;/url&gt;&lt;/related-urls&gt;&lt;/urls&gt;&lt;/record&gt;&lt;/Cite&gt;&lt;/EndNote&gt;</w:instrText>
      </w:r>
      <w:r w:rsidRPr="00FC7BE1">
        <w:rPr>
          <w:rFonts w:asciiTheme="majorHAnsi" w:hAnsiTheme="majorHAnsi" w:cstheme="majorHAnsi"/>
          <w:sz w:val="22"/>
          <w:szCs w:val="22"/>
        </w:rPr>
        <w:fldChar w:fldCharType="separate"/>
      </w:r>
      <w:r w:rsidR="00381A41" w:rsidRPr="00FC7BE1">
        <w:rPr>
          <w:rFonts w:asciiTheme="majorHAnsi" w:hAnsiTheme="majorHAnsi" w:cstheme="majorHAnsi"/>
          <w:noProof/>
          <w:sz w:val="22"/>
          <w:szCs w:val="22"/>
        </w:rPr>
        <w:t>(</w:t>
      </w:r>
      <w:hyperlink w:anchor="_ENREF_4" w:tooltip="Kearse, 2012 #2455" w:history="1">
        <w:r w:rsidR="00C04AA9" w:rsidRPr="00FC7BE1">
          <w:rPr>
            <w:rFonts w:asciiTheme="majorHAnsi" w:hAnsiTheme="majorHAnsi" w:cstheme="majorHAnsi"/>
            <w:noProof/>
            <w:sz w:val="22"/>
            <w:szCs w:val="22"/>
          </w:rPr>
          <w:t>Kearse, et al., 2012</w:t>
        </w:r>
      </w:hyperlink>
      <w:r w:rsidR="00381A41" w:rsidRPr="00FC7BE1">
        <w:rPr>
          <w:rFonts w:asciiTheme="majorHAnsi" w:hAnsiTheme="majorHAnsi" w:cstheme="majorHAnsi"/>
          <w:noProof/>
          <w:sz w:val="22"/>
          <w:szCs w:val="22"/>
        </w:rPr>
        <w:t>)</w:t>
      </w:r>
      <w:r w:rsidRPr="00FC7BE1">
        <w:rPr>
          <w:rFonts w:asciiTheme="majorHAnsi" w:hAnsiTheme="majorHAnsi" w:cstheme="majorHAnsi"/>
          <w:sz w:val="22"/>
          <w:szCs w:val="22"/>
        </w:rPr>
        <w:fldChar w:fldCharType="end"/>
      </w:r>
      <w:r w:rsidRPr="00FC7BE1">
        <w:rPr>
          <w:rFonts w:asciiTheme="majorHAnsi" w:hAnsiTheme="majorHAnsi" w:cstheme="majorHAnsi"/>
          <w:sz w:val="22"/>
          <w:szCs w:val="22"/>
        </w:rPr>
        <w:t xml:space="preserve"> using jMHC ver. 1.6.1624 </w:t>
      </w:r>
      <w:r w:rsidRPr="00FC7BE1">
        <w:rPr>
          <w:rFonts w:asciiTheme="majorHAnsi" w:hAnsiTheme="majorHAnsi" w:cstheme="majorHAnsi"/>
          <w:sz w:val="22"/>
          <w:szCs w:val="22"/>
        </w:rPr>
        <w:fldChar w:fldCharType="begin"/>
      </w:r>
      <w:r w:rsidR="00381A41" w:rsidRPr="00FC7BE1">
        <w:rPr>
          <w:rFonts w:asciiTheme="majorHAnsi" w:hAnsiTheme="majorHAnsi" w:cstheme="majorHAnsi"/>
          <w:sz w:val="22"/>
          <w:szCs w:val="22"/>
        </w:rPr>
        <w:instrText xml:space="preserve"> ADDIN EN.CITE &lt;EndNote&gt;&lt;Cite&gt;&lt;Author&gt;Stuglik&lt;/Author&gt;&lt;Year&gt;2011&lt;/Year&gt;&lt;RecNum&gt;2540&lt;/RecNum&gt;&lt;DisplayText&gt;(Stuglik, Radwan, &amp;amp; Babik, 2011)&lt;/DisplayText&gt;&lt;record&gt;&lt;rec-number&gt;2540&lt;/rec-number&gt;&lt;foreign-keys&gt;&lt;key app="EN" db-id="9tvdvttdw2vdzzefs985swtw5arfx559r0fd" timestamp="0"&gt;2540&lt;/key&gt;&lt;/foreign-keys&gt;&lt;ref-type name="Journal Article"&gt;17&lt;/ref-type&gt;&lt;contributors&gt;&lt;authors&gt;&lt;author&gt;Stuglik, M&lt;/author&gt;&lt;author&gt;Radwan, J&lt;/author&gt;&lt;author&gt;Babik, W&lt;/author&gt;&lt;/authors&gt;&lt;/contributors&gt;&lt;titles&gt;&lt;title&gt;jMHC: Software assistant for multilocus genotyping of gene families using next-generation amplicon sequencing&lt;/title&gt;&lt;secondary-title&gt;Molecular ecology resources&lt;/secondary-title&gt;&lt;/titles&gt;&lt;periodical&gt;&lt;full-title&gt;Molecular Ecology Resources&lt;/full-title&gt;&lt;/periodical&gt;&lt;pages&gt;739-742&lt;/pages&gt;&lt;volume&gt;11&lt;/volume&gt;&lt;dates&gt;&lt;year&gt;2011&lt;/year&gt;&lt;/dates&gt;&lt;urls&gt;&lt;/urls&gt;&lt;/record&gt;&lt;/Cite&gt;&lt;/EndNote&gt;</w:instrText>
      </w:r>
      <w:r w:rsidRPr="00FC7BE1">
        <w:rPr>
          <w:rFonts w:asciiTheme="majorHAnsi" w:hAnsiTheme="majorHAnsi" w:cstheme="majorHAnsi"/>
          <w:sz w:val="22"/>
          <w:szCs w:val="22"/>
        </w:rPr>
        <w:fldChar w:fldCharType="separate"/>
      </w:r>
      <w:r w:rsidR="00381A41" w:rsidRPr="00FC7BE1">
        <w:rPr>
          <w:rFonts w:asciiTheme="majorHAnsi" w:hAnsiTheme="majorHAnsi" w:cstheme="majorHAnsi"/>
          <w:noProof/>
          <w:sz w:val="22"/>
          <w:szCs w:val="22"/>
        </w:rPr>
        <w:t>(</w:t>
      </w:r>
      <w:hyperlink w:anchor="_ENREF_8" w:tooltip="Stuglik, 2011 #2540" w:history="1">
        <w:r w:rsidR="00C04AA9" w:rsidRPr="00FC7BE1">
          <w:rPr>
            <w:rFonts w:asciiTheme="majorHAnsi" w:hAnsiTheme="majorHAnsi" w:cstheme="majorHAnsi"/>
            <w:noProof/>
            <w:sz w:val="22"/>
            <w:szCs w:val="22"/>
          </w:rPr>
          <w:t>Stuglik, Radwan, &amp; Babik, 2011</w:t>
        </w:r>
      </w:hyperlink>
      <w:r w:rsidR="00381A41" w:rsidRPr="00FC7BE1">
        <w:rPr>
          <w:rFonts w:asciiTheme="majorHAnsi" w:hAnsiTheme="majorHAnsi" w:cstheme="majorHAnsi"/>
          <w:noProof/>
          <w:sz w:val="22"/>
          <w:szCs w:val="22"/>
        </w:rPr>
        <w:t>)</w:t>
      </w:r>
      <w:r w:rsidRPr="00FC7BE1">
        <w:rPr>
          <w:rFonts w:asciiTheme="majorHAnsi" w:hAnsiTheme="majorHAnsi" w:cstheme="majorHAnsi"/>
          <w:sz w:val="22"/>
          <w:szCs w:val="22"/>
        </w:rPr>
        <w:fldChar w:fldCharType="end"/>
      </w:r>
      <w:r w:rsidRPr="00FC7BE1">
        <w:rPr>
          <w:rFonts w:asciiTheme="majorHAnsi" w:hAnsiTheme="majorHAnsi" w:cstheme="majorHAnsi"/>
          <w:sz w:val="22"/>
          <w:szCs w:val="22"/>
        </w:rPr>
        <w:t xml:space="preserve"> output, in which all identical reads are collapsed for each individual for a given locus-specific primer pair. Pseudogenes were identified by the presence of premature stop codons. Only lengths that were not pseudogenes or a subset of a longer length were included in downstream analyses. At the time of analysis, the programs used for genotyping (AmpliCHECK and AmpliSAS) required reads to be indexed and concatenated into a single file. Therefore, a python script (</w:t>
      </w:r>
      <w:hyperlink r:id="rId4" w:history="1">
        <w:r w:rsidR="00F31D3F" w:rsidRPr="00FC7BE1">
          <w:rPr>
            <w:rStyle w:val="Hyperlink"/>
            <w:rFonts w:asciiTheme="majorHAnsi" w:hAnsiTheme="majorHAnsi" w:cstheme="majorHAnsi"/>
            <w:sz w:val="22"/>
            <w:szCs w:val="22"/>
          </w:rPr>
          <w:t>https://github.com/kellyp2738/genotyping_methods_hacking_etal</w:t>
        </w:r>
      </w:hyperlink>
      <w:r w:rsidR="00F31D3F" w:rsidRPr="00FC7BE1">
        <w:rPr>
          <w:rFonts w:asciiTheme="majorHAnsi" w:hAnsiTheme="majorHAnsi" w:cstheme="majorHAnsi"/>
          <w:sz w:val="22"/>
          <w:szCs w:val="22"/>
        </w:rPr>
        <w:t>)</w:t>
      </w:r>
      <w:r w:rsidRPr="00FC7BE1">
        <w:rPr>
          <w:rFonts w:asciiTheme="majorHAnsi" w:hAnsiTheme="majorHAnsi" w:cstheme="majorHAnsi"/>
          <w:sz w:val="22"/>
          <w:szCs w:val="22"/>
        </w:rPr>
        <w:t xml:space="preserve"> was written to re-index the reads, which were then concatenated into a single compressed file. From this file, target lengths were extracted using </w:t>
      </w:r>
      <w:proofErr w:type="spellStart"/>
      <w:r w:rsidRPr="00FC7BE1">
        <w:rPr>
          <w:rFonts w:asciiTheme="majorHAnsi" w:hAnsiTheme="majorHAnsi" w:cstheme="majorHAnsi"/>
          <w:sz w:val="22"/>
          <w:szCs w:val="22"/>
        </w:rPr>
        <w:t>Geneious</w:t>
      </w:r>
      <w:proofErr w:type="spellEnd"/>
      <w:r w:rsidRPr="00FC7BE1">
        <w:rPr>
          <w:rFonts w:asciiTheme="majorHAnsi" w:hAnsiTheme="majorHAnsi" w:cstheme="majorHAnsi"/>
          <w:sz w:val="22"/>
          <w:szCs w:val="22"/>
        </w:rPr>
        <w:t xml:space="preserve"> to create smaller, more manageable files suitable for AmpliCHECK and AmpliSAS analysis.</w:t>
      </w:r>
    </w:p>
    <w:p w14:paraId="1B990D20" w14:textId="59993387" w:rsidR="00381A41" w:rsidRPr="00FC7BE1" w:rsidRDefault="00381A41" w:rsidP="00FC7BE1">
      <w:pPr>
        <w:pStyle w:val="Default"/>
        <w:spacing w:before="120" w:after="120" w:line="360" w:lineRule="auto"/>
        <w:jc w:val="both"/>
        <w:rPr>
          <w:rFonts w:asciiTheme="majorHAnsi" w:hAnsiTheme="majorHAnsi" w:cstheme="majorHAnsi"/>
          <w:sz w:val="22"/>
          <w:szCs w:val="22"/>
        </w:rPr>
      </w:pPr>
    </w:p>
    <w:p w14:paraId="32A203F3" w14:textId="272ACF9C" w:rsidR="00601947" w:rsidRPr="00EB43A2" w:rsidRDefault="006D3D39" w:rsidP="00FC7BE1">
      <w:pPr>
        <w:spacing w:before="120" w:after="120" w:line="360" w:lineRule="auto"/>
        <w:jc w:val="both"/>
        <w:rPr>
          <w:rFonts w:ascii="Calisto MT" w:hAnsi="Calisto MT" w:cstheme="majorHAnsi"/>
          <w:i/>
          <w:sz w:val="24"/>
        </w:rPr>
      </w:pPr>
      <w:r>
        <w:rPr>
          <w:rFonts w:ascii="Calisto MT" w:hAnsi="Calisto MT" w:cstheme="majorHAnsi"/>
          <w:i/>
          <w:sz w:val="24"/>
        </w:rPr>
        <w:t xml:space="preserve">Results: </w:t>
      </w:r>
      <w:r w:rsidR="00601947" w:rsidRPr="00EB43A2">
        <w:rPr>
          <w:rFonts w:ascii="Calisto MT" w:hAnsi="Calisto MT" w:cstheme="majorHAnsi"/>
          <w:i/>
          <w:sz w:val="24"/>
        </w:rPr>
        <w:t>Illumina MiSeq and pre-genotyping bioinformatics</w:t>
      </w:r>
    </w:p>
    <w:p w14:paraId="0C7E4863" w14:textId="77777777" w:rsidR="00601947" w:rsidRPr="00FC7BE1" w:rsidRDefault="00601947" w:rsidP="00FC7BE1">
      <w:pPr>
        <w:spacing w:before="120" w:after="120" w:line="360" w:lineRule="auto"/>
        <w:jc w:val="both"/>
        <w:rPr>
          <w:rFonts w:asciiTheme="majorHAnsi" w:hAnsiTheme="majorHAnsi" w:cstheme="majorHAnsi"/>
        </w:rPr>
      </w:pPr>
      <w:r w:rsidRPr="00FC7BE1">
        <w:rPr>
          <w:rFonts w:asciiTheme="majorHAnsi" w:hAnsiTheme="majorHAnsi" w:cstheme="majorHAnsi"/>
        </w:rPr>
        <w:t xml:space="preserve">The complete MiSeq run produced 6.5 million paired-end reads, with 3.1 million of those assigned to the amplicons used in this study (one α1 primer pair and one α2 primer pair; table 2). Initial </w:t>
      </w:r>
      <w:proofErr w:type="spellStart"/>
      <w:r w:rsidRPr="00FC7BE1">
        <w:rPr>
          <w:rFonts w:asciiTheme="majorHAnsi" w:hAnsiTheme="majorHAnsi" w:cstheme="majorHAnsi"/>
        </w:rPr>
        <w:t>FastQC</w:t>
      </w:r>
      <w:proofErr w:type="spellEnd"/>
      <w:r w:rsidRPr="00FC7BE1">
        <w:rPr>
          <w:rFonts w:asciiTheme="majorHAnsi" w:hAnsiTheme="majorHAnsi" w:cstheme="majorHAnsi"/>
        </w:rPr>
        <w:t xml:space="preserve"> analysis of raw, un-paired reads indicated high per-base and per-sequence </w:t>
      </w:r>
      <w:proofErr w:type="spellStart"/>
      <w:r w:rsidRPr="00FC7BE1">
        <w:rPr>
          <w:rFonts w:asciiTheme="majorHAnsi" w:hAnsiTheme="majorHAnsi" w:cstheme="majorHAnsi"/>
        </w:rPr>
        <w:t>Phred</w:t>
      </w:r>
      <w:proofErr w:type="spellEnd"/>
      <w:r w:rsidRPr="00FC7BE1">
        <w:rPr>
          <w:rFonts w:asciiTheme="majorHAnsi" w:hAnsiTheme="majorHAnsi" w:cstheme="majorHAnsi"/>
        </w:rPr>
        <w:t xml:space="preserve"> quality scores and negligible per-base N content. Adapter dimers contributed to a small percentage of the reads produced. </w:t>
      </w:r>
      <w:r w:rsidRPr="00FC7BE1">
        <w:rPr>
          <w:rFonts w:asciiTheme="majorHAnsi" w:hAnsiTheme="majorHAnsi" w:cstheme="majorHAnsi"/>
        </w:rPr>
        <w:lastRenderedPageBreak/>
        <w:t xml:space="preserve">Post paired-end read assembly </w:t>
      </w:r>
      <w:proofErr w:type="spellStart"/>
      <w:r w:rsidRPr="00FC7BE1">
        <w:rPr>
          <w:rFonts w:asciiTheme="majorHAnsi" w:hAnsiTheme="majorHAnsi" w:cstheme="majorHAnsi"/>
        </w:rPr>
        <w:t>FastQC</w:t>
      </w:r>
      <w:proofErr w:type="spellEnd"/>
      <w:r w:rsidRPr="00FC7BE1">
        <w:rPr>
          <w:rFonts w:asciiTheme="majorHAnsi" w:hAnsiTheme="majorHAnsi" w:cstheme="majorHAnsi"/>
        </w:rPr>
        <w:t xml:space="preserve"> analysis of a subset of samples revealed that the per-base and per-sequence </w:t>
      </w:r>
      <w:proofErr w:type="spellStart"/>
      <w:r w:rsidRPr="00FC7BE1">
        <w:rPr>
          <w:rFonts w:asciiTheme="majorHAnsi" w:hAnsiTheme="majorHAnsi" w:cstheme="majorHAnsi"/>
        </w:rPr>
        <w:t>Phred</w:t>
      </w:r>
      <w:proofErr w:type="spellEnd"/>
      <w:r w:rsidRPr="00FC7BE1">
        <w:rPr>
          <w:rFonts w:asciiTheme="majorHAnsi" w:hAnsiTheme="majorHAnsi" w:cstheme="majorHAnsi"/>
        </w:rPr>
        <w:t xml:space="preserve"> quality scores were slightly improved (per-sequence quality score 39-40) and contaminating adapter had been removed. On average, there were 17,174 reads per sample (including both α1 and α2 amplicons) and 99.7% of raw reads were paired. Investigation of variant lengths revealed that the α1 primers amplified a 206bp and 225bp fragment. All variants of 225bp in length contained premature stop codons and were assumed to be a pseudogene and consequently excluded from further analysis. Variants of 217bp and 214bp in length were produced for α2, with the size difference due to a 3bp insertion or deletion, with both size variants translating. All target lengths were present in all populations and the 214bp and 217bp α2 variants were </w:t>
      </w:r>
      <w:proofErr w:type="spellStart"/>
      <w:r w:rsidRPr="00FC7BE1">
        <w:rPr>
          <w:rFonts w:asciiTheme="majorHAnsi" w:hAnsiTheme="majorHAnsi" w:cstheme="majorHAnsi"/>
        </w:rPr>
        <w:t>analysed</w:t>
      </w:r>
      <w:proofErr w:type="spellEnd"/>
      <w:r w:rsidRPr="00FC7BE1">
        <w:rPr>
          <w:rFonts w:asciiTheme="majorHAnsi" w:hAnsiTheme="majorHAnsi" w:cstheme="majorHAnsi"/>
        </w:rPr>
        <w:t xml:space="preserve"> together.  </w:t>
      </w:r>
    </w:p>
    <w:p w14:paraId="2C5C41E0" w14:textId="6A580570" w:rsidR="00601947" w:rsidRPr="00FC7BE1" w:rsidRDefault="00601947" w:rsidP="00FC7BE1">
      <w:pPr>
        <w:spacing w:line="360" w:lineRule="auto"/>
        <w:rPr>
          <w:rFonts w:asciiTheme="majorHAnsi" w:hAnsiTheme="majorHAnsi" w:cstheme="majorHAnsi"/>
        </w:rPr>
      </w:pPr>
    </w:p>
    <w:p w14:paraId="4DD59C70" w14:textId="5594B921" w:rsidR="00601947" w:rsidRPr="00FC7BE1" w:rsidRDefault="00601947" w:rsidP="00FC7BE1">
      <w:pPr>
        <w:spacing w:line="360" w:lineRule="auto"/>
        <w:rPr>
          <w:rFonts w:asciiTheme="majorHAnsi" w:hAnsiTheme="majorHAnsi" w:cstheme="majorHAnsi"/>
        </w:rPr>
      </w:pPr>
    </w:p>
    <w:p w14:paraId="458F1402" w14:textId="1CFF7595" w:rsidR="00601947" w:rsidRPr="00FC7BE1" w:rsidRDefault="00601947" w:rsidP="00FC7BE1">
      <w:pPr>
        <w:spacing w:line="360" w:lineRule="auto"/>
        <w:rPr>
          <w:rFonts w:asciiTheme="majorHAnsi" w:hAnsiTheme="majorHAnsi" w:cstheme="majorHAnsi"/>
        </w:rPr>
      </w:pPr>
    </w:p>
    <w:p w14:paraId="0F4E9B57" w14:textId="55AA13A6" w:rsidR="00601947" w:rsidRPr="00FC7BE1" w:rsidRDefault="00601947" w:rsidP="00FC7BE1">
      <w:pPr>
        <w:spacing w:line="360" w:lineRule="auto"/>
        <w:rPr>
          <w:rFonts w:asciiTheme="majorHAnsi" w:hAnsiTheme="majorHAnsi" w:cstheme="majorHAnsi"/>
        </w:rPr>
      </w:pPr>
    </w:p>
    <w:p w14:paraId="78C0A63C" w14:textId="11B65152" w:rsidR="00601947" w:rsidRPr="00FC7BE1" w:rsidRDefault="00601947" w:rsidP="00FC7BE1">
      <w:pPr>
        <w:spacing w:line="360" w:lineRule="auto"/>
        <w:rPr>
          <w:rFonts w:asciiTheme="majorHAnsi" w:hAnsiTheme="majorHAnsi" w:cstheme="majorHAnsi"/>
        </w:rPr>
      </w:pPr>
    </w:p>
    <w:p w14:paraId="1A5A84A4" w14:textId="1D9F56DB" w:rsidR="00601947" w:rsidRPr="00FC7BE1" w:rsidRDefault="00601947" w:rsidP="00FC7BE1">
      <w:pPr>
        <w:spacing w:line="360" w:lineRule="auto"/>
        <w:rPr>
          <w:rFonts w:asciiTheme="majorHAnsi" w:hAnsiTheme="majorHAnsi" w:cstheme="majorHAnsi"/>
        </w:rPr>
      </w:pPr>
    </w:p>
    <w:p w14:paraId="04D3C9C8" w14:textId="4BF0B64D" w:rsidR="00601947" w:rsidRPr="00FC7BE1" w:rsidRDefault="00601947" w:rsidP="00FC7BE1">
      <w:pPr>
        <w:spacing w:line="360" w:lineRule="auto"/>
        <w:rPr>
          <w:rFonts w:asciiTheme="majorHAnsi" w:hAnsiTheme="majorHAnsi" w:cstheme="majorHAnsi"/>
        </w:rPr>
      </w:pPr>
    </w:p>
    <w:p w14:paraId="6C8E8E19" w14:textId="33EE4507" w:rsidR="00601947" w:rsidRPr="00FC7BE1" w:rsidRDefault="00601947" w:rsidP="00FC7BE1">
      <w:pPr>
        <w:spacing w:line="360" w:lineRule="auto"/>
        <w:rPr>
          <w:rFonts w:asciiTheme="majorHAnsi" w:hAnsiTheme="majorHAnsi" w:cstheme="majorHAnsi"/>
        </w:rPr>
      </w:pPr>
    </w:p>
    <w:p w14:paraId="56DADF67" w14:textId="25B965A9" w:rsidR="00601947" w:rsidRPr="00FC7BE1" w:rsidRDefault="00601947" w:rsidP="00FC7BE1">
      <w:pPr>
        <w:spacing w:line="360" w:lineRule="auto"/>
        <w:rPr>
          <w:rFonts w:asciiTheme="majorHAnsi" w:hAnsiTheme="majorHAnsi" w:cstheme="majorHAnsi"/>
        </w:rPr>
      </w:pPr>
    </w:p>
    <w:p w14:paraId="547DC5CE" w14:textId="306B5BAE" w:rsidR="00601947" w:rsidRDefault="00601947" w:rsidP="00FC7BE1">
      <w:pPr>
        <w:spacing w:line="360" w:lineRule="auto"/>
        <w:rPr>
          <w:rFonts w:asciiTheme="majorHAnsi" w:hAnsiTheme="majorHAnsi" w:cstheme="majorHAnsi"/>
        </w:rPr>
      </w:pPr>
    </w:p>
    <w:p w14:paraId="21A8EB0B" w14:textId="684DCDC0" w:rsidR="006D3D39" w:rsidRDefault="006D3D39" w:rsidP="00FC7BE1">
      <w:pPr>
        <w:spacing w:line="360" w:lineRule="auto"/>
        <w:rPr>
          <w:rFonts w:asciiTheme="majorHAnsi" w:hAnsiTheme="majorHAnsi" w:cstheme="majorHAnsi"/>
        </w:rPr>
      </w:pPr>
    </w:p>
    <w:p w14:paraId="0BDB26E7" w14:textId="717031D3" w:rsidR="006D3D39" w:rsidRDefault="006D3D39" w:rsidP="00FC7BE1">
      <w:pPr>
        <w:spacing w:line="360" w:lineRule="auto"/>
        <w:rPr>
          <w:rFonts w:asciiTheme="majorHAnsi" w:hAnsiTheme="majorHAnsi" w:cstheme="majorHAnsi"/>
        </w:rPr>
      </w:pPr>
    </w:p>
    <w:p w14:paraId="7834578C" w14:textId="0B0F8548" w:rsidR="006D3D39" w:rsidRDefault="006D3D39" w:rsidP="00FC7BE1">
      <w:pPr>
        <w:spacing w:line="360" w:lineRule="auto"/>
        <w:rPr>
          <w:rFonts w:asciiTheme="majorHAnsi" w:hAnsiTheme="majorHAnsi" w:cstheme="majorHAnsi"/>
        </w:rPr>
      </w:pPr>
    </w:p>
    <w:p w14:paraId="6D78D287" w14:textId="4F3167CC" w:rsidR="006D3D39" w:rsidRDefault="006D3D39" w:rsidP="00FC7BE1">
      <w:pPr>
        <w:spacing w:line="360" w:lineRule="auto"/>
        <w:rPr>
          <w:rFonts w:asciiTheme="majorHAnsi" w:hAnsiTheme="majorHAnsi" w:cstheme="majorHAnsi"/>
        </w:rPr>
      </w:pPr>
    </w:p>
    <w:p w14:paraId="3567E689" w14:textId="6E03DF0C" w:rsidR="006D3D39" w:rsidRDefault="006D3D39" w:rsidP="00FC7BE1">
      <w:pPr>
        <w:spacing w:line="360" w:lineRule="auto"/>
        <w:rPr>
          <w:rFonts w:asciiTheme="majorHAnsi" w:hAnsiTheme="majorHAnsi" w:cstheme="majorHAnsi"/>
        </w:rPr>
      </w:pPr>
    </w:p>
    <w:p w14:paraId="2590C1ED" w14:textId="3D6C7099" w:rsidR="006D3D39" w:rsidRDefault="006D3D39" w:rsidP="00FC7BE1">
      <w:pPr>
        <w:spacing w:line="360" w:lineRule="auto"/>
        <w:rPr>
          <w:rFonts w:asciiTheme="majorHAnsi" w:hAnsiTheme="majorHAnsi" w:cstheme="majorHAnsi"/>
        </w:rPr>
      </w:pPr>
    </w:p>
    <w:p w14:paraId="04286CB6" w14:textId="1DDF2E67" w:rsidR="006D3D39" w:rsidRDefault="006D3D39" w:rsidP="00FC7BE1">
      <w:pPr>
        <w:spacing w:line="360" w:lineRule="auto"/>
        <w:rPr>
          <w:rFonts w:asciiTheme="majorHAnsi" w:hAnsiTheme="majorHAnsi" w:cstheme="majorHAnsi"/>
        </w:rPr>
      </w:pPr>
    </w:p>
    <w:p w14:paraId="1603E64F" w14:textId="77777777" w:rsidR="006D3D39" w:rsidRPr="00FC7BE1" w:rsidRDefault="006D3D39" w:rsidP="00FC7BE1">
      <w:pPr>
        <w:spacing w:line="360" w:lineRule="auto"/>
        <w:rPr>
          <w:rFonts w:asciiTheme="majorHAnsi" w:hAnsiTheme="majorHAnsi" w:cstheme="majorHAnsi"/>
        </w:rPr>
      </w:pPr>
    </w:p>
    <w:p w14:paraId="558CDAFF" w14:textId="24CE46A1" w:rsidR="00D8258D" w:rsidRDefault="00D8258D" w:rsidP="00FC7BE1">
      <w:pPr>
        <w:spacing w:line="360" w:lineRule="auto"/>
        <w:rPr>
          <w:rFonts w:ascii="Calisto MT" w:hAnsi="Calisto MT" w:cstheme="majorHAnsi"/>
          <w:sz w:val="24"/>
        </w:rPr>
      </w:pPr>
      <w:r w:rsidRPr="00EB43A2">
        <w:rPr>
          <w:rFonts w:ascii="Calisto MT" w:hAnsi="Calisto MT" w:cstheme="majorHAnsi"/>
          <w:sz w:val="24"/>
        </w:rPr>
        <w:lastRenderedPageBreak/>
        <w:t xml:space="preserve">Tables and figures </w:t>
      </w:r>
    </w:p>
    <w:p w14:paraId="46BE1C6F" w14:textId="0D5A93F0" w:rsidR="006156F4" w:rsidRPr="00FC7BE1" w:rsidRDefault="006156F4" w:rsidP="00FC7BE1">
      <w:pPr>
        <w:spacing w:line="360" w:lineRule="auto"/>
        <w:rPr>
          <w:rFonts w:asciiTheme="majorHAnsi" w:hAnsiTheme="majorHAnsi" w:cstheme="majorHAnsi"/>
        </w:rPr>
      </w:pPr>
      <w:r w:rsidRPr="00FC7BE1">
        <w:rPr>
          <w:rFonts w:asciiTheme="majorHAnsi" w:hAnsiTheme="majorHAnsi" w:cstheme="majorHAnsi"/>
          <w:b/>
        </w:rPr>
        <w:t>Table S</w:t>
      </w:r>
      <w:r w:rsidR="00936A75">
        <w:rPr>
          <w:rFonts w:asciiTheme="majorHAnsi" w:hAnsiTheme="majorHAnsi" w:cstheme="majorHAnsi"/>
          <w:b/>
        </w:rPr>
        <w:t>1</w:t>
      </w:r>
      <w:bookmarkStart w:id="0" w:name="_GoBack"/>
      <w:bookmarkEnd w:id="0"/>
      <w:r w:rsidRPr="00FC7BE1">
        <w:rPr>
          <w:rFonts w:asciiTheme="majorHAnsi" w:hAnsiTheme="majorHAnsi" w:cstheme="majorHAnsi"/>
          <w:b/>
        </w:rPr>
        <w:t>.</w:t>
      </w:r>
      <w:r w:rsidRPr="00FC7BE1">
        <w:rPr>
          <w:rFonts w:asciiTheme="majorHAnsi" w:hAnsiTheme="majorHAnsi" w:cstheme="majorHAnsi"/>
        </w:rPr>
        <w:t xml:space="preserve"> List of inner and outer primer sequences </w:t>
      </w:r>
      <w:r w:rsidR="00817AF6" w:rsidRPr="00FC7BE1">
        <w:rPr>
          <w:rFonts w:asciiTheme="majorHAnsi" w:hAnsiTheme="majorHAnsi" w:cstheme="majorHAnsi"/>
        </w:rPr>
        <w:t xml:space="preserve">and indexes </w:t>
      </w:r>
      <w:r w:rsidRPr="00FC7BE1">
        <w:rPr>
          <w:rFonts w:asciiTheme="majorHAnsi" w:hAnsiTheme="majorHAnsi" w:cstheme="majorHAnsi"/>
        </w:rPr>
        <w:t xml:space="preserve">used to amplify MHC class I in </w:t>
      </w:r>
      <w:r w:rsidRPr="00FC7BE1">
        <w:rPr>
          <w:rFonts w:asciiTheme="majorHAnsi" w:hAnsiTheme="majorHAnsi" w:cstheme="majorHAnsi"/>
          <w:i/>
        </w:rPr>
        <w:t>C. decresii</w:t>
      </w:r>
      <w:r w:rsidRPr="00FC7BE1">
        <w:rPr>
          <w:rFonts w:asciiTheme="majorHAnsi" w:hAnsiTheme="majorHAnsi" w:cstheme="majorHAnsi"/>
        </w:rPr>
        <w:t xml:space="preserve"> and identify individuals. </w:t>
      </w:r>
    </w:p>
    <w:tbl>
      <w:tblPr>
        <w:tblStyle w:val="PlainTable21"/>
        <w:tblW w:w="9000" w:type="dxa"/>
        <w:tblLook w:val="04A0" w:firstRow="1" w:lastRow="0" w:firstColumn="1" w:lastColumn="0" w:noHBand="0" w:noVBand="1"/>
      </w:tblPr>
      <w:tblGrid>
        <w:gridCol w:w="2080"/>
        <w:gridCol w:w="2592"/>
        <w:gridCol w:w="4328"/>
      </w:tblGrid>
      <w:tr w:rsidR="00386F1B" w:rsidRPr="00FC7BE1" w14:paraId="4A0D78F0" w14:textId="77777777" w:rsidTr="00181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single" w:sz="12" w:space="0" w:color="808080" w:themeColor="background1" w:themeShade="80"/>
              <w:bottom w:val="single" w:sz="12" w:space="0" w:color="808080" w:themeColor="background1" w:themeShade="80"/>
            </w:tcBorders>
            <w:vAlign w:val="center"/>
          </w:tcPr>
          <w:p w14:paraId="0655BB93" w14:textId="77777777" w:rsidR="00386F1B" w:rsidRPr="0018139D" w:rsidRDefault="00386F1B" w:rsidP="00B015B0">
            <w:pPr>
              <w:spacing w:before="120" w:after="120"/>
              <w:rPr>
                <w:rFonts w:ascii="Calisto MT" w:hAnsi="Calisto MT" w:cstheme="majorHAnsi"/>
                <w:b w:val="0"/>
              </w:rPr>
            </w:pPr>
            <w:bookmarkStart w:id="1" w:name="_Hlk523395808"/>
            <w:r w:rsidRPr="0018139D">
              <w:rPr>
                <w:rFonts w:ascii="Calisto MT" w:hAnsi="Calisto MT" w:cstheme="majorHAnsi"/>
                <w:b w:val="0"/>
              </w:rPr>
              <w:t>Primer/index name</w:t>
            </w:r>
          </w:p>
        </w:tc>
        <w:tc>
          <w:tcPr>
            <w:tcW w:w="2592" w:type="dxa"/>
            <w:tcBorders>
              <w:top w:val="single" w:sz="12" w:space="0" w:color="808080" w:themeColor="background1" w:themeShade="80"/>
              <w:bottom w:val="single" w:sz="12" w:space="0" w:color="808080" w:themeColor="background1" w:themeShade="80"/>
            </w:tcBorders>
            <w:vAlign w:val="center"/>
          </w:tcPr>
          <w:p w14:paraId="2209A370" w14:textId="77777777" w:rsidR="00386F1B" w:rsidRPr="0018139D" w:rsidRDefault="00386F1B" w:rsidP="00B015B0">
            <w:pPr>
              <w:spacing w:before="120" w:after="120"/>
              <w:cnfStyle w:val="100000000000" w:firstRow="1" w:lastRow="0" w:firstColumn="0" w:lastColumn="0" w:oddVBand="0" w:evenVBand="0" w:oddHBand="0" w:evenHBand="0" w:firstRowFirstColumn="0" w:firstRowLastColumn="0" w:lastRowFirstColumn="0" w:lastRowLastColumn="0"/>
              <w:rPr>
                <w:rFonts w:ascii="Calisto MT" w:hAnsi="Calisto MT" w:cstheme="majorHAnsi"/>
                <w:b w:val="0"/>
              </w:rPr>
            </w:pPr>
            <w:r w:rsidRPr="0018139D">
              <w:rPr>
                <w:rFonts w:ascii="Calisto MT" w:hAnsi="Calisto MT" w:cstheme="majorHAnsi"/>
                <w:b w:val="0"/>
              </w:rPr>
              <w:t>Description</w:t>
            </w:r>
          </w:p>
        </w:tc>
        <w:tc>
          <w:tcPr>
            <w:tcW w:w="4328" w:type="dxa"/>
            <w:tcBorders>
              <w:top w:val="single" w:sz="12" w:space="0" w:color="808080" w:themeColor="background1" w:themeShade="80"/>
              <w:bottom w:val="single" w:sz="12" w:space="0" w:color="808080" w:themeColor="background1" w:themeShade="80"/>
            </w:tcBorders>
            <w:vAlign w:val="center"/>
          </w:tcPr>
          <w:p w14:paraId="66CFB988" w14:textId="77777777" w:rsidR="00386F1B" w:rsidRPr="0018139D" w:rsidRDefault="00386F1B" w:rsidP="00B015B0">
            <w:pPr>
              <w:spacing w:before="120" w:after="120"/>
              <w:cnfStyle w:val="100000000000" w:firstRow="1" w:lastRow="0" w:firstColumn="0" w:lastColumn="0" w:oddVBand="0" w:evenVBand="0" w:oddHBand="0" w:evenHBand="0" w:firstRowFirstColumn="0" w:firstRowLastColumn="0" w:lastRowFirstColumn="0" w:lastRowLastColumn="0"/>
              <w:rPr>
                <w:rFonts w:ascii="Calisto MT" w:hAnsi="Calisto MT" w:cstheme="majorHAnsi"/>
                <w:b w:val="0"/>
              </w:rPr>
            </w:pPr>
            <w:r w:rsidRPr="0018139D">
              <w:rPr>
                <w:rFonts w:ascii="Calisto MT" w:hAnsi="Calisto MT" w:cstheme="majorHAnsi"/>
                <w:b w:val="0"/>
              </w:rPr>
              <w:t>Sequence</w:t>
            </w:r>
            <w:r w:rsidR="00464D63" w:rsidRPr="0018139D">
              <w:rPr>
                <w:rFonts w:ascii="Calisto MT" w:hAnsi="Calisto MT" w:cstheme="majorHAnsi"/>
                <w:b w:val="0"/>
              </w:rPr>
              <w:t xml:space="preserve"> (5’ – 3’)</w:t>
            </w:r>
          </w:p>
        </w:tc>
      </w:tr>
      <w:tr w:rsidR="00386F1B" w:rsidRPr="00FC7BE1" w14:paraId="0DB7F8F1"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single" w:sz="12" w:space="0" w:color="808080" w:themeColor="background1" w:themeShade="80"/>
              <w:bottom w:val="nil"/>
            </w:tcBorders>
            <w:vAlign w:val="center"/>
          </w:tcPr>
          <w:p w14:paraId="01E56390" w14:textId="77777777" w:rsidR="00386F1B" w:rsidRPr="00FC7BE1" w:rsidRDefault="00464D63" w:rsidP="00B015B0">
            <w:pPr>
              <w:spacing w:before="120" w:after="120"/>
              <w:rPr>
                <w:rFonts w:asciiTheme="majorHAnsi" w:hAnsiTheme="majorHAnsi" w:cstheme="majorHAnsi"/>
                <w:b w:val="0"/>
              </w:rPr>
            </w:pPr>
            <w:r w:rsidRPr="00FC7BE1">
              <w:rPr>
                <w:rFonts w:asciiTheme="majorHAnsi" w:hAnsiTheme="majorHAnsi" w:cstheme="majorHAnsi"/>
                <w:b w:val="0"/>
              </w:rPr>
              <w:t>MHC1_A1_G234_F</w:t>
            </w:r>
          </w:p>
        </w:tc>
        <w:tc>
          <w:tcPr>
            <w:tcW w:w="2592" w:type="dxa"/>
            <w:tcBorders>
              <w:top w:val="single" w:sz="12" w:space="0" w:color="808080" w:themeColor="background1" w:themeShade="80"/>
              <w:bottom w:val="nil"/>
            </w:tcBorders>
            <w:vAlign w:val="center"/>
          </w:tcPr>
          <w:p w14:paraId="58292CA8" w14:textId="77777777" w:rsidR="00386F1B" w:rsidRPr="00FC7BE1" w:rsidRDefault="003C52E2"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MHC</w:t>
            </w:r>
            <w:r w:rsidR="00464D63" w:rsidRPr="00FC7BE1">
              <w:rPr>
                <w:rFonts w:asciiTheme="majorHAnsi" w:hAnsiTheme="majorHAnsi" w:cstheme="majorHAnsi"/>
              </w:rPr>
              <w:t xml:space="preserve"> class I α1 forward primer. Part of ‘inner’ primer.</w:t>
            </w:r>
          </w:p>
        </w:tc>
        <w:tc>
          <w:tcPr>
            <w:tcW w:w="4328" w:type="dxa"/>
            <w:tcBorders>
              <w:top w:val="single" w:sz="12" w:space="0" w:color="808080" w:themeColor="background1" w:themeShade="80"/>
              <w:bottom w:val="nil"/>
            </w:tcBorders>
            <w:vAlign w:val="center"/>
          </w:tcPr>
          <w:p w14:paraId="3EA2FC5B" w14:textId="77777777" w:rsidR="00386F1B" w:rsidRPr="00FC7BE1" w:rsidRDefault="00464D63"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GGCTCCTCCTCGCACTCCCTG</w:t>
            </w:r>
          </w:p>
        </w:tc>
      </w:tr>
      <w:tr w:rsidR="00386F1B" w:rsidRPr="00FC7BE1" w14:paraId="7B14EADF"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65D5ECC5" w14:textId="77777777" w:rsidR="00386F1B" w:rsidRPr="00FC7BE1" w:rsidRDefault="00464D63" w:rsidP="00B015B0">
            <w:pPr>
              <w:spacing w:before="120" w:after="120"/>
              <w:rPr>
                <w:rFonts w:asciiTheme="majorHAnsi" w:hAnsiTheme="majorHAnsi" w:cstheme="majorHAnsi"/>
                <w:b w:val="0"/>
              </w:rPr>
            </w:pPr>
            <w:r w:rsidRPr="00FC7BE1">
              <w:rPr>
                <w:rFonts w:asciiTheme="majorHAnsi" w:hAnsiTheme="majorHAnsi" w:cstheme="majorHAnsi"/>
                <w:b w:val="0"/>
              </w:rPr>
              <w:t>MHC1_A1_G234_R</w:t>
            </w:r>
          </w:p>
        </w:tc>
        <w:tc>
          <w:tcPr>
            <w:tcW w:w="2592" w:type="dxa"/>
            <w:tcBorders>
              <w:top w:val="nil"/>
              <w:bottom w:val="nil"/>
            </w:tcBorders>
            <w:vAlign w:val="center"/>
          </w:tcPr>
          <w:p w14:paraId="5AE93CBF" w14:textId="77777777" w:rsidR="00386F1B" w:rsidRPr="00FC7BE1" w:rsidRDefault="00464D63"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MHC class I α1 reverse primer. Part of ‘inner’ primer.</w:t>
            </w:r>
          </w:p>
        </w:tc>
        <w:tc>
          <w:tcPr>
            <w:tcW w:w="4328" w:type="dxa"/>
            <w:tcBorders>
              <w:top w:val="nil"/>
              <w:bottom w:val="nil"/>
            </w:tcBorders>
            <w:vAlign w:val="center"/>
          </w:tcPr>
          <w:p w14:paraId="40CC5CE7" w14:textId="77777777" w:rsidR="00386F1B" w:rsidRPr="00FC7BE1" w:rsidRDefault="00464D63"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ACATTCTGCAGGCTCACTCTGAAC</w:t>
            </w:r>
          </w:p>
        </w:tc>
      </w:tr>
      <w:tr w:rsidR="00BF5A9E" w:rsidRPr="00FC7BE1" w14:paraId="713E83E5"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6C836EDC" w14:textId="77777777" w:rsidR="00464D63" w:rsidRPr="00FC7BE1" w:rsidRDefault="00464D63" w:rsidP="00B015B0">
            <w:pPr>
              <w:spacing w:before="120" w:after="120"/>
              <w:rPr>
                <w:rFonts w:asciiTheme="majorHAnsi" w:hAnsiTheme="majorHAnsi" w:cstheme="majorHAnsi"/>
                <w:b w:val="0"/>
              </w:rPr>
            </w:pPr>
            <w:r w:rsidRPr="00FC7BE1">
              <w:rPr>
                <w:rFonts w:asciiTheme="majorHAnsi" w:hAnsiTheme="majorHAnsi" w:cstheme="majorHAnsi"/>
                <w:b w:val="0"/>
              </w:rPr>
              <w:t>MHC1_A2_G234_F</w:t>
            </w:r>
          </w:p>
        </w:tc>
        <w:tc>
          <w:tcPr>
            <w:tcW w:w="2592" w:type="dxa"/>
            <w:tcBorders>
              <w:top w:val="nil"/>
              <w:bottom w:val="nil"/>
            </w:tcBorders>
            <w:vAlign w:val="center"/>
          </w:tcPr>
          <w:p w14:paraId="0940E5E3" w14:textId="77777777" w:rsidR="00464D63" w:rsidRPr="00FC7BE1" w:rsidRDefault="00464D63"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MHC class I α2 forward primer. Part of ‘inner’ primer.</w:t>
            </w:r>
          </w:p>
        </w:tc>
        <w:tc>
          <w:tcPr>
            <w:tcW w:w="4328" w:type="dxa"/>
            <w:tcBorders>
              <w:top w:val="nil"/>
              <w:bottom w:val="nil"/>
            </w:tcBorders>
            <w:vAlign w:val="center"/>
          </w:tcPr>
          <w:p w14:paraId="19BFE19A" w14:textId="77777777" w:rsidR="00464D63" w:rsidRPr="00FC7BE1" w:rsidRDefault="00464D63" w:rsidP="00B015B0">
            <w:pPr>
              <w:spacing w:before="120" w:after="120"/>
              <w:ind w:left="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TGCAGTTGATGTACGGCTGTGAGC</w:t>
            </w:r>
          </w:p>
        </w:tc>
      </w:tr>
      <w:tr w:rsidR="00464D63" w:rsidRPr="00FC7BE1" w14:paraId="5F06652D"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0656D5D1" w14:textId="77777777" w:rsidR="00464D63" w:rsidRPr="00FC7BE1" w:rsidRDefault="00464D63" w:rsidP="00B015B0">
            <w:pPr>
              <w:spacing w:before="120" w:after="120"/>
              <w:rPr>
                <w:rFonts w:asciiTheme="majorHAnsi" w:hAnsiTheme="majorHAnsi" w:cstheme="majorHAnsi"/>
                <w:b w:val="0"/>
              </w:rPr>
            </w:pPr>
            <w:r w:rsidRPr="00FC7BE1">
              <w:rPr>
                <w:rFonts w:asciiTheme="majorHAnsi" w:hAnsiTheme="majorHAnsi" w:cstheme="majorHAnsi"/>
                <w:b w:val="0"/>
              </w:rPr>
              <w:t>MHC1_A2_G12_R</w:t>
            </w:r>
          </w:p>
        </w:tc>
        <w:tc>
          <w:tcPr>
            <w:tcW w:w="2592" w:type="dxa"/>
            <w:tcBorders>
              <w:top w:val="nil"/>
              <w:bottom w:val="nil"/>
            </w:tcBorders>
            <w:vAlign w:val="center"/>
          </w:tcPr>
          <w:p w14:paraId="4C555C83" w14:textId="77777777" w:rsidR="00464D63" w:rsidRPr="00FC7BE1" w:rsidRDefault="00464D63"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MHC class I α2 reverse primer. Part of ‘inner’ primer.</w:t>
            </w:r>
          </w:p>
        </w:tc>
        <w:tc>
          <w:tcPr>
            <w:tcW w:w="4328" w:type="dxa"/>
            <w:tcBorders>
              <w:top w:val="nil"/>
              <w:bottom w:val="nil"/>
            </w:tcBorders>
            <w:vAlign w:val="center"/>
          </w:tcPr>
          <w:p w14:paraId="01CAE02A" w14:textId="77777777" w:rsidR="00464D63" w:rsidRPr="00FC7BE1" w:rsidRDefault="00464D63"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CCTCAGTAGGCTCTCCCTCCCG</w:t>
            </w:r>
          </w:p>
        </w:tc>
      </w:tr>
      <w:tr w:rsidR="00BF5A9E" w:rsidRPr="00FC7BE1" w14:paraId="129EA05A"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136458DA" w14:textId="77777777" w:rsidR="00464D63" w:rsidRPr="00FC7BE1" w:rsidRDefault="00464D63" w:rsidP="00B015B0">
            <w:pPr>
              <w:spacing w:before="120" w:after="120"/>
              <w:rPr>
                <w:rFonts w:asciiTheme="majorHAnsi" w:hAnsiTheme="majorHAnsi" w:cstheme="majorHAnsi"/>
                <w:b w:val="0"/>
              </w:rPr>
            </w:pPr>
            <w:r w:rsidRPr="00FC7BE1">
              <w:rPr>
                <w:rFonts w:asciiTheme="majorHAnsi" w:hAnsiTheme="majorHAnsi" w:cstheme="majorHAnsi"/>
                <w:b w:val="0"/>
              </w:rPr>
              <w:t>MRT forward tag</w:t>
            </w:r>
          </w:p>
        </w:tc>
        <w:tc>
          <w:tcPr>
            <w:tcW w:w="2592" w:type="dxa"/>
            <w:tcBorders>
              <w:top w:val="nil"/>
              <w:bottom w:val="nil"/>
            </w:tcBorders>
            <w:vAlign w:val="center"/>
          </w:tcPr>
          <w:p w14:paraId="0BB16416" w14:textId="77777777" w:rsidR="00464D63" w:rsidRPr="00FC7BE1" w:rsidRDefault="00464D63"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 xml:space="preserve">Link inner and out primers  </w:t>
            </w:r>
          </w:p>
        </w:tc>
        <w:tc>
          <w:tcPr>
            <w:tcW w:w="4328" w:type="dxa"/>
            <w:tcBorders>
              <w:top w:val="nil"/>
              <w:bottom w:val="nil"/>
            </w:tcBorders>
            <w:vAlign w:val="center"/>
          </w:tcPr>
          <w:p w14:paraId="2F595F02" w14:textId="77777777" w:rsidR="00464D63" w:rsidRPr="00FC7BE1" w:rsidRDefault="00464D63"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ACGACGTTGTAAAA</w:t>
            </w:r>
          </w:p>
        </w:tc>
      </w:tr>
      <w:tr w:rsidR="00BF5A9E" w:rsidRPr="00FC7BE1" w14:paraId="0D6E9AC5"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6A7A6141" w14:textId="77777777" w:rsidR="00464D63" w:rsidRPr="00FC7BE1" w:rsidRDefault="00464D63" w:rsidP="00B015B0">
            <w:pPr>
              <w:spacing w:before="120" w:after="120"/>
              <w:rPr>
                <w:rFonts w:asciiTheme="majorHAnsi" w:hAnsiTheme="majorHAnsi" w:cstheme="majorHAnsi"/>
                <w:b w:val="0"/>
              </w:rPr>
            </w:pPr>
            <w:r w:rsidRPr="00FC7BE1">
              <w:rPr>
                <w:rFonts w:asciiTheme="majorHAnsi" w:hAnsiTheme="majorHAnsi" w:cstheme="majorHAnsi"/>
                <w:b w:val="0"/>
              </w:rPr>
              <w:t>MRT reverse tag</w:t>
            </w:r>
          </w:p>
        </w:tc>
        <w:tc>
          <w:tcPr>
            <w:tcW w:w="2592" w:type="dxa"/>
            <w:tcBorders>
              <w:top w:val="nil"/>
              <w:bottom w:val="nil"/>
            </w:tcBorders>
            <w:vAlign w:val="center"/>
          </w:tcPr>
          <w:p w14:paraId="73F1DC2B" w14:textId="77777777" w:rsidR="00464D63" w:rsidRPr="00FC7BE1" w:rsidRDefault="00464D63"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 xml:space="preserve">Link inner and out primers  </w:t>
            </w:r>
          </w:p>
        </w:tc>
        <w:tc>
          <w:tcPr>
            <w:tcW w:w="4328" w:type="dxa"/>
            <w:tcBorders>
              <w:top w:val="nil"/>
              <w:bottom w:val="nil"/>
            </w:tcBorders>
            <w:vAlign w:val="center"/>
          </w:tcPr>
          <w:p w14:paraId="20984A7F" w14:textId="77777777" w:rsidR="00464D63" w:rsidRPr="00FC7BE1" w:rsidRDefault="00464D63"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CATTAAGTTCCCATTA</w:t>
            </w:r>
          </w:p>
        </w:tc>
      </w:tr>
      <w:tr w:rsidR="00BF5A9E" w:rsidRPr="00FC7BE1" w14:paraId="574D2EDA"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6734269F" w14:textId="77777777" w:rsidR="00464D63" w:rsidRPr="00FC7BE1" w:rsidRDefault="00464D63" w:rsidP="00B015B0">
            <w:pPr>
              <w:spacing w:before="120" w:after="120"/>
              <w:rPr>
                <w:rFonts w:asciiTheme="majorHAnsi" w:hAnsiTheme="majorHAnsi" w:cstheme="majorHAnsi"/>
                <w:b w:val="0"/>
              </w:rPr>
            </w:pPr>
            <w:r w:rsidRPr="00FC7BE1">
              <w:rPr>
                <w:rFonts w:asciiTheme="majorHAnsi" w:hAnsiTheme="majorHAnsi" w:cstheme="majorHAnsi"/>
                <w:b w:val="0"/>
              </w:rPr>
              <w:t>P5</w:t>
            </w:r>
          </w:p>
        </w:tc>
        <w:tc>
          <w:tcPr>
            <w:tcW w:w="2592" w:type="dxa"/>
            <w:tcBorders>
              <w:top w:val="nil"/>
              <w:bottom w:val="nil"/>
            </w:tcBorders>
            <w:vAlign w:val="center"/>
          </w:tcPr>
          <w:p w14:paraId="56BA7E4C" w14:textId="77777777" w:rsidR="00464D63" w:rsidRPr="00FC7BE1" w:rsidRDefault="00464D63"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 xml:space="preserve">Part of ‘outer’ primer. Forward </w:t>
            </w:r>
            <w:proofErr w:type="spellStart"/>
            <w:r w:rsidRPr="00FC7BE1">
              <w:rPr>
                <w:rFonts w:asciiTheme="majorHAnsi" w:hAnsiTheme="majorHAnsi" w:cstheme="majorHAnsi"/>
              </w:rPr>
              <w:t>illumina</w:t>
            </w:r>
            <w:proofErr w:type="spellEnd"/>
            <w:r w:rsidRPr="00FC7BE1">
              <w:rPr>
                <w:rFonts w:asciiTheme="majorHAnsi" w:hAnsiTheme="majorHAnsi" w:cstheme="majorHAnsi"/>
              </w:rPr>
              <w:t>-specific adapter.</w:t>
            </w:r>
          </w:p>
        </w:tc>
        <w:tc>
          <w:tcPr>
            <w:tcW w:w="4328" w:type="dxa"/>
            <w:tcBorders>
              <w:top w:val="nil"/>
              <w:bottom w:val="nil"/>
            </w:tcBorders>
            <w:vAlign w:val="center"/>
          </w:tcPr>
          <w:p w14:paraId="4B8C0FF6" w14:textId="77777777" w:rsidR="00464D63" w:rsidRPr="00FC7BE1" w:rsidRDefault="00817AF6"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AATGATACGGCGACCACCGAGATCTACAC</w:t>
            </w:r>
          </w:p>
        </w:tc>
      </w:tr>
      <w:tr w:rsidR="00BF5A9E" w:rsidRPr="00FC7BE1" w14:paraId="66633FD8"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470B3CE8" w14:textId="77777777" w:rsidR="00464D63" w:rsidRPr="00FC7BE1" w:rsidRDefault="00464D63" w:rsidP="00B015B0">
            <w:pPr>
              <w:spacing w:before="120" w:after="120"/>
              <w:rPr>
                <w:rFonts w:asciiTheme="majorHAnsi" w:hAnsiTheme="majorHAnsi" w:cstheme="majorHAnsi"/>
                <w:b w:val="0"/>
              </w:rPr>
            </w:pPr>
            <w:r w:rsidRPr="00FC7BE1">
              <w:rPr>
                <w:rFonts w:asciiTheme="majorHAnsi" w:hAnsiTheme="majorHAnsi" w:cstheme="majorHAnsi"/>
                <w:b w:val="0"/>
              </w:rPr>
              <w:t>P7</w:t>
            </w:r>
          </w:p>
        </w:tc>
        <w:tc>
          <w:tcPr>
            <w:tcW w:w="2592" w:type="dxa"/>
            <w:tcBorders>
              <w:top w:val="nil"/>
              <w:bottom w:val="nil"/>
            </w:tcBorders>
            <w:vAlign w:val="center"/>
          </w:tcPr>
          <w:p w14:paraId="152C76B6" w14:textId="77777777" w:rsidR="00464D63" w:rsidRPr="00FC7BE1" w:rsidRDefault="00464D63"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 xml:space="preserve">Part of ‘outer’ primer. Reverse </w:t>
            </w:r>
            <w:proofErr w:type="spellStart"/>
            <w:r w:rsidRPr="00FC7BE1">
              <w:rPr>
                <w:rFonts w:asciiTheme="majorHAnsi" w:hAnsiTheme="majorHAnsi" w:cstheme="majorHAnsi"/>
              </w:rPr>
              <w:t>illumina</w:t>
            </w:r>
            <w:proofErr w:type="spellEnd"/>
            <w:r w:rsidRPr="00FC7BE1">
              <w:rPr>
                <w:rFonts w:asciiTheme="majorHAnsi" w:hAnsiTheme="majorHAnsi" w:cstheme="majorHAnsi"/>
              </w:rPr>
              <w:t>-specific adapter.</w:t>
            </w:r>
          </w:p>
        </w:tc>
        <w:tc>
          <w:tcPr>
            <w:tcW w:w="4328" w:type="dxa"/>
            <w:tcBorders>
              <w:top w:val="nil"/>
              <w:bottom w:val="nil"/>
            </w:tcBorders>
            <w:vAlign w:val="center"/>
          </w:tcPr>
          <w:p w14:paraId="65D2E334" w14:textId="77777777" w:rsidR="00464D63" w:rsidRPr="00FC7BE1" w:rsidRDefault="00817AF6"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CAAGCAGAAGACGGCATACGAGAT</w:t>
            </w:r>
          </w:p>
        </w:tc>
      </w:tr>
      <w:tr w:rsidR="00BF5A9E" w:rsidRPr="00FC7BE1" w14:paraId="6F1BAF38"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08952846" w14:textId="77777777" w:rsidR="00464D63" w:rsidRPr="00FC7BE1" w:rsidRDefault="00464D63" w:rsidP="00B015B0">
            <w:pPr>
              <w:spacing w:before="120" w:after="120"/>
              <w:rPr>
                <w:rFonts w:asciiTheme="majorHAnsi" w:hAnsiTheme="majorHAnsi" w:cstheme="majorHAnsi"/>
                <w:b w:val="0"/>
              </w:rPr>
            </w:pPr>
            <w:r w:rsidRPr="00FC7BE1">
              <w:rPr>
                <w:rFonts w:asciiTheme="majorHAnsi" w:hAnsiTheme="majorHAnsi" w:cstheme="majorHAnsi"/>
                <w:b w:val="0"/>
              </w:rPr>
              <w:t>PE</w:t>
            </w:r>
            <w:r w:rsidR="00817AF6" w:rsidRPr="00FC7BE1">
              <w:rPr>
                <w:rFonts w:asciiTheme="majorHAnsi" w:hAnsiTheme="majorHAnsi" w:cstheme="majorHAnsi"/>
                <w:b w:val="0"/>
              </w:rPr>
              <w:t xml:space="preserve"> </w:t>
            </w:r>
            <w:r w:rsidRPr="00FC7BE1">
              <w:rPr>
                <w:rFonts w:asciiTheme="majorHAnsi" w:hAnsiTheme="majorHAnsi" w:cstheme="majorHAnsi"/>
                <w:b w:val="0"/>
              </w:rPr>
              <w:t>Read</w:t>
            </w:r>
            <w:r w:rsidR="00817AF6" w:rsidRPr="00FC7BE1">
              <w:rPr>
                <w:rFonts w:asciiTheme="majorHAnsi" w:hAnsiTheme="majorHAnsi" w:cstheme="majorHAnsi"/>
                <w:b w:val="0"/>
              </w:rPr>
              <w:t xml:space="preserve"> </w:t>
            </w:r>
            <w:r w:rsidRPr="00FC7BE1">
              <w:rPr>
                <w:rFonts w:asciiTheme="majorHAnsi" w:hAnsiTheme="majorHAnsi" w:cstheme="majorHAnsi"/>
                <w:b w:val="0"/>
              </w:rPr>
              <w:t>1</w:t>
            </w:r>
            <w:r w:rsidR="00817AF6" w:rsidRPr="00FC7BE1">
              <w:rPr>
                <w:rFonts w:asciiTheme="majorHAnsi" w:hAnsiTheme="majorHAnsi" w:cstheme="majorHAnsi"/>
                <w:b w:val="0"/>
              </w:rPr>
              <w:t xml:space="preserve"> </w:t>
            </w:r>
            <w:r w:rsidRPr="00FC7BE1">
              <w:rPr>
                <w:rFonts w:asciiTheme="majorHAnsi" w:hAnsiTheme="majorHAnsi" w:cstheme="majorHAnsi"/>
                <w:b w:val="0"/>
              </w:rPr>
              <w:t>Sequencing</w:t>
            </w:r>
            <w:r w:rsidR="00817AF6" w:rsidRPr="00FC7BE1">
              <w:rPr>
                <w:rFonts w:asciiTheme="majorHAnsi" w:hAnsiTheme="majorHAnsi" w:cstheme="majorHAnsi"/>
                <w:b w:val="0"/>
              </w:rPr>
              <w:t xml:space="preserve"> </w:t>
            </w:r>
            <w:r w:rsidRPr="00FC7BE1">
              <w:rPr>
                <w:rFonts w:asciiTheme="majorHAnsi" w:hAnsiTheme="majorHAnsi" w:cstheme="majorHAnsi"/>
                <w:b w:val="0"/>
              </w:rPr>
              <w:t>Primer</w:t>
            </w:r>
          </w:p>
        </w:tc>
        <w:tc>
          <w:tcPr>
            <w:tcW w:w="2592" w:type="dxa"/>
            <w:tcBorders>
              <w:top w:val="nil"/>
              <w:bottom w:val="nil"/>
            </w:tcBorders>
            <w:vAlign w:val="center"/>
          </w:tcPr>
          <w:p w14:paraId="5D36C0FF" w14:textId="77777777" w:rsidR="00464D63" w:rsidRPr="00FC7BE1" w:rsidRDefault="00464D63"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 xml:space="preserve">Part of ‘outer’ primer. </w:t>
            </w:r>
            <w:r w:rsidR="00817AF6" w:rsidRPr="00FC7BE1">
              <w:rPr>
                <w:rFonts w:asciiTheme="majorHAnsi" w:hAnsiTheme="majorHAnsi" w:cstheme="majorHAnsi"/>
              </w:rPr>
              <w:t xml:space="preserve">Forward </w:t>
            </w:r>
            <w:proofErr w:type="spellStart"/>
            <w:r w:rsidR="00817AF6" w:rsidRPr="00FC7BE1">
              <w:rPr>
                <w:rFonts w:asciiTheme="majorHAnsi" w:hAnsiTheme="majorHAnsi" w:cstheme="majorHAnsi"/>
              </w:rPr>
              <w:t>i</w:t>
            </w:r>
            <w:r w:rsidRPr="00FC7BE1">
              <w:rPr>
                <w:rFonts w:asciiTheme="majorHAnsi" w:hAnsiTheme="majorHAnsi" w:cstheme="majorHAnsi"/>
              </w:rPr>
              <w:t>llumina</w:t>
            </w:r>
            <w:proofErr w:type="spellEnd"/>
            <w:r w:rsidRPr="00FC7BE1">
              <w:rPr>
                <w:rFonts w:asciiTheme="majorHAnsi" w:hAnsiTheme="majorHAnsi" w:cstheme="majorHAnsi"/>
              </w:rPr>
              <w:t>-specific adapter.</w:t>
            </w:r>
          </w:p>
        </w:tc>
        <w:tc>
          <w:tcPr>
            <w:tcW w:w="4328" w:type="dxa"/>
            <w:tcBorders>
              <w:top w:val="nil"/>
              <w:bottom w:val="nil"/>
            </w:tcBorders>
            <w:vAlign w:val="center"/>
          </w:tcPr>
          <w:p w14:paraId="1896DFFD" w14:textId="77777777" w:rsidR="00464D63" w:rsidRPr="00FC7BE1" w:rsidRDefault="00817AF6"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ACACTCTTTCCCTACACGACGCTCTTCCGATCT</w:t>
            </w:r>
          </w:p>
        </w:tc>
      </w:tr>
      <w:tr w:rsidR="00464D63" w:rsidRPr="00FC7BE1" w14:paraId="19B0A796"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141DEE08" w14:textId="77777777" w:rsidR="00464D63" w:rsidRPr="00FC7BE1" w:rsidRDefault="00817AF6" w:rsidP="00B015B0">
            <w:pPr>
              <w:spacing w:before="120" w:after="120"/>
              <w:rPr>
                <w:rFonts w:asciiTheme="majorHAnsi" w:hAnsiTheme="majorHAnsi" w:cstheme="majorHAnsi"/>
                <w:b w:val="0"/>
              </w:rPr>
            </w:pPr>
            <w:r w:rsidRPr="00FC7BE1">
              <w:rPr>
                <w:rFonts w:asciiTheme="majorHAnsi" w:hAnsiTheme="majorHAnsi" w:cstheme="majorHAnsi"/>
                <w:b w:val="0"/>
              </w:rPr>
              <w:t>Multiplexing Read 2 Sequencing Primer</w:t>
            </w:r>
          </w:p>
        </w:tc>
        <w:tc>
          <w:tcPr>
            <w:tcW w:w="2592" w:type="dxa"/>
            <w:tcBorders>
              <w:top w:val="nil"/>
              <w:bottom w:val="nil"/>
            </w:tcBorders>
            <w:vAlign w:val="center"/>
          </w:tcPr>
          <w:p w14:paraId="5B4177F4" w14:textId="77777777" w:rsidR="00464D63" w:rsidRPr="00FC7BE1" w:rsidRDefault="00464D63"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 xml:space="preserve">Part of ‘outer’ primer. </w:t>
            </w:r>
            <w:r w:rsidR="00817AF6" w:rsidRPr="00FC7BE1">
              <w:rPr>
                <w:rFonts w:asciiTheme="majorHAnsi" w:hAnsiTheme="majorHAnsi" w:cstheme="majorHAnsi"/>
              </w:rPr>
              <w:t xml:space="preserve">Reverse </w:t>
            </w:r>
            <w:proofErr w:type="spellStart"/>
            <w:r w:rsidR="00817AF6" w:rsidRPr="00FC7BE1">
              <w:rPr>
                <w:rFonts w:asciiTheme="majorHAnsi" w:hAnsiTheme="majorHAnsi" w:cstheme="majorHAnsi"/>
              </w:rPr>
              <w:t>i</w:t>
            </w:r>
            <w:r w:rsidRPr="00FC7BE1">
              <w:rPr>
                <w:rFonts w:asciiTheme="majorHAnsi" w:hAnsiTheme="majorHAnsi" w:cstheme="majorHAnsi"/>
              </w:rPr>
              <w:t>llumina</w:t>
            </w:r>
            <w:proofErr w:type="spellEnd"/>
            <w:r w:rsidRPr="00FC7BE1">
              <w:rPr>
                <w:rFonts w:asciiTheme="majorHAnsi" w:hAnsiTheme="majorHAnsi" w:cstheme="majorHAnsi"/>
              </w:rPr>
              <w:t>-specific adapter.</w:t>
            </w:r>
          </w:p>
        </w:tc>
        <w:tc>
          <w:tcPr>
            <w:tcW w:w="4328" w:type="dxa"/>
            <w:tcBorders>
              <w:top w:val="nil"/>
              <w:bottom w:val="nil"/>
            </w:tcBorders>
            <w:vAlign w:val="center"/>
          </w:tcPr>
          <w:p w14:paraId="79A3BDAE" w14:textId="77777777" w:rsidR="00464D63" w:rsidRPr="00FC7BE1" w:rsidRDefault="00817AF6"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GTGACTGGAGTTCAGACGTGTGCTCTTCCGATCT</w:t>
            </w:r>
          </w:p>
        </w:tc>
      </w:tr>
      <w:tr w:rsidR="00657D31" w:rsidRPr="00FC7BE1" w14:paraId="384F36DC"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2919E435" w14:textId="77777777" w:rsidR="00657D31" w:rsidRPr="00FC7BE1" w:rsidRDefault="00657D31" w:rsidP="00B015B0">
            <w:pPr>
              <w:spacing w:before="120" w:after="120"/>
              <w:rPr>
                <w:rFonts w:asciiTheme="majorHAnsi" w:hAnsiTheme="majorHAnsi" w:cstheme="majorHAnsi"/>
                <w:b w:val="0"/>
              </w:rPr>
            </w:pPr>
            <w:r w:rsidRPr="00FC7BE1">
              <w:rPr>
                <w:rFonts w:asciiTheme="majorHAnsi" w:hAnsiTheme="majorHAnsi" w:cstheme="majorHAnsi"/>
                <w:b w:val="0"/>
              </w:rPr>
              <w:t>Index_F_1</w:t>
            </w:r>
          </w:p>
        </w:tc>
        <w:tc>
          <w:tcPr>
            <w:tcW w:w="2592" w:type="dxa"/>
            <w:tcBorders>
              <w:top w:val="nil"/>
              <w:bottom w:val="nil"/>
            </w:tcBorders>
            <w:vAlign w:val="center"/>
          </w:tcPr>
          <w:p w14:paraId="6154A05D" w14:textId="77777777" w:rsidR="00657D31" w:rsidRPr="00FC7BE1" w:rsidRDefault="00657D31"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06990B32" w14:textId="77777777" w:rsidR="00657D31" w:rsidRPr="00FC7BE1" w:rsidRDefault="00657D31"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TCTCTGTG</w:t>
            </w:r>
          </w:p>
        </w:tc>
      </w:tr>
      <w:tr w:rsidR="00657D31" w:rsidRPr="00FC7BE1" w14:paraId="6232D437"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51F86A84"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Index_F_2</w:t>
            </w:r>
          </w:p>
        </w:tc>
        <w:tc>
          <w:tcPr>
            <w:tcW w:w="2592" w:type="dxa"/>
            <w:tcBorders>
              <w:top w:val="nil"/>
              <w:bottom w:val="nil"/>
            </w:tcBorders>
            <w:vAlign w:val="center"/>
          </w:tcPr>
          <w:p w14:paraId="421B2691" w14:textId="77777777" w:rsidR="00657D31" w:rsidRPr="00FC7BE1" w:rsidRDefault="00657D31"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26A34FA2" w14:textId="77777777" w:rsidR="00657D31" w:rsidRPr="00FC7BE1" w:rsidRDefault="00657D31"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ACTCACTG</w:t>
            </w:r>
          </w:p>
        </w:tc>
      </w:tr>
      <w:tr w:rsidR="00657D31" w:rsidRPr="00FC7BE1" w14:paraId="54053CC9"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53041E11"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Index_F_3</w:t>
            </w:r>
          </w:p>
        </w:tc>
        <w:tc>
          <w:tcPr>
            <w:tcW w:w="2592" w:type="dxa"/>
            <w:tcBorders>
              <w:top w:val="nil"/>
              <w:bottom w:val="nil"/>
            </w:tcBorders>
            <w:vAlign w:val="center"/>
          </w:tcPr>
          <w:p w14:paraId="60025514" w14:textId="77777777" w:rsidR="00657D31" w:rsidRPr="00FC7BE1" w:rsidRDefault="00657D31"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5486D77A" w14:textId="77777777" w:rsidR="00657D31" w:rsidRPr="00FC7BE1" w:rsidRDefault="00657D31"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TCTACTCG</w:t>
            </w:r>
          </w:p>
        </w:tc>
      </w:tr>
      <w:tr w:rsidR="00657D31" w:rsidRPr="00FC7BE1" w14:paraId="44B28767"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67F9C036"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Index_F_4</w:t>
            </w:r>
          </w:p>
        </w:tc>
        <w:tc>
          <w:tcPr>
            <w:tcW w:w="2592" w:type="dxa"/>
            <w:tcBorders>
              <w:top w:val="nil"/>
              <w:bottom w:val="nil"/>
            </w:tcBorders>
            <w:vAlign w:val="center"/>
          </w:tcPr>
          <w:p w14:paraId="734FC59C" w14:textId="77777777" w:rsidR="00657D31" w:rsidRPr="00FC7BE1" w:rsidRDefault="00657D31"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565CE463" w14:textId="77777777" w:rsidR="00657D31" w:rsidRPr="00FC7BE1" w:rsidRDefault="00657D31"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TAGTAGCG</w:t>
            </w:r>
          </w:p>
        </w:tc>
      </w:tr>
      <w:tr w:rsidR="00657D31" w:rsidRPr="00FC7BE1" w14:paraId="78022D96"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1001414E"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lastRenderedPageBreak/>
              <w:t>Index_F_5</w:t>
            </w:r>
          </w:p>
        </w:tc>
        <w:tc>
          <w:tcPr>
            <w:tcW w:w="2592" w:type="dxa"/>
            <w:tcBorders>
              <w:top w:val="nil"/>
              <w:bottom w:val="nil"/>
            </w:tcBorders>
            <w:vAlign w:val="center"/>
          </w:tcPr>
          <w:p w14:paraId="1B32FA5F" w14:textId="77777777" w:rsidR="00657D31" w:rsidRPr="00FC7BE1" w:rsidRDefault="00657D31"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0DBBC85C" w14:textId="77777777" w:rsidR="00657D31" w:rsidRPr="00FC7BE1" w:rsidRDefault="00657D31"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AGACGACG</w:t>
            </w:r>
          </w:p>
        </w:tc>
      </w:tr>
      <w:tr w:rsidR="00657D31" w:rsidRPr="00FC7BE1" w14:paraId="741B630E"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069BCE3B"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Index_F_6</w:t>
            </w:r>
          </w:p>
        </w:tc>
        <w:tc>
          <w:tcPr>
            <w:tcW w:w="2592" w:type="dxa"/>
            <w:tcBorders>
              <w:top w:val="nil"/>
              <w:bottom w:val="nil"/>
            </w:tcBorders>
            <w:vAlign w:val="center"/>
          </w:tcPr>
          <w:p w14:paraId="22434EEE" w14:textId="77777777" w:rsidR="00657D31" w:rsidRPr="00FC7BE1" w:rsidRDefault="00657D31"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0B37BB5C" w14:textId="77777777" w:rsidR="00657D31" w:rsidRPr="00FC7BE1" w:rsidRDefault="00657D31"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ACTCGTAG</w:t>
            </w:r>
          </w:p>
        </w:tc>
      </w:tr>
      <w:tr w:rsidR="00657D31" w:rsidRPr="00FC7BE1" w14:paraId="64BDA9EE"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59B3F77C"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Index_F_8</w:t>
            </w:r>
          </w:p>
        </w:tc>
        <w:tc>
          <w:tcPr>
            <w:tcW w:w="2592" w:type="dxa"/>
            <w:tcBorders>
              <w:top w:val="nil"/>
              <w:bottom w:val="nil"/>
            </w:tcBorders>
            <w:vAlign w:val="center"/>
          </w:tcPr>
          <w:p w14:paraId="682A435C" w14:textId="77777777" w:rsidR="00657D31" w:rsidRPr="00FC7BE1" w:rsidRDefault="00657D31"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38670F2B" w14:textId="77777777" w:rsidR="00657D31" w:rsidRPr="00FC7BE1" w:rsidRDefault="00657D31"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TGACGCAG</w:t>
            </w:r>
          </w:p>
        </w:tc>
      </w:tr>
      <w:tr w:rsidR="00657D31" w:rsidRPr="00FC7BE1" w14:paraId="3877C3EE"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5B2CE9F9"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Index_F_10</w:t>
            </w:r>
          </w:p>
        </w:tc>
        <w:tc>
          <w:tcPr>
            <w:tcW w:w="2592" w:type="dxa"/>
            <w:tcBorders>
              <w:top w:val="nil"/>
              <w:bottom w:val="nil"/>
            </w:tcBorders>
            <w:vAlign w:val="center"/>
          </w:tcPr>
          <w:p w14:paraId="6518DF7B" w14:textId="77777777" w:rsidR="00657D31" w:rsidRPr="00FC7BE1" w:rsidRDefault="00657D31"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06424C5A" w14:textId="77777777" w:rsidR="00657D31" w:rsidRPr="00FC7BE1" w:rsidRDefault="00657D31"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ACGCTATC</w:t>
            </w:r>
          </w:p>
        </w:tc>
      </w:tr>
      <w:tr w:rsidR="00657D31" w:rsidRPr="00FC7BE1" w14:paraId="4FAB282E"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65A453E1"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Index_F_11</w:t>
            </w:r>
          </w:p>
        </w:tc>
        <w:tc>
          <w:tcPr>
            <w:tcW w:w="2592" w:type="dxa"/>
            <w:tcBorders>
              <w:top w:val="nil"/>
              <w:bottom w:val="nil"/>
            </w:tcBorders>
            <w:vAlign w:val="center"/>
          </w:tcPr>
          <w:p w14:paraId="6C32D772" w14:textId="77777777" w:rsidR="00657D31" w:rsidRPr="00FC7BE1" w:rsidRDefault="00657D31"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75802227" w14:textId="77777777" w:rsidR="00657D31" w:rsidRPr="00FC7BE1" w:rsidRDefault="00657D31"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AGTGCTGC</w:t>
            </w:r>
          </w:p>
        </w:tc>
      </w:tr>
      <w:tr w:rsidR="00657D31" w:rsidRPr="00FC7BE1" w14:paraId="6D9C4D04"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743149D8"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Index_F_12</w:t>
            </w:r>
          </w:p>
        </w:tc>
        <w:tc>
          <w:tcPr>
            <w:tcW w:w="2592" w:type="dxa"/>
            <w:tcBorders>
              <w:top w:val="nil"/>
              <w:bottom w:val="nil"/>
            </w:tcBorders>
            <w:vAlign w:val="center"/>
          </w:tcPr>
          <w:p w14:paraId="21EADB35" w14:textId="77777777" w:rsidR="00657D31" w:rsidRPr="00FC7BE1" w:rsidRDefault="00657D31"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49E83DEB" w14:textId="77777777" w:rsidR="00657D31" w:rsidRPr="00FC7BE1" w:rsidRDefault="00657D31"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TACTACGC</w:t>
            </w:r>
          </w:p>
        </w:tc>
      </w:tr>
      <w:tr w:rsidR="00657D31" w:rsidRPr="00FC7BE1" w14:paraId="5805224B"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20437AD5"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Index_F_14</w:t>
            </w:r>
          </w:p>
        </w:tc>
        <w:tc>
          <w:tcPr>
            <w:tcW w:w="2592" w:type="dxa"/>
            <w:tcBorders>
              <w:top w:val="nil"/>
              <w:bottom w:val="nil"/>
            </w:tcBorders>
            <w:vAlign w:val="center"/>
          </w:tcPr>
          <w:p w14:paraId="57CBF1E7" w14:textId="77777777" w:rsidR="00657D31" w:rsidRPr="00FC7BE1" w:rsidRDefault="00657D31"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460C116B" w14:textId="77777777" w:rsidR="00657D31" w:rsidRPr="00FC7BE1" w:rsidRDefault="00657D31"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TCAGCTAC</w:t>
            </w:r>
          </w:p>
        </w:tc>
      </w:tr>
      <w:tr w:rsidR="00657D31" w:rsidRPr="00FC7BE1" w14:paraId="5358FFCB"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58016AB7"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Index_F_15</w:t>
            </w:r>
          </w:p>
        </w:tc>
        <w:tc>
          <w:tcPr>
            <w:tcW w:w="2592" w:type="dxa"/>
            <w:tcBorders>
              <w:top w:val="nil"/>
              <w:bottom w:val="nil"/>
            </w:tcBorders>
            <w:vAlign w:val="center"/>
          </w:tcPr>
          <w:p w14:paraId="4967D5A8" w14:textId="77777777" w:rsidR="00657D31" w:rsidRPr="00FC7BE1" w:rsidRDefault="00657D31"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2F7C6C71" w14:textId="77777777" w:rsidR="00657D31" w:rsidRPr="00FC7BE1" w:rsidRDefault="00657D31"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AGAGCGAC</w:t>
            </w:r>
          </w:p>
        </w:tc>
      </w:tr>
      <w:tr w:rsidR="00657D31" w:rsidRPr="00FC7BE1" w14:paraId="28BFD3C0"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1859F94C"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Index_F_16</w:t>
            </w:r>
          </w:p>
        </w:tc>
        <w:tc>
          <w:tcPr>
            <w:tcW w:w="2592" w:type="dxa"/>
            <w:tcBorders>
              <w:top w:val="nil"/>
              <w:bottom w:val="nil"/>
            </w:tcBorders>
            <w:vAlign w:val="center"/>
          </w:tcPr>
          <w:p w14:paraId="4EBD9753" w14:textId="77777777" w:rsidR="00657D31" w:rsidRPr="00FC7BE1" w:rsidRDefault="00657D31"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5A632644" w14:textId="77777777" w:rsidR="00657D31" w:rsidRPr="00FC7BE1" w:rsidRDefault="00657D31"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ATGCTCAC</w:t>
            </w:r>
          </w:p>
        </w:tc>
      </w:tr>
      <w:tr w:rsidR="00657D31" w:rsidRPr="00FC7BE1" w14:paraId="4BBE2D90"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622B2671"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Index_F_17</w:t>
            </w:r>
          </w:p>
        </w:tc>
        <w:tc>
          <w:tcPr>
            <w:tcW w:w="2592" w:type="dxa"/>
            <w:tcBorders>
              <w:top w:val="nil"/>
              <w:bottom w:val="nil"/>
            </w:tcBorders>
            <w:vAlign w:val="center"/>
          </w:tcPr>
          <w:p w14:paraId="2C6EB802" w14:textId="77777777" w:rsidR="00657D31" w:rsidRPr="00FC7BE1" w:rsidRDefault="00657D31"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2E960157" w14:textId="77777777" w:rsidR="00657D31" w:rsidRPr="00FC7BE1" w:rsidRDefault="00657D31"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TAGCACAC</w:t>
            </w:r>
          </w:p>
        </w:tc>
      </w:tr>
      <w:tr w:rsidR="00657D31" w:rsidRPr="00FC7BE1" w14:paraId="7380C8C7"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59E6C7AD"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Index_F_18</w:t>
            </w:r>
          </w:p>
        </w:tc>
        <w:tc>
          <w:tcPr>
            <w:tcW w:w="2592" w:type="dxa"/>
            <w:tcBorders>
              <w:top w:val="nil"/>
              <w:bottom w:val="nil"/>
            </w:tcBorders>
            <w:vAlign w:val="center"/>
          </w:tcPr>
          <w:p w14:paraId="058713F0" w14:textId="77777777" w:rsidR="00657D31" w:rsidRPr="00FC7BE1" w:rsidRDefault="00657D31"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2A149ABB" w14:textId="77777777" w:rsidR="00657D31" w:rsidRPr="00FC7BE1" w:rsidRDefault="00657D31"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TGTACGTG</w:t>
            </w:r>
          </w:p>
        </w:tc>
      </w:tr>
      <w:tr w:rsidR="00657D31" w:rsidRPr="00FC7BE1" w14:paraId="2DCE1AD9"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2EA37A1F"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Index_F_19</w:t>
            </w:r>
          </w:p>
        </w:tc>
        <w:tc>
          <w:tcPr>
            <w:tcW w:w="2592" w:type="dxa"/>
            <w:tcBorders>
              <w:top w:val="nil"/>
              <w:bottom w:val="nil"/>
            </w:tcBorders>
            <w:vAlign w:val="center"/>
          </w:tcPr>
          <w:p w14:paraId="5090CC9B" w14:textId="77777777" w:rsidR="00657D31" w:rsidRPr="00FC7BE1" w:rsidRDefault="00657D31"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5E062BE0" w14:textId="77777777" w:rsidR="00657D31" w:rsidRPr="00FC7BE1" w:rsidRDefault="00657D31"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AGAGTATG</w:t>
            </w:r>
          </w:p>
        </w:tc>
      </w:tr>
      <w:tr w:rsidR="00657D31" w:rsidRPr="00FC7BE1" w14:paraId="35818A85"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56E8D4F1"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Index_F_20</w:t>
            </w:r>
          </w:p>
        </w:tc>
        <w:tc>
          <w:tcPr>
            <w:tcW w:w="2592" w:type="dxa"/>
            <w:tcBorders>
              <w:top w:val="nil"/>
              <w:bottom w:val="nil"/>
            </w:tcBorders>
            <w:vAlign w:val="center"/>
          </w:tcPr>
          <w:p w14:paraId="3D3E00C9" w14:textId="77777777" w:rsidR="00657D31" w:rsidRPr="00FC7BE1" w:rsidRDefault="00657D31"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0EB0F3B1" w14:textId="77777777" w:rsidR="00657D31" w:rsidRPr="00FC7BE1" w:rsidRDefault="00657D31"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ATGACTCG</w:t>
            </w:r>
          </w:p>
        </w:tc>
      </w:tr>
      <w:tr w:rsidR="00657D31" w:rsidRPr="00FC7BE1" w14:paraId="6BEBE048"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45ABD327"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Index_F_21</w:t>
            </w:r>
          </w:p>
        </w:tc>
        <w:tc>
          <w:tcPr>
            <w:tcW w:w="2592" w:type="dxa"/>
            <w:tcBorders>
              <w:top w:val="nil"/>
              <w:bottom w:val="nil"/>
            </w:tcBorders>
            <w:vAlign w:val="center"/>
          </w:tcPr>
          <w:p w14:paraId="6BD059E7" w14:textId="77777777" w:rsidR="00657D31" w:rsidRPr="00FC7BE1" w:rsidRDefault="00657D31"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3315F1D9" w14:textId="77777777" w:rsidR="00657D31" w:rsidRPr="00FC7BE1" w:rsidRDefault="00657D31"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AGATAGCG</w:t>
            </w:r>
          </w:p>
        </w:tc>
      </w:tr>
      <w:tr w:rsidR="00657D31" w:rsidRPr="00FC7BE1" w14:paraId="004EDDF8"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53080AD0" w14:textId="77777777" w:rsidR="00657D31" w:rsidRPr="00FC7BE1" w:rsidRDefault="00657D31" w:rsidP="00B015B0">
            <w:pPr>
              <w:rPr>
                <w:rFonts w:asciiTheme="majorHAnsi" w:hAnsiTheme="majorHAnsi" w:cstheme="majorHAnsi"/>
                <w:b w:val="0"/>
              </w:rPr>
            </w:pPr>
            <w:r w:rsidRPr="00FC7BE1">
              <w:rPr>
                <w:rFonts w:asciiTheme="majorHAnsi" w:hAnsiTheme="majorHAnsi" w:cstheme="majorHAnsi"/>
                <w:b w:val="0"/>
              </w:rPr>
              <w:t>Index_F_22</w:t>
            </w:r>
          </w:p>
        </w:tc>
        <w:tc>
          <w:tcPr>
            <w:tcW w:w="2592" w:type="dxa"/>
            <w:tcBorders>
              <w:top w:val="nil"/>
              <w:bottom w:val="nil"/>
            </w:tcBorders>
            <w:vAlign w:val="center"/>
          </w:tcPr>
          <w:p w14:paraId="7693B3B0" w14:textId="77777777" w:rsidR="00657D31" w:rsidRPr="00FC7BE1" w:rsidRDefault="00657D31"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1B6156E2" w14:textId="77777777" w:rsidR="00657D31" w:rsidRPr="00FC7BE1" w:rsidRDefault="00657D31"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TGTAGACG</w:t>
            </w:r>
          </w:p>
        </w:tc>
      </w:tr>
      <w:tr w:rsidR="00BF5A9E" w:rsidRPr="00FC7BE1" w14:paraId="2D7CA06A"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6CA6199B"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Index_F_23</w:t>
            </w:r>
          </w:p>
        </w:tc>
        <w:tc>
          <w:tcPr>
            <w:tcW w:w="2592" w:type="dxa"/>
            <w:tcBorders>
              <w:top w:val="nil"/>
              <w:bottom w:val="nil"/>
            </w:tcBorders>
            <w:vAlign w:val="center"/>
          </w:tcPr>
          <w:p w14:paraId="3B313716"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6A1B1EE1"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TGCAGTAG</w:t>
            </w:r>
          </w:p>
        </w:tc>
      </w:tr>
      <w:tr w:rsidR="00BF5A9E" w:rsidRPr="00FC7BE1" w14:paraId="0FF8FAA2"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2122D3F5"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Index_F_24</w:t>
            </w:r>
          </w:p>
        </w:tc>
        <w:tc>
          <w:tcPr>
            <w:tcW w:w="2592" w:type="dxa"/>
            <w:tcBorders>
              <w:top w:val="nil"/>
              <w:bottom w:val="nil"/>
            </w:tcBorders>
            <w:vAlign w:val="center"/>
          </w:tcPr>
          <w:p w14:paraId="502A227D"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7B79EFFF"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AGCTGATG</w:t>
            </w:r>
          </w:p>
        </w:tc>
      </w:tr>
      <w:tr w:rsidR="00BF5A9E" w:rsidRPr="00FC7BE1" w14:paraId="6A701051"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5DB3C907"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Index_F_25</w:t>
            </w:r>
          </w:p>
        </w:tc>
        <w:tc>
          <w:tcPr>
            <w:tcW w:w="2592" w:type="dxa"/>
            <w:tcBorders>
              <w:top w:val="nil"/>
              <w:bottom w:val="nil"/>
            </w:tcBorders>
            <w:vAlign w:val="center"/>
          </w:tcPr>
          <w:p w14:paraId="553409E0"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486BCBA3"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ATAGAGAG</w:t>
            </w:r>
          </w:p>
        </w:tc>
      </w:tr>
      <w:tr w:rsidR="00BF5A9E" w:rsidRPr="00FC7BE1" w14:paraId="3D0C23AE"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682EE70A"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Index_F_26</w:t>
            </w:r>
          </w:p>
        </w:tc>
        <w:tc>
          <w:tcPr>
            <w:tcW w:w="2592" w:type="dxa"/>
            <w:tcBorders>
              <w:top w:val="nil"/>
              <w:bottom w:val="nil"/>
            </w:tcBorders>
            <w:vAlign w:val="center"/>
          </w:tcPr>
          <w:p w14:paraId="6A624EE2"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587935A7"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TGTCACGC</w:t>
            </w:r>
          </w:p>
        </w:tc>
      </w:tr>
      <w:tr w:rsidR="00BF5A9E" w:rsidRPr="00FC7BE1" w14:paraId="3A2F5D88"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15C1A627"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Index_F_27</w:t>
            </w:r>
          </w:p>
        </w:tc>
        <w:tc>
          <w:tcPr>
            <w:tcW w:w="2592" w:type="dxa"/>
            <w:tcBorders>
              <w:top w:val="nil"/>
              <w:bottom w:val="nil"/>
            </w:tcBorders>
            <w:vAlign w:val="center"/>
          </w:tcPr>
          <w:p w14:paraId="410FD4C6"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17628906"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ATACTGCG</w:t>
            </w:r>
          </w:p>
        </w:tc>
      </w:tr>
      <w:tr w:rsidR="00BF5A9E" w:rsidRPr="00FC7BE1" w14:paraId="35A98F65"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462406A5"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Index_F_28</w:t>
            </w:r>
          </w:p>
        </w:tc>
        <w:tc>
          <w:tcPr>
            <w:tcW w:w="2592" w:type="dxa"/>
            <w:tcBorders>
              <w:top w:val="nil"/>
              <w:bottom w:val="nil"/>
            </w:tcBorders>
            <w:vAlign w:val="center"/>
          </w:tcPr>
          <w:p w14:paraId="6F1FB26B"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2E0CA1D7"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ACTGTGTC</w:t>
            </w:r>
          </w:p>
        </w:tc>
      </w:tr>
      <w:tr w:rsidR="00BF5A9E" w:rsidRPr="00FC7BE1" w14:paraId="574A6C7B"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44EEEACF"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Index_F_29</w:t>
            </w:r>
          </w:p>
        </w:tc>
        <w:tc>
          <w:tcPr>
            <w:tcW w:w="2592" w:type="dxa"/>
            <w:tcBorders>
              <w:top w:val="nil"/>
              <w:bottom w:val="nil"/>
            </w:tcBorders>
            <w:vAlign w:val="center"/>
          </w:tcPr>
          <w:p w14:paraId="1CB2EE3A"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1769F78C"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TACACAGC</w:t>
            </w:r>
          </w:p>
        </w:tc>
      </w:tr>
      <w:tr w:rsidR="00BF5A9E" w:rsidRPr="00FC7BE1" w14:paraId="50993D68"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5D30947B"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Index_F_30</w:t>
            </w:r>
          </w:p>
        </w:tc>
        <w:tc>
          <w:tcPr>
            <w:tcW w:w="2592" w:type="dxa"/>
            <w:tcBorders>
              <w:top w:val="nil"/>
              <w:bottom w:val="nil"/>
            </w:tcBorders>
            <w:vAlign w:val="center"/>
          </w:tcPr>
          <w:p w14:paraId="2BBD1ECF"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1153A2CD"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TCGCTACG</w:t>
            </w:r>
          </w:p>
        </w:tc>
      </w:tr>
      <w:tr w:rsidR="00BF5A9E" w:rsidRPr="00FC7BE1" w14:paraId="24DB4705"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21D59BB2"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Index_F_31</w:t>
            </w:r>
          </w:p>
        </w:tc>
        <w:tc>
          <w:tcPr>
            <w:tcW w:w="2592" w:type="dxa"/>
            <w:tcBorders>
              <w:top w:val="nil"/>
              <w:bottom w:val="nil"/>
            </w:tcBorders>
            <w:vAlign w:val="center"/>
          </w:tcPr>
          <w:p w14:paraId="1AC2B822"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3B1EBA3B"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ACGTACTC</w:t>
            </w:r>
          </w:p>
        </w:tc>
      </w:tr>
      <w:tr w:rsidR="00BF5A9E" w:rsidRPr="00FC7BE1" w14:paraId="5691754C"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0B405FA4"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Index_F_32</w:t>
            </w:r>
          </w:p>
        </w:tc>
        <w:tc>
          <w:tcPr>
            <w:tcW w:w="2592" w:type="dxa"/>
            <w:tcBorders>
              <w:top w:val="nil"/>
              <w:bottom w:val="nil"/>
            </w:tcBorders>
            <w:vAlign w:val="center"/>
          </w:tcPr>
          <w:p w14:paraId="3FA1BB5E"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3A9DE61B"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TCGATGAC</w:t>
            </w:r>
          </w:p>
        </w:tc>
      </w:tr>
      <w:tr w:rsidR="00BF5A9E" w:rsidRPr="00FC7BE1" w14:paraId="3C2E0557"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254DB622"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Index_F_33</w:t>
            </w:r>
          </w:p>
        </w:tc>
        <w:tc>
          <w:tcPr>
            <w:tcW w:w="2592" w:type="dxa"/>
            <w:tcBorders>
              <w:top w:val="nil"/>
              <w:bottom w:val="nil"/>
            </w:tcBorders>
            <w:vAlign w:val="center"/>
          </w:tcPr>
          <w:p w14:paraId="315101CE"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0BBF124F"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TGCGATGC</w:t>
            </w:r>
          </w:p>
        </w:tc>
      </w:tr>
      <w:tr w:rsidR="00BF5A9E" w:rsidRPr="00FC7BE1" w14:paraId="7FCA4F5F"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4C8FADA0"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Index_F_34</w:t>
            </w:r>
          </w:p>
        </w:tc>
        <w:tc>
          <w:tcPr>
            <w:tcW w:w="2592" w:type="dxa"/>
            <w:tcBorders>
              <w:top w:val="nil"/>
              <w:bottom w:val="nil"/>
            </w:tcBorders>
            <w:vAlign w:val="center"/>
          </w:tcPr>
          <w:p w14:paraId="3F04B6DB"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32E7C055"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AGCATCAC</w:t>
            </w:r>
          </w:p>
        </w:tc>
      </w:tr>
      <w:tr w:rsidR="00BF5A9E" w:rsidRPr="00FC7BE1" w14:paraId="46D6B0C1"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0F53EF31"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lastRenderedPageBreak/>
              <w:t>Index_F_35</w:t>
            </w:r>
          </w:p>
        </w:tc>
        <w:tc>
          <w:tcPr>
            <w:tcW w:w="2592" w:type="dxa"/>
            <w:tcBorders>
              <w:top w:val="nil"/>
              <w:bottom w:val="nil"/>
            </w:tcBorders>
            <w:vAlign w:val="center"/>
          </w:tcPr>
          <w:p w14:paraId="220BF20F"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3F51F953"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TATCGATG</w:t>
            </w:r>
          </w:p>
        </w:tc>
      </w:tr>
      <w:tr w:rsidR="00BF5A9E" w:rsidRPr="00FC7BE1" w14:paraId="1FDE95F5"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3547C085"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Index_F_36</w:t>
            </w:r>
          </w:p>
        </w:tc>
        <w:tc>
          <w:tcPr>
            <w:tcW w:w="2592" w:type="dxa"/>
            <w:tcBorders>
              <w:top w:val="nil"/>
              <w:bottom w:val="nil"/>
            </w:tcBorders>
            <w:vAlign w:val="center"/>
          </w:tcPr>
          <w:p w14:paraId="1CB17114"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5E4BE009"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TATCAGAG</w:t>
            </w:r>
          </w:p>
        </w:tc>
      </w:tr>
      <w:tr w:rsidR="00BF5A9E" w:rsidRPr="00FC7BE1" w14:paraId="3F9AA494"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392BA5EE"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Index_F_37</w:t>
            </w:r>
          </w:p>
        </w:tc>
        <w:tc>
          <w:tcPr>
            <w:tcW w:w="2592" w:type="dxa"/>
            <w:tcBorders>
              <w:top w:val="nil"/>
              <w:bottom w:val="nil"/>
            </w:tcBorders>
            <w:vAlign w:val="center"/>
          </w:tcPr>
          <w:p w14:paraId="5A8971B4"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65DBE2DA"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AGTCTAGC</w:t>
            </w:r>
          </w:p>
        </w:tc>
      </w:tr>
      <w:tr w:rsidR="00BF5A9E" w:rsidRPr="00FC7BE1" w14:paraId="6BAB0559"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2AA8A45F"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Index_F_38</w:t>
            </w:r>
          </w:p>
        </w:tc>
        <w:tc>
          <w:tcPr>
            <w:tcW w:w="2592" w:type="dxa"/>
            <w:tcBorders>
              <w:top w:val="nil"/>
              <w:bottom w:val="nil"/>
            </w:tcBorders>
            <w:vAlign w:val="center"/>
          </w:tcPr>
          <w:p w14:paraId="22B6ABDA"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54EB8DC8"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TATATGCG</w:t>
            </w:r>
          </w:p>
        </w:tc>
      </w:tr>
      <w:tr w:rsidR="00BF5A9E" w:rsidRPr="00FC7BE1" w14:paraId="5073CE20"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1AF9236A"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Index_F_39</w:t>
            </w:r>
          </w:p>
        </w:tc>
        <w:tc>
          <w:tcPr>
            <w:tcW w:w="2592" w:type="dxa"/>
            <w:tcBorders>
              <w:top w:val="nil"/>
              <w:bottom w:val="nil"/>
            </w:tcBorders>
            <w:vAlign w:val="center"/>
          </w:tcPr>
          <w:p w14:paraId="62D06B8D"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70BAFC73"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TACATGTC</w:t>
            </w:r>
          </w:p>
        </w:tc>
      </w:tr>
      <w:tr w:rsidR="00BF5A9E" w:rsidRPr="00FC7BE1" w14:paraId="0C01DC14"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05B76F54"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Index_F_40</w:t>
            </w:r>
          </w:p>
        </w:tc>
        <w:tc>
          <w:tcPr>
            <w:tcW w:w="2592" w:type="dxa"/>
            <w:tcBorders>
              <w:top w:val="nil"/>
              <w:bottom w:val="nil"/>
            </w:tcBorders>
            <w:vAlign w:val="center"/>
          </w:tcPr>
          <w:p w14:paraId="6936AADA"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i5 forward barcode</w:t>
            </w:r>
          </w:p>
        </w:tc>
        <w:tc>
          <w:tcPr>
            <w:tcW w:w="4328" w:type="dxa"/>
            <w:tcBorders>
              <w:top w:val="nil"/>
              <w:bottom w:val="nil"/>
            </w:tcBorders>
            <w:vAlign w:val="center"/>
          </w:tcPr>
          <w:p w14:paraId="71455604"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ATACGTAC</w:t>
            </w:r>
          </w:p>
        </w:tc>
      </w:tr>
      <w:tr w:rsidR="00BF5A9E" w:rsidRPr="00FC7BE1" w14:paraId="42443A08"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3E64B239" w14:textId="77777777" w:rsidR="00BF5A9E" w:rsidRPr="00FC7BE1" w:rsidRDefault="00BF5A9E" w:rsidP="00B015B0">
            <w:pPr>
              <w:spacing w:before="120" w:after="120"/>
              <w:rPr>
                <w:rFonts w:asciiTheme="majorHAnsi" w:hAnsiTheme="majorHAnsi" w:cstheme="majorHAnsi"/>
                <w:b w:val="0"/>
              </w:rPr>
            </w:pPr>
            <w:r w:rsidRPr="00FC7BE1">
              <w:rPr>
                <w:rFonts w:asciiTheme="majorHAnsi" w:hAnsiTheme="majorHAnsi" w:cstheme="majorHAnsi"/>
                <w:b w:val="0"/>
              </w:rPr>
              <w:t>Index_R_1</w:t>
            </w:r>
          </w:p>
        </w:tc>
        <w:tc>
          <w:tcPr>
            <w:tcW w:w="2592" w:type="dxa"/>
            <w:tcBorders>
              <w:top w:val="nil"/>
              <w:bottom w:val="nil"/>
            </w:tcBorders>
            <w:vAlign w:val="center"/>
          </w:tcPr>
          <w:p w14:paraId="38160F12"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414D01A0"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FC7BE1">
              <w:rPr>
                <w:rFonts w:asciiTheme="majorHAnsi" w:hAnsiTheme="majorHAnsi" w:cstheme="majorHAnsi"/>
                <w:color w:val="000000"/>
              </w:rPr>
              <w:t>ATCGTCTG</w:t>
            </w:r>
          </w:p>
        </w:tc>
      </w:tr>
      <w:tr w:rsidR="00BF5A9E" w:rsidRPr="00FC7BE1" w14:paraId="0E197501"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4E7315C1"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Index_R_2</w:t>
            </w:r>
          </w:p>
        </w:tc>
        <w:tc>
          <w:tcPr>
            <w:tcW w:w="2592" w:type="dxa"/>
            <w:tcBorders>
              <w:top w:val="nil"/>
              <w:bottom w:val="nil"/>
            </w:tcBorders>
            <w:vAlign w:val="center"/>
          </w:tcPr>
          <w:p w14:paraId="30166694"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666A10F5"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FC7BE1">
              <w:rPr>
                <w:rFonts w:asciiTheme="majorHAnsi" w:hAnsiTheme="majorHAnsi" w:cstheme="majorHAnsi"/>
                <w:color w:val="000000"/>
              </w:rPr>
              <w:t>TGATCTAG</w:t>
            </w:r>
          </w:p>
        </w:tc>
      </w:tr>
      <w:tr w:rsidR="00BF5A9E" w:rsidRPr="00FC7BE1" w14:paraId="1705A0EB"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01AA4D5B"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Index_R_3</w:t>
            </w:r>
          </w:p>
        </w:tc>
        <w:tc>
          <w:tcPr>
            <w:tcW w:w="2592" w:type="dxa"/>
            <w:tcBorders>
              <w:top w:val="nil"/>
              <w:bottom w:val="nil"/>
            </w:tcBorders>
            <w:vAlign w:val="center"/>
          </w:tcPr>
          <w:p w14:paraId="7D66530D"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598D265D"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FC7BE1">
              <w:rPr>
                <w:rFonts w:asciiTheme="majorHAnsi" w:hAnsiTheme="majorHAnsi" w:cstheme="majorHAnsi"/>
                <w:color w:val="000000"/>
              </w:rPr>
              <w:t>ATGCATGC</w:t>
            </w:r>
          </w:p>
        </w:tc>
      </w:tr>
      <w:tr w:rsidR="00BF5A9E" w:rsidRPr="00FC7BE1" w14:paraId="25CECA15"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4DFB16C3"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Index_R_4</w:t>
            </w:r>
          </w:p>
        </w:tc>
        <w:tc>
          <w:tcPr>
            <w:tcW w:w="2592" w:type="dxa"/>
            <w:tcBorders>
              <w:top w:val="nil"/>
              <w:bottom w:val="nil"/>
            </w:tcBorders>
            <w:vAlign w:val="center"/>
          </w:tcPr>
          <w:p w14:paraId="34A503F1"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39950ADE"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FC7BE1">
              <w:rPr>
                <w:rFonts w:asciiTheme="majorHAnsi" w:hAnsiTheme="majorHAnsi" w:cstheme="majorHAnsi"/>
                <w:color w:val="000000"/>
              </w:rPr>
              <w:t>AGATGCAC</w:t>
            </w:r>
          </w:p>
        </w:tc>
      </w:tr>
      <w:tr w:rsidR="00BF5A9E" w:rsidRPr="00FC7BE1" w14:paraId="041D6EFC"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092B3C88"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Index_R_5</w:t>
            </w:r>
          </w:p>
        </w:tc>
        <w:tc>
          <w:tcPr>
            <w:tcW w:w="2592" w:type="dxa"/>
            <w:tcBorders>
              <w:top w:val="nil"/>
              <w:bottom w:val="nil"/>
            </w:tcBorders>
            <w:vAlign w:val="center"/>
          </w:tcPr>
          <w:p w14:paraId="5ABDEA06"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42C7BFFF"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FC7BE1">
              <w:rPr>
                <w:rFonts w:asciiTheme="majorHAnsi" w:hAnsiTheme="majorHAnsi" w:cstheme="majorHAnsi"/>
                <w:color w:val="000000"/>
              </w:rPr>
              <w:t>ATGCGATG</w:t>
            </w:r>
          </w:p>
        </w:tc>
      </w:tr>
      <w:tr w:rsidR="00BF5A9E" w:rsidRPr="00FC7BE1" w14:paraId="64661108"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783768C0"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Index_R_6</w:t>
            </w:r>
          </w:p>
        </w:tc>
        <w:tc>
          <w:tcPr>
            <w:tcW w:w="2592" w:type="dxa"/>
            <w:tcBorders>
              <w:top w:val="nil"/>
              <w:bottom w:val="nil"/>
            </w:tcBorders>
            <w:vAlign w:val="center"/>
          </w:tcPr>
          <w:p w14:paraId="00BA783A"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0CA300E5"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FC7BE1">
              <w:rPr>
                <w:rFonts w:asciiTheme="majorHAnsi" w:hAnsiTheme="majorHAnsi" w:cstheme="majorHAnsi"/>
                <w:color w:val="000000"/>
              </w:rPr>
              <w:t>ACGCAGAG</w:t>
            </w:r>
          </w:p>
        </w:tc>
      </w:tr>
      <w:tr w:rsidR="00BF5A9E" w:rsidRPr="00FC7BE1" w14:paraId="4D6F0742"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3AA83BF5"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Index_R_7</w:t>
            </w:r>
          </w:p>
        </w:tc>
        <w:tc>
          <w:tcPr>
            <w:tcW w:w="2592" w:type="dxa"/>
            <w:tcBorders>
              <w:top w:val="nil"/>
              <w:bottom w:val="nil"/>
            </w:tcBorders>
            <w:vAlign w:val="center"/>
          </w:tcPr>
          <w:p w14:paraId="6310F247"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1C2B8A8D"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FC7BE1">
              <w:rPr>
                <w:rFonts w:asciiTheme="majorHAnsi" w:hAnsiTheme="majorHAnsi" w:cstheme="majorHAnsi"/>
                <w:color w:val="000000"/>
              </w:rPr>
              <w:t>ATGTGAGC</w:t>
            </w:r>
          </w:p>
        </w:tc>
      </w:tr>
      <w:tr w:rsidR="00BF5A9E" w:rsidRPr="00FC7BE1" w14:paraId="2DE7A862"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3776461E"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Index_R_8</w:t>
            </w:r>
          </w:p>
        </w:tc>
        <w:tc>
          <w:tcPr>
            <w:tcW w:w="2592" w:type="dxa"/>
            <w:tcBorders>
              <w:top w:val="nil"/>
              <w:bottom w:val="nil"/>
            </w:tcBorders>
            <w:vAlign w:val="center"/>
          </w:tcPr>
          <w:p w14:paraId="4F6CD041"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1C7E21E9"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FC7BE1">
              <w:rPr>
                <w:rFonts w:asciiTheme="majorHAnsi" w:hAnsiTheme="majorHAnsi" w:cstheme="majorHAnsi"/>
                <w:color w:val="000000"/>
              </w:rPr>
              <w:t>TGCTCGCG</w:t>
            </w:r>
          </w:p>
        </w:tc>
      </w:tr>
      <w:tr w:rsidR="00BF5A9E" w:rsidRPr="00FC7BE1" w14:paraId="3A685465"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2B338F0B"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Index_R_9</w:t>
            </w:r>
          </w:p>
        </w:tc>
        <w:tc>
          <w:tcPr>
            <w:tcW w:w="2592" w:type="dxa"/>
            <w:tcBorders>
              <w:top w:val="nil"/>
              <w:bottom w:val="nil"/>
            </w:tcBorders>
            <w:vAlign w:val="center"/>
          </w:tcPr>
          <w:p w14:paraId="740371DC"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4333EF18"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FC7BE1">
              <w:rPr>
                <w:rFonts w:asciiTheme="majorHAnsi" w:hAnsiTheme="majorHAnsi" w:cstheme="majorHAnsi"/>
                <w:color w:val="000000"/>
              </w:rPr>
              <w:t>ATGACGTC</w:t>
            </w:r>
          </w:p>
        </w:tc>
      </w:tr>
      <w:tr w:rsidR="00BF5A9E" w:rsidRPr="00FC7BE1" w14:paraId="45383481"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4F7A7704"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Index_R_10</w:t>
            </w:r>
          </w:p>
        </w:tc>
        <w:tc>
          <w:tcPr>
            <w:tcW w:w="2592" w:type="dxa"/>
            <w:tcBorders>
              <w:top w:val="nil"/>
              <w:bottom w:val="nil"/>
            </w:tcBorders>
            <w:vAlign w:val="center"/>
          </w:tcPr>
          <w:p w14:paraId="2834A381"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0671578B"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FC7BE1">
              <w:rPr>
                <w:rFonts w:asciiTheme="majorHAnsi" w:hAnsiTheme="majorHAnsi" w:cstheme="majorHAnsi"/>
                <w:color w:val="000000"/>
              </w:rPr>
              <w:t>AGTAGTAC</w:t>
            </w:r>
          </w:p>
        </w:tc>
      </w:tr>
      <w:tr w:rsidR="00BF5A9E" w:rsidRPr="00FC7BE1" w14:paraId="7BDFE753"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18431DDF"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Index_R_11</w:t>
            </w:r>
          </w:p>
        </w:tc>
        <w:tc>
          <w:tcPr>
            <w:tcW w:w="2592" w:type="dxa"/>
            <w:tcBorders>
              <w:top w:val="nil"/>
              <w:bottom w:val="nil"/>
            </w:tcBorders>
            <w:vAlign w:val="center"/>
          </w:tcPr>
          <w:p w14:paraId="61DDA1CB"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0E94C1EA"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FC7BE1">
              <w:rPr>
                <w:rFonts w:asciiTheme="majorHAnsi" w:hAnsiTheme="majorHAnsi" w:cstheme="majorHAnsi"/>
                <w:color w:val="000000"/>
              </w:rPr>
              <w:t>TCTGACTC</w:t>
            </w:r>
          </w:p>
        </w:tc>
      </w:tr>
      <w:tr w:rsidR="00BF5A9E" w:rsidRPr="00FC7BE1" w14:paraId="6855E7B6"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57BA59A1"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Index_R_12</w:t>
            </w:r>
          </w:p>
        </w:tc>
        <w:tc>
          <w:tcPr>
            <w:tcW w:w="2592" w:type="dxa"/>
            <w:tcBorders>
              <w:top w:val="nil"/>
              <w:bottom w:val="nil"/>
            </w:tcBorders>
            <w:vAlign w:val="center"/>
          </w:tcPr>
          <w:p w14:paraId="230D66B5"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5429F2D6"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FC7BE1">
              <w:rPr>
                <w:rFonts w:asciiTheme="majorHAnsi" w:hAnsiTheme="majorHAnsi" w:cstheme="majorHAnsi"/>
                <w:color w:val="000000"/>
              </w:rPr>
              <w:t>AGAGTCGC</w:t>
            </w:r>
          </w:p>
        </w:tc>
      </w:tr>
      <w:tr w:rsidR="00BF5A9E" w:rsidRPr="00FC7BE1" w14:paraId="108237A4"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42A72781"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Index_R_13</w:t>
            </w:r>
          </w:p>
        </w:tc>
        <w:tc>
          <w:tcPr>
            <w:tcW w:w="2592" w:type="dxa"/>
            <w:tcBorders>
              <w:top w:val="nil"/>
              <w:bottom w:val="nil"/>
            </w:tcBorders>
            <w:vAlign w:val="center"/>
          </w:tcPr>
          <w:p w14:paraId="21A35968"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12A9A095"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FC7BE1">
              <w:rPr>
                <w:rFonts w:asciiTheme="majorHAnsi" w:hAnsiTheme="majorHAnsi" w:cstheme="majorHAnsi"/>
                <w:color w:val="000000"/>
              </w:rPr>
              <w:t>TCAGCACG</w:t>
            </w:r>
          </w:p>
        </w:tc>
      </w:tr>
      <w:tr w:rsidR="00BF5A9E" w:rsidRPr="00FC7BE1" w14:paraId="4BDCEA13"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6E9D5B4D"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Index_R_14</w:t>
            </w:r>
          </w:p>
        </w:tc>
        <w:tc>
          <w:tcPr>
            <w:tcW w:w="2592" w:type="dxa"/>
            <w:tcBorders>
              <w:top w:val="nil"/>
              <w:bottom w:val="nil"/>
            </w:tcBorders>
            <w:vAlign w:val="center"/>
          </w:tcPr>
          <w:p w14:paraId="25C4992D"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02352519"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TGCGTACG</w:t>
            </w:r>
          </w:p>
        </w:tc>
      </w:tr>
      <w:tr w:rsidR="00BF5A9E" w:rsidRPr="00FC7BE1" w14:paraId="0FB5ACDB"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750CCB5E"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Index_R_15</w:t>
            </w:r>
          </w:p>
        </w:tc>
        <w:tc>
          <w:tcPr>
            <w:tcW w:w="2592" w:type="dxa"/>
            <w:tcBorders>
              <w:top w:val="nil"/>
              <w:bottom w:val="nil"/>
            </w:tcBorders>
            <w:vAlign w:val="center"/>
          </w:tcPr>
          <w:p w14:paraId="06E2DEA5"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48841F68"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TCATGTCG</w:t>
            </w:r>
          </w:p>
        </w:tc>
      </w:tr>
      <w:tr w:rsidR="00BF5A9E" w:rsidRPr="00FC7BE1" w14:paraId="1B885419" w14:textId="77777777" w:rsidTr="00181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vAlign w:val="center"/>
          </w:tcPr>
          <w:p w14:paraId="47B4F964"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Index_R_16</w:t>
            </w:r>
          </w:p>
        </w:tc>
        <w:tc>
          <w:tcPr>
            <w:tcW w:w="2592" w:type="dxa"/>
            <w:tcBorders>
              <w:top w:val="nil"/>
              <w:bottom w:val="nil"/>
            </w:tcBorders>
            <w:vAlign w:val="center"/>
          </w:tcPr>
          <w:p w14:paraId="04D05523" w14:textId="77777777" w:rsidR="00BF5A9E" w:rsidRPr="00FC7BE1" w:rsidRDefault="00BF5A9E" w:rsidP="00B015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nil"/>
            </w:tcBorders>
            <w:vAlign w:val="center"/>
          </w:tcPr>
          <w:p w14:paraId="475ED118" w14:textId="77777777" w:rsidR="00BF5A9E" w:rsidRPr="00FC7BE1" w:rsidRDefault="00BF5A9E" w:rsidP="00B015B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TGACGATC</w:t>
            </w:r>
          </w:p>
        </w:tc>
      </w:tr>
      <w:tr w:rsidR="00BF5A9E" w:rsidRPr="00FC7BE1" w14:paraId="245C23FD" w14:textId="77777777" w:rsidTr="0018139D">
        <w:tc>
          <w:tcPr>
            <w:cnfStyle w:val="001000000000" w:firstRow="0" w:lastRow="0" w:firstColumn="1" w:lastColumn="0" w:oddVBand="0" w:evenVBand="0" w:oddHBand="0" w:evenHBand="0" w:firstRowFirstColumn="0" w:firstRowLastColumn="0" w:lastRowFirstColumn="0" w:lastRowLastColumn="0"/>
            <w:tcW w:w="2080" w:type="dxa"/>
            <w:tcBorders>
              <w:top w:val="nil"/>
              <w:bottom w:val="single" w:sz="12" w:space="0" w:color="808080" w:themeColor="background1" w:themeShade="80"/>
            </w:tcBorders>
            <w:vAlign w:val="center"/>
          </w:tcPr>
          <w:p w14:paraId="580EF668" w14:textId="77777777" w:rsidR="00BF5A9E" w:rsidRPr="00FC7BE1" w:rsidRDefault="00BF5A9E" w:rsidP="00B015B0">
            <w:pPr>
              <w:rPr>
                <w:rFonts w:asciiTheme="majorHAnsi" w:hAnsiTheme="majorHAnsi" w:cstheme="majorHAnsi"/>
              </w:rPr>
            </w:pPr>
            <w:r w:rsidRPr="00FC7BE1">
              <w:rPr>
                <w:rFonts w:asciiTheme="majorHAnsi" w:hAnsiTheme="majorHAnsi" w:cstheme="majorHAnsi"/>
                <w:b w:val="0"/>
              </w:rPr>
              <w:t>Index_R_17</w:t>
            </w:r>
          </w:p>
        </w:tc>
        <w:tc>
          <w:tcPr>
            <w:tcW w:w="2592" w:type="dxa"/>
            <w:tcBorders>
              <w:top w:val="nil"/>
              <w:bottom w:val="single" w:sz="12" w:space="0" w:color="808080" w:themeColor="background1" w:themeShade="80"/>
            </w:tcBorders>
            <w:vAlign w:val="center"/>
          </w:tcPr>
          <w:p w14:paraId="510FDDE1" w14:textId="77777777" w:rsidR="00BF5A9E" w:rsidRPr="00FC7BE1" w:rsidRDefault="00BF5A9E" w:rsidP="00B015B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i7 reverse barcode</w:t>
            </w:r>
          </w:p>
        </w:tc>
        <w:tc>
          <w:tcPr>
            <w:tcW w:w="4328" w:type="dxa"/>
            <w:tcBorders>
              <w:top w:val="nil"/>
              <w:bottom w:val="single" w:sz="12" w:space="0" w:color="808080" w:themeColor="background1" w:themeShade="80"/>
            </w:tcBorders>
            <w:vAlign w:val="center"/>
          </w:tcPr>
          <w:p w14:paraId="68BFE25E" w14:textId="77777777" w:rsidR="00BF5A9E" w:rsidRPr="00FC7BE1" w:rsidRDefault="00BF5A9E" w:rsidP="00B015B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C7BE1">
              <w:rPr>
                <w:rFonts w:asciiTheme="majorHAnsi" w:hAnsiTheme="majorHAnsi" w:cstheme="majorHAnsi"/>
              </w:rPr>
              <w:t>TCACAGCG</w:t>
            </w:r>
          </w:p>
        </w:tc>
      </w:tr>
      <w:bookmarkEnd w:id="1"/>
    </w:tbl>
    <w:p w14:paraId="7DDD73B4" w14:textId="77777777" w:rsidR="006156F4" w:rsidRPr="00FC7BE1" w:rsidRDefault="006156F4" w:rsidP="00EB43A2">
      <w:pPr>
        <w:spacing w:line="276" w:lineRule="auto"/>
        <w:rPr>
          <w:rFonts w:asciiTheme="majorHAnsi" w:hAnsiTheme="majorHAnsi" w:cstheme="majorHAnsi"/>
        </w:rPr>
      </w:pPr>
    </w:p>
    <w:p w14:paraId="33ACB594" w14:textId="77777777" w:rsidR="006156F4" w:rsidRPr="00FC7BE1" w:rsidRDefault="006156F4" w:rsidP="00FC7BE1">
      <w:pPr>
        <w:spacing w:line="360" w:lineRule="auto"/>
        <w:rPr>
          <w:rFonts w:asciiTheme="majorHAnsi" w:hAnsiTheme="majorHAnsi" w:cstheme="majorHAnsi"/>
        </w:rPr>
      </w:pPr>
    </w:p>
    <w:p w14:paraId="03BECBE8" w14:textId="77777777" w:rsidR="00E931C7" w:rsidRPr="00FC7BE1" w:rsidRDefault="00F91CD4" w:rsidP="00FC7BE1">
      <w:pPr>
        <w:spacing w:before="120" w:after="120" w:line="360" w:lineRule="auto"/>
        <w:rPr>
          <w:rFonts w:asciiTheme="majorHAnsi" w:hAnsiTheme="majorHAnsi" w:cstheme="majorHAnsi"/>
          <w:lang w:val="en-GB"/>
        </w:rPr>
      </w:pPr>
      <w:r w:rsidRPr="00FC7BE1">
        <w:rPr>
          <w:rFonts w:asciiTheme="majorHAnsi" w:hAnsiTheme="majorHAnsi" w:cstheme="majorHAnsi"/>
          <w:i/>
          <w:noProof/>
          <w:lang w:val="en-AU" w:eastAsia="en-AU"/>
        </w:rPr>
        <w:lastRenderedPageBreak/>
        <w:drawing>
          <wp:inline distT="0" distB="0" distL="0" distR="0" wp14:anchorId="2E1F5974" wp14:editId="03B77363">
            <wp:extent cx="3028950" cy="7553325"/>
            <wp:effectExtent l="0" t="0" r="0" b="9525"/>
            <wp:docPr id="3" name="Picture 3"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7553325"/>
                    </a:xfrm>
                    <a:prstGeom prst="rect">
                      <a:avLst/>
                    </a:prstGeom>
                    <a:noFill/>
                    <a:ln>
                      <a:noFill/>
                    </a:ln>
                  </pic:spPr>
                </pic:pic>
              </a:graphicData>
            </a:graphic>
          </wp:inline>
        </w:drawing>
      </w:r>
    </w:p>
    <w:p w14:paraId="49A12E4A" w14:textId="7117BA08" w:rsidR="006156F4" w:rsidRPr="00FC7BE1" w:rsidRDefault="006156F4" w:rsidP="00FC7BE1">
      <w:pPr>
        <w:framePr w:w="8927" w:h="1366" w:hRule="exact" w:hSpace="180" w:wrap="around" w:vAnchor="text" w:hAnchor="page" w:x="1456" w:y="1"/>
        <w:tabs>
          <w:tab w:val="left" w:pos="900"/>
          <w:tab w:val="left" w:pos="5760"/>
          <w:tab w:val="left" w:pos="5850"/>
          <w:tab w:val="left" w:pos="5940"/>
          <w:tab w:val="left" w:pos="6030"/>
          <w:tab w:val="left" w:pos="6120"/>
          <w:tab w:val="left" w:pos="6480"/>
          <w:tab w:val="left" w:pos="7920"/>
          <w:tab w:val="left" w:pos="8010"/>
          <w:tab w:val="left" w:pos="10440"/>
        </w:tabs>
        <w:spacing w:before="120" w:after="120" w:line="360" w:lineRule="auto"/>
        <w:jc w:val="both"/>
        <w:rPr>
          <w:rFonts w:asciiTheme="majorHAnsi" w:hAnsiTheme="majorHAnsi" w:cstheme="majorHAnsi"/>
        </w:rPr>
      </w:pPr>
      <w:r w:rsidRPr="00FC7BE1">
        <w:rPr>
          <w:rFonts w:asciiTheme="majorHAnsi" w:hAnsiTheme="majorHAnsi" w:cstheme="majorHAnsi"/>
          <w:b/>
        </w:rPr>
        <w:t>Figure S1.</w:t>
      </w:r>
      <w:r w:rsidRPr="00FC7BE1">
        <w:rPr>
          <w:rFonts w:asciiTheme="majorHAnsi" w:hAnsiTheme="majorHAnsi" w:cstheme="majorHAnsi"/>
        </w:rPr>
        <w:t xml:space="preserve"> Steps taken during the two-step PCR Illumina MiSeq amplicon library preparation for </w:t>
      </w:r>
      <w:r w:rsidRPr="00FC7BE1">
        <w:rPr>
          <w:rFonts w:asciiTheme="majorHAnsi" w:hAnsiTheme="majorHAnsi" w:cstheme="majorHAnsi"/>
          <w:i/>
        </w:rPr>
        <w:t>Ctenophorus decresii</w:t>
      </w:r>
      <w:r w:rsidRPr="00FC7BE1">
        <w:rPr>
          <w:rFonts w:asciiTheme="majorHAnsi" w:hAnsiTheme="majorHAnsi" w:cstheme="majorHAnsi"/>
        </w:rPr>
        <w:t xml:space="preserve"> MHC class I. *Primer concept as per </w:t>
      </w:r>
      <w:r w:rsidR="00A15306" w:rsidRPr="00FC7BE1">
        <w:rPr>
          <w:rFonts w:asciiTheme="majorHAnsi" w:hAnsiTheme="majorHAnsi" w:cstheme="majorHAnsi"/>
        </w:rPr>
        <w:fldChar w:fldCharType="begin"/>
      </w:r>
      <w:r w:rsidR="00381A41" w:rsidRPr="00FC7BE1">
        <w:rPr>
          <w:rFonts w:asciiTheme="majorHAnsi" w:hAnsiTheme="majorHAnsi" w:cstheme="majorHAnsi"/>
        </w:rPr>
        <w:instrText xml:space="preserve"> ADDIN EN.CITE &lt;EndNote&gt;&lt;Cite&gt;&lt;Author&gt;Pearson&lt;/Author&gt;&lt;Year&gt;2016&lt;/Year&gt;&lt;RecNum&gt;2537&lt;/RecNum&gt;&lt;DisplayText&gt;(Pearson, et al., 2016)&lt;/DisplayText&gt;&lt;record&gt;&lt;rec-number&gt;2537&lt;/rec-number&gt;&lt;foreign-keys&gt;&lt;key app="EN" db-id="9tvdvttdw2vdzzefs985swtw5arfx559r0fd" timestamp="0"&gt;2537&lt;/key&gt;&lt;/foreign-keys&gt;&lt;ref-type name="Journal Article"&gt;17&lt;/ref-type&gt;&lt;contributors&gt;&lt;authors&gt;&lt;author&gt;Pearson, SK&lt;/author&gt;&lt;author&gt;Bradford, TM&lt;/author&gt;&lt;author&gt;Ansari, TH&lt;/author&gt;&lt;author&gt;Bull, M&lt;/author&gt;&lt;author&gt;Gardner, M&lt;/author&gt;&lt;/authors&gt;&lt;/contributors&gt;&lt;titles&gt;&lt;title&gt;&lt;style face="normal" font="default" size="100%"&gt;MHC genotyping from next-generation sequencing: detailed methodology for the gidgee skink, &lt;/style&gt;&lt;style face="italic" font="default" size="100%"&gt;Egernia stokesii&lt;/style&gt;&lt;/title&gt;&lt;secondary-title&gt;Transactions of the Royal Society of South Australia&lt;/secondary-title&gt;&lt;/titles&gt;&lt;pages&gt;244-262&lt;/pages&gt;&lt;volume&gt;140&lt;/volume&gt;&lt;number&gt;2&lt;/number&gt;&lt;dates&gt;&lt;year&gt;2016&lt;/year&gt;&lt;/dates&gt;&lt;urls&gt;&lt;/urls&gt;&lt;/record&gt;&lt;/Cite&gt;&lt;/EndNote&gt;</w:instrText>
      </w:r>
      <w:r w:rsidR="00A15306" w:rsidRPr="00FC7BE1">
        <w:rPr>
          <w:rFonts w:asciiTheme="majorHAnsi" w:hAnsiTheme="majorHAnsi" w:cstheme="majorHAnsi"/>
        </w:rPr>
        <w:fldChar w:fldCharType="separate"/>
      </w:r>
      <w:r w:rsidR="00381A41" w:rsidRPr="00FC7BE1">
        <w:rPr>
          <w:rFonts w:asciiTheme="majorHAnsi" w:hAnsiTheme="majorHAnsi" w:cstheme="majorHAnsi"/>
          <w:noProof/>
        </w:rPr>
        <w:t>(</w:t>
      </w:r>
      <w:hyperlink w:anchor="_ENREF_6" w:tooltip="Pearson, 2016 #2537" w:history="1">
        <w:r w:rsidR="00C04AA9" w:rsidRPr="00FC7BE1">
          <w:rPr>
            <w:rFonts w:asciiTheme="majorHAnsi" w:hAnsiTheme="majorHAnsi" w:cstheme="majorHAnsi"/>
            <w:noProof/>
          </w:rPr>
          <w:t>Pearson, et al., 2016</w:t>
        </w:r>
      </w:hyperlink>
      <w:r w:rsidR="00381A41" w:rsidRPr="00FC7BE1">
        <w:rPr>
          <w:rFonts w:asciiTheme="majorHAnsi" w:hAnsiTheme="majorHAnsi" w:cstheme="majorHAnsi"/>
          <w:noProof/>
        </w:rPr>
        <w:t>)</w:t>
      </w:r>
      <w:r w:rsidR="00A15306" w:rsidRPr="00FC7BE1">
        <w:rPr>
          <w:rFonts w:asciiTheme="majorHAnsi" w:hAnsiTheme="majorHAnsi" w:cstheme="majorHAnsi"/>
        </w:rPr>
        <w:fldChar w:fldCharType="end"/>
      </w:r>
      <w:r w:rsidRPr="00FC7BE1">
        <w:rPr>
          <w:rFonts w:asciiTheme="majorHAnsi" w:hAnsiTheme="majorHAnsi" w:cstheme="majorHAnsi"/>
        </w:rPr>
        <w:t xml:space="preserve">; ^Agilent 2200 </w:t>
      </w:r>
      <w:proofErr w:type="spellStart"/>
      <w:r w:rsidRPr="00FC7BE1">
        <w:rPr>
          <w:rFonts w:asciiTheme="majorHAnsi" w:hAnsiTheme="majorHAnsi" w:cstheme="majorHAnsi"/>
        </w:rPr>
        <w:t>TapeStation</w:t>
      </w:r>
      <w:proofErr w:type="spellEnd"/>
      <w:r w:rsidRPr="00FC7BE1">
        <w:rPr>
          <w:rFonts w:asciiTheme="majorHAnsi" w:hAnsiTheme="majorHAnsi" w:cstheme="majorHAnsi"/>
        </w:rPr>
        <w:t xml:space="preserve"> © (Agilent Technologies); </w:t>
      </w:r>
      <w:r w:rsidRPr="00FC7BE1">
        <w:rPr>
          <w:rFonts w:asciiTheme="majorHAnsi" w:hAnsiTheme="majorHAnsi" w:cstheme="majorHAnsi"/>
          <w:vertAlign w:val="superscript"/>
        </w:rPr>
        <w:t>+</w:t>
      </w:r>
      <w:proofErr w:type="spellStart"/>
      <w:r w:rsidRPr="00FC7BE1">
        <w:rPr>
          <w:rFonts w:asciiTheme="majorHAnsi" w:hAnsiTheme="majorHAnsi" w:cstheme="majorHAnsi"/>
        </w:rPr>
        <w:t>Agencourt</w:t>
      </w:r>
      <w:proofErr w:type="spellEnd"/>
      <w:r w:rsidRPr="00FC7BE1">
        <w:rPr>
          <w:rFonts w:asciiTheme="majorHAnsi" w:hAnsiTheme="majorHAnsi" w:cstheme="majorHAnsi"/>
        </w:rPr>
        <w:t xml:space="preserve"> </w:t>
      </w:r>
      <w:proofErr w:type="spellStart"/>
      <w:r w:rsidRPr="00FC7BE1">
        <w:rPr>
          <w:rFonts w:asciiTheme="majorHAnsi" w:hAnsiTheme="majorHAnsi" w:cstheme="majorHAnsi"/>
        </w:rPr>
        <w:t>AMPure</w:t>
      </w:r>
      <w:proofErr w:type="spellEnd"/>
      <w:r w:rsidRPr="00FC7BE1">
        <w:rPr>
          <w:rFonts w:asciiTheme="majorHAnsi" w:hAnsiTheme="majorHAnsi" w:cstheme="majorHAnsi"/>
        </w:rPr>
        <w:t xml:space="preserve"> © beads (Beckman Coulter, Inc.).</w:t>
      </w:r>
    </w:p>
    <w:p w14:paraId="4779B0C3" w14:textId="77777777" w:rsidR="00E931C7" w:rsidRPr="00FC7BE1" w:rsidRDefault="00E931C7" w:rsidP="00FC7BE1">
      <w:pPr>
        <w:spacing w:before="120" w:after="120" w:line="360" w:lineRule="auto"/>
        <w:rPr>
          <w:rFonts w:asciiTheme="majorHAnsi" w:hAnsiTheme="majorHAnsi" w:cstheme="majorHAnsi"/>
          <w:i/>
        </w:rPr>
      </w:pPr>
    </w:p>
    <w:p w14:paraId="227F078D" w14:textId="63990BAA" w:rsidR="00F91CD4" w:rsidRPr="00FC7BE1" w:rsidRDefault="00F91CD4" w:rsidP="00FC7BE1">
      <w:pPr>
        <w:framePr w:w="8976" w:h="1564" w:hSpace="180" w:wrap="around" w:vAnchor="text" w:hAnchor="page" w:x="1499" w:y="12034"/>
        <w:spacing w:before="120" w:after="120" w:line="360" w:lineRule="auto"/>
        <w:jc w:val="both"/>
        <w:rPr>
          <w:rFonts w:asciiTheme="majorHAnsi" w:hAnsiTheme="majorHAnsi" w:cstheme="majorHAnsi"/>
        </w:rPr>
      </w:pPr>
      <w:r w:rsidRPr="00FC7BE1">
        <w:rPr>
          <w:rFonts w:asciiTheme="majorHAnsi" w:hAnsiTheme="majorHAnsi" w:cstheme="majorHAnsi"/>
          <w:b/>
        </w:rPr>
        <w:lastRenderedPageBreak/>
        <w:t xml:space="preserve">Figure S2. </w:t>
      </w:r>
      <w:r w:rsidRPr="00FC7BE1">
        <w:rPr>
          <w:rFonts w:asciiTheme="majorHAnsi" w:hAnsiTheme="majorHAnsi" w:cstheme="majorHAnsi"/>
        </w:rPr>
        <w:t xml:space="preserve">Pre-genotyping bioinformatics steps for </w:t>
      </w:r>
      <w:r w:rsidRPr="00FC7BE1">
        <w:rPr>
          <w:rFonts w:asciiTheme="majorHAnsi" w:hAnsiTheme="majorHAnsi" w:cstheme="majorHAnsi"/>
          <w:i/>
        </w:rPr>
        <w:t>Ctenophorus decresii</w:t>
      </w:r>
      <w:r w:rsidRPr="00FC7BE1">
        <w:rPr>
          <w:rFonts w:asciiTheme="majorHAnsi" w:hAnsiTheme="majorHAnsi" w:cstheme="majorHAnsi"/>
        </w:rPr>
        <w:t xml:space="preserve"> class I MHC data. *</w:t>
      </w:r>
      <w:proofErr w:type="spellStart"/>
      <w:r w:rsidRPr="00FC7BE1">
        <w:rPr>
          <w:rFonts w:asciiTheme="majorHAnsi" w:hAnsiTheme="majorHAnsi" w:cstheme="majorHAnsi"/>
        </w:rPr>
        <w:t>FastQC</w:t>
      </w:r>
      <w:proofErr w:type="spellEnd"/>
      <w:r w:rsidRPr="00FC7BE1">
        <w:rPr>
          <w:rFonts w:asciiTheme="majorHAnsi" w:hAnsiTheme="majorHAnsi" w:cstheme="majorHAnsi"/>
        </w:rPr>
        <w:t xml:space="preserve"> ver. 0.11.2 </w:t>
      </w:r>
      <w:r w:rsidRPr="00FC7BE1">
        <w:rPr>
          <w:rFonts w:asciiTheme="majorHAnsi" w:hAnsiTheme="majorHAnsi" w:cstheme="majorHAnsi"/>
        </w:rPr>
        <w:fldChar w:fldCharType="begin"/>
      </w:r>
      <w:r w:rsidR="00381A41" w:rsidRPr="00FC7BE1">
        <w:rPr>
          <w:rFonts w:asciiTheme="majorHAnsi" w:hAnsiTheme="majorHAnsi" w:cstheme="majorHAnsi"/>
        </w:rPr>
        <w:instrText xml:space="preserve"> ADDIN EN.CITE &lt;EndNote&gt;&lt;Cite&gt;&lt;Author&gt;Andrews&lt;/Author&gt;&lt;Year&gt;2010&lt;/Year&gt;&lt;RecNum&gt;2454&lt;/RecNum&gt;&lt;DisplayText&gt;(Andrews, 2010)&lt;/DisplayText&gt;&lt;record&gt;&lt;rec-number&gt;2454&lt;/rec-number&gt;&lt;foreign-keys&gt;&lt;key app="EN" db-id="9tvdvttdw2vdzzefs985swtw5arfx559r0fd" timestamp="0"&gt;2454&lt;/key&gt;&lt;/foreign-keys&gt;&lt;ref-type name="Electronic Article"&gt;43&lt;/ref-type&gt;&lt;contributors&gt;&lt;authors&gt;&lt;author&gt;Andrews, S&lt;/author&gt;&lt;/authors&gt;&lt;/contributors&gt;&lt;titles&gt;&lt;title&gt;FastQC a Quality Control Tool for High Throughput Sequence Data [Online]&lt;/title&gt;&lt;tertiary-title&gt;FastQC a Quality Control Tool for High Throughput Sequence Data [Online]&amp;#xD;&lt;/tertiary-title&gt;&lt;/titles&gt;&lt;dates&gt;&lt;year&gt;2010&lt;/year&gt;&lt;/dates&gt;&lt;urls&gt;&lt;related-urls&gt;&lt;url&gt;http://www.bioinformatics.babraham.ac.uk/projects/fastqc/&lt;/url&gt;&lt;/related-urls&gt;&lt;/urls&gt;&lt;/record&gt;&lt;/Cite&gt;&lt;/EndNote&gt;</w:instrText>
      </w:r>
      <w:r w:rsidRPr="00FC7BE1">
        <w:rPr>
          <w:rFonts w:asciiTheme="majorHAnsi" w:hAnsiTheme="majorHAnsi" w:cstheme="majorHAnsi"/>
        </w:rPr>
        <w:fldChar w:fldCharType="separate"/>
      </w:r>
      <w:r w:rsidR="00381A41" w:rsidRPr="00FC7BE1">
        <w:rPr>
          <w:rFonts w:asciiTheme="majorHAnsi" w:hAnsiTheme="majorHAnsi" w:cstheme="majorHAnsi"/>
          <w:noProof/>
        </w:rPr>
        <w:t>(</w:t>
      </w:r>
      <w:hyperlink w:anchor="_ENREF_1" w:tooltip="Andrews, 2010 #2454" w:history="1">
        <w:r w:rsidR="00C04AA9" w:rsidRPr="00FC7BE1">
          <w:rPr>
            <w:rFonts w:asciiTheme="majorHAnsi" w:hAnsiTheme="majorHAnsi" w:cstheme="majorHAnsi"/>
            <w:noProof/>
          </w:rPr>
          <w:t>Andrews, 2010</w:t>
        </w:r>
      </w:hyperlink>
      <w:r w:rsidR="00381A41" w:rsidRPr="00FC7BE1">
        <w:rPr>
          <w:rFonts w:asciiTheme="majorHAnsi" w:hAnsiTheme="majorHAnsi" w:cstheme="majorHAnsi"/>
          <w:noProof/>
        </w:rPr>
        <w:t>)</w:t>
      </w:r>
      <w:r w:rsidRPr="00FC7BE1">
        <w:rPr>
          <w:rFonts w:asciiTheme="majorHAnsi" w:hAnsiTheme="majorHAnsi" w:cstheme="majorHAnsi"/>
        </w:rPr>
        <w:fldChar w:fldCharType="end"/>
      </w:r>
      <w:r w:rsidRPr="00FC7BE1">
        <w:rPr>
          <w:rFonts w:asciiTheme="majorHAnsi" w:hAnsiTheme="majorHAnsi" w:cstheme="majorHAnsi"/>
        </w:rPr>
        <w:t xml:space="preserve">, ^PEAR ver. 0.9.5 </w:t>
      </w:r>
      <w:r w:rsidRPr="00FC7BE1">
        <w:rPr>
          <w:rFonts w:asciiTheme="majorHAnsi" w:hAnsiTheme="majorHAnsi" w:cstheme="majorHAnsi"/>
        </w:rPr>
        <w:fldChar w:fldCharType="begin"/>
      </w:r>
      <w:r w:rsidR="00381A41" w:rsidRPr="00FC7BE1">
        <w:rPr>
          <w:rFonts w:asciiTheme="majorHAnsi" w:hAnsiTheme="majorHAnsi" w:cstheme="majorHAnsi"/>
        </w:rPr>
        <w:instrText xml:space="preserve"> ADDIN EN.CITE &lt;EndNote&gt;&lt;Cite&gt;&lt;Author&gt;Zhang&lt;/Author&gt;&lt;Year&gt;2014&lt;/Year&gt;&lt;RecNum&gt;2453&lt;/RecNum&gt;&lt;DisplayText&gt;(Zhang, et al., 2014)&lt;/DisplayText&gt;&lt;record&gt;&lt;rec-number&gt;2453&lt;/rec-number&gt;&lt;foreign-keys&gt;&lt;key app="EN" db-id="9tvdvttdw2vdzzefs985swtw5arfx559r0fd" timestamp="0"&gt;2453&lt;/key&gt;&lt;/foreign-keys&gt;&lt;ref-type name="Journal Article"&gt;17&lt;/ref-type&gt;&lt;contributors&gt;&lt;authors&gt;&lt;author&gt;Zhang, J.&lt;/author&gt;&lt;author&gt;Kobert, K.&lt;/author&gt;&lt;author&gt;Flouri, T.&lt;/author&gt;&lt;author&gt;Stamatakis, A.&lt;/author&gt;&lt;/authors&gt;&lt;/contributors&gt;&lt;titles&gt;&lt;title&gt;PEAR: A fast and accurate Illumina Paired-End reAd mergeR&lt;/title&gt;&lt;secondary-title&gt;Bioinformatics &lt;/secondary-title&gt;&lt;/titles&gt;&lt;pages&gt;614-620&lt;/pages&gt;&lt;volume&gt;30&lt;/volume&gt;&lt;number&gt;5&lt;/number&gt;&lt;dates&gt;&lt;year&gt;2014&lt;/year&gt;&lt;/dates&gt;&lt;urls&gt;&lt;/urls&gt;&lt;/record&gt;&lt;/Cite&gt;&lt;/EndNote&gt;</w:instrText>
      </w:r>
      <w:r w:rsidRPr="00FC7BE1">
        <w:rPr>
          <w:rFonts w:asciiTheme="majorHAnsi" w:hAnsiTheme="majorHAnsi" w:cstheme="majorHAnsi"/>
        </w:rPr>
        <w:fldChar w:fldCharType="separate"/>
      </w:r>
      <w:r w:rsidR="00381A41" w:rsidRPr="00FC7BE1">
        <w:rPr>
          <w:rFonts w:asciiTheme="majorHAnsi" w:hAnsiTheme="majorHAnsi" w:cstheme="majorHAnsi"/>
          <w:noProof/>
        </w:rPr>
        <w:t>(</w:t>
      </w:r>
      <w:hyperlink w:anchor="_ENREF_10" w:tooltip="Zhang, 2014 #2453" w:history="1">
        <w:r w:rsidR="00C04AA9" w:rsidRPr="00FC7BE1">
          <w:rPr>
            <w:rFonts w:asciiTheme="majorHAnsi" w:hAnsiTheme="majorHAnsi" w:cstheme="majorHAnsi"/>
            <w:noProof/>
          </w:rPr>
          <w:t>Zhang, et al., 2014</w:t>
        </w:r>
      </w:hyperlink>
      <w:r w:rsidR="00381A41" w:rsidRPr="00FC7BE1">
        <w:rPr>
          <w:rFonts w:asciiTheme="majorHAnsi" w:hAnsiTheme="majorHAnsi" w:cstheme="majorHAnsi"/>
          <w:noProof/>
        </w:rPr>
        <w:t>)</w:t>
      </w:r>
      <w:r w:rsidRPr="00FC7BE1">
        <w:rPr>
          <w:rFonts w:asciiTheme="majorHAnsi" w:hAnsiTheme="majorHAnsi" w:cstheme="majorHAnsi"/>
        </w:rPr>
        <w:fldChar w:fldCharType="end"/>
      </w:r>
      <w:r w:rsidRPr="00FC7BE1">
        <w:rPr>
          <w:rFonts w:asciiTheme="majorHAnsi" w:hAnsiTheme="majorHAnsi" w:cstheme="majorHAnsi"/>
        </w:rPr>
        <w:t>,</w:t>
      </w:r>
      <w:r w:rsidRPr="00FC7BE1">
        <w:rPr>
          <w:rFonts w:asciiTheme="majorHAnsi" w:hAnsiTheme="majorHAnsi" w:cstheme="majorHAnsi"/>
          <w:vertAlign w:val="superscript"/>
        </w:rPr>
        <w:t xml:space="preserve"> €</w:t>
      </w:r>
      <w:r w:rsidRPr="00FC7BE1">
        <w:rPr>
          <w:rFonts w:asciiTheme="majorHAnsi" w:hAnsiTheme="majorHAnsi" w:cstheme="majorHAnsi"/>
        </w:rPr>
        <w:t xml:space="preserve">jMHC </w:t>
      </w:r>
      <w:r w:rsidR="00E930D6" w:rsidRPr="00FC7BE1">
        <w:rPr>
          <w:rFonts w:asciiTheme="majorHAnsi" w:hAnsiTheme="majorHAnsi" w:cstheme="majorHAnsi"/>
        </w:rPr>
        <w:t xml:space="preserve">ver. 1.6.1624 </w:t>
      </w:r>
      <w:r w:rsidR="00E930D6" w:rsidRPr="00FC7BE1">
        <w:rPr>
          <w:rFonts w:asciiTheme="majorHAnsi" w:hAnsiTheme="majorHAnsi" w:cstheme="majorHAnsi"/>
        </w:rPr>
        <w:fldChar w:fldCharType="begin"/>
      </w:r>
      <w:r w:rsidR="00381A41" w:rsidRPr="00FC7BE1">
        <w:rPr>
          <w:rFonts w:asciiTheme="majorHAnsi" w:hAnsiTheme="majorHAnsi" w:cstheme="majorHAnsi"/>
        </w:rPr>
        <w:instrText xml:space="preserve"> ADDIN EN.CITE &lt;EndNote&gt;&lt;Cite&gt;&lt;Author&gt;Stuglik&lt;/Author&gt;&lt;Year&gt;2011&lt;/Year&gt;&lt;RecNum&gt;2540&lt;/RecNum&gt;&lt;DisplayText&gt;(Stuglik, et al., 2011)&lt;/DisplayText&gt;&lt;record&gt;&lt;rec-number&gt;2540&lt;/rec-number&gt;&lt;foreign-keys&gt;&lt;key app="EN" db-id="9tvdvttdw2vdzzefs985swtw5arfx559r0fd" timestamp="0"&gt;2540&lt;/key&gt;&lt;/foreign-keys&gt;&lt;ref-type name="Journal Article"&gt;17&lt;/ref-type&gt;&lt;contributors&gt;&lt;authors&gt;&lt;author&gt;Stuglik, M&lt;/author&gt;&lt;author&gt;Radwan, J&lt;/author&gt;&lt;author&gt;Babik, W&lt;/author&gt;&lt;/authors&gt;&lt;/contributors&gt;&lt;titles&gt;&lt;title&gt;jMHC: Software assistant for multilocus genotyping of gene families using next-generation amplicon sequencing&lt;/title&gt;&lt;secondary-title&gt;Molecular ecology resources&lt;/secondary-title&gt;&lt;/titles&gt;&lt;periodical&gt;&lt;full-title&gt;Molecular Ecology Resources&lt;/full-title&gt;&lt;/periodical&gt;&lt;pages&gt;739-742&lt;/pages&gt;&lt;volume&gt;11&lt;/volume&gt;&lt;dates&gt;&lt;year&gt;2011&lt;/year&gt;&lt;/dates&gt;&lt;urls&gt;&lt;/urls&gt;&lt;/record&gt;&lt;/Cite&gt;&lt;/EndNote&gt;</w:instrText>
      </w:r>
      <w:r w:rsidR="00E930D6" w:rsidRPr="00FC7BE1">
        <w:rPr>
          <w:rFonts w:asciiTheme="majorHAnsi" w:hAnsiTheme="majorHAnsi" w:cstheme="majorHAnsi"/>
        </w:rPr>
        <w:fldChar w:fldCharType="separate"/>
      </w:r>
      <w:r w:rsidR="00381A41" w:rsidRPr="00FC7BE1">
        <w:rPr>
          <w:rFonts w:asciiTheme="majorHAnsi" w:hAnsiTheme="majorHAnsi" w:cstheme="majorHAnsi"/>
          <w:noProof/>
        </w:rPr>
        <w:t>(</w:t>
      </w:r>
      <w:hyperlink w:anchor="_ENREF_8" w:tooltip="Stuglik, 2011 #2540" w:history="1">
        <w:r w:rsidR="00C04AA9" w:rsidRPr="00FC7BE1">
          <w:rPr>
            <w:rFonts w:asciiTheme="majorHAnsi" w:hAnsiTheme="majorHAnsi" w:cstheme="majorHAnsi"/>
            <w:noProof/>
          </w:rPr>
          <w:t>Stuglik, et al., 2011</w:t>
        </w:r>
      </w:hyperlink>
      <w:r w:rsidR="00381A41" w:rsidRPr="00FC7BE1">
        <w:rPr>
          <w:rFonts w:asciiTheme="majorHAnsi" w:hAnsiTheme="majorHAnsi" w:cstheme="majorHAnsi"/>
          <w:noProof/>
        </w:rPr>
        <w:t>)</w:t>
      </w:r>
      <w:r w:rsidR="00E930D6" w:rsidRPr="00FC7BE1">
        <w:rPr>
          <w:rFonts w:asciiTheme="majorHAnsi" w:hAnsiTheme="majorHAnsi" w:cstheme="majorHAnsi"/>
        </w:rPr>
        <w:fldChar w:fldCharType="end"/>
      </w:r>
      <w:r w:rsidRPr="00FC7BE1">
        <w:rPr>
          <w:rFonts w:asciiTheme="majorHAnsi" w:hAnsiTheme="majorHAnsi" w:cstheme="majorHAnsi"/>
        </w:rPr>
        <w:t xml:space="preserve">,  </w:t>
      </w:r>
      <w:r w:rsidRPr="00FC7BE1">
        <w:rPr>
          <w:rFonts w:asciiTheme="majorHAnsi" w:hAnsiTheme="majorHAnsi" w:cstheme="majorHAnsi"/>
          <w:vertAlign w:val="superscript"/>
        </w:rPr>
        <w:t>£</w:t>
      </w:r>
      <w:proofErr w:type="spellStart"/>
      <w:r w:rsidRPr="00FC7BE1">
        <w:rPr>
          <w:rFonts w:asciiTheme="majorHAnsi" w:hAnsiTheme="majorHAnsi" w:cstheme="majorHAnsi"/>
        </w:rPr>
        <w:t>Geneious</w:t>
      </w:r>
      <w:proofErr w:type="spellEnd"/>
      <w:r w:rsidRPr="00FC7BE1">
        <w:rPr>
          <w:rFonts w:asciiTheme="majorHAnsi" w:hAnsiTheme="majorHAnsi" w:cstheme="majorHAnsi"/>
        </w:rPr>
        <w:t xml:space="preserve"> ver. 8.1.7 </w:t>
      </w:r>
      <w:r w:rsidRPr="00FC7BE1">
        <w:rPr>
          <w:rFonts w:asciiTheme="majorHAnsi" w:hAnsiTheme="majorHAnsi" w:cstheme="majorHAnsi"/>
        </w:rPr>
        <w:fldChar w:fldCharType="begin"/>
      </w:r>
      <w:r w:rsidR="00381A41" w:rsidRPr="00FC7BE1">
        <w:rPr>
          <w:rFonts w:asciiTheme="majorHAnsi" w:hAnsiTheme="majorHAnsi" w:cstheme="majorHAnsi"/>
        </w:rPr>
        <w:instrText xml:space="preserve"> ADDIN EN.CITE &lt;EndNote&gt;&lt;Cite&gt;&lt;Author&gt;Kearse&lt;/Author&gt;&lt;Year&gt;2012&lt;/Year&gt;&lt;RecNum&gt;2455&lt;/RecNum&gt;&lt;DisplayText&gt;(Kearse, et al., 2012)&lt;/DisplayText&gt;&lt;record&gt;&lt;rec-number&gt;2455&lt;/rec-number&gt;&lt;foreign-keys&gt;&lt;key app="EN" db-id="9tvdvttdw2vdzzefs985swtw5arfx559r0fd" timestamp="0"&gt;2455&lt;/key&gt;&lt;/foreign-keys&gt;&lt;ref-type name="Journal Article"&gt;17&lt;/ref-type&gt;&lt;contributors&gt;&lt;authors&gt;&lt;author&gt;Kearse, M.&lt;/author&gt;&lt;author&gt;Moir, R.&lt;/author&gt;&lt;author&gt;Wilson, A.&lt;/author&gt;&lt;author&gt;Stones-Havas, S.&lt;/author&gt;&lt;author&gt;Cheung, M.&lt;/author&gt;&lt;author&gt;Sturrock, S.&lt;/author&gt;&lt;author&gt;Buxton, S.&lt;/author&gt;&lt;author&gt;Cooper, A.&lt;/author&gt;&lt;author&gt;Markowitz, S.&lt;/author&gt;&lt;author&gt;Duran, C.&lt;/author&gt;&lt;author&gt;Thierer, T.&lt;/author&gt;&lt;author&gt;Ashton, B.&lt;/author&gt;&lt;author&gt;Mentjies, P.&lt;/author&gt;&lt;author&gt;Drummond, A.&lt;/author&gt;&lt;/authors&gt;&lt;/contributors&gt;&lt;titles&gt;&lt;title&gt;Geneious Basic: an integrated and extendable desktop software platform for the organization and analysis of sequence data&lt;/title&gt;&lt;secondary-title&gt;Bioinformatics&lt;/secondary-title&gt;&lt;/titles&gt;&lt;pages&gt;1647-1649&lt;/pages&gt;&lt;volume&gt;28&lt;/volume&gt;&lt;number&gt;12&lt;/number&gt;&lt;dates&gt;&lt;year&gt;2012&lt;/year&gt;&lt;/dates&gt;&lt;urls&gt;&lt;related-urls&gt;&lt;url&gt;http://www.geneious.com&lt;/url&gt;&lt;/related-urls&gt;&lt;/urls&gt;&lt;/record&gt;&lt;/Cite&gt;&lt;/EndNote&gt;</w:instrText>
      </w:r>
      <w:r w:rsidRPr="00FC7BE1">
        <w:rPr>
          <w:rFonts w:asciiTheme="majorHAnsi" w:hAnsiTheme="majorHAnsi" w:cstheme="majorHAnsi"/>
        </w:rPr>
        <w:fldChar w:fldCharType="separate"/>
      </w:r>
      <w:r w:rsidR="00381A41" w:rsidRPr="00FC7BE1">
        <w:rPr>
          <w:rFonts w:asciiTheme="majorHAnsi" w:hAnsiTheme="majorHAnsi" w:cstheme="majorHAnsi"/>
          <w:noProof/>
        </w:rPr>
        <w:t>(</w:t>
      </w:r>
      <w:hyperlink w:anchor="_ENREF_4" w:tooltip="Kearse, 2012 #2455" w:history="1">
        <w:r w:rsidR="00C04AA9" w:rsidRPr="00FC7BE1">
          <w:rPr>
            <w:rFonts w:asciiTheme="majorHAnsi" w:hAnsiTheme="majorHAnsi" w:cstheme="majorHAnsi"/>
            <w:noProof/>
          </w:rPr>
          <w:t>Kearse, et al., 2012</w:t>
        </w:r>
      </w:hyperlink>
      <w:r w:rsidR="00381A41" w:rsidRPr="00FC7BE1">
        <w:rPr>
          <w:rFonts w:asciiTheme="majorHAnsi" w:hAnsiTheme="majorHAnsi" w:cstheme="majorHAnsi"/>
          <w:noProof/>
        </w:rPr>
        <w:t>)</w:t>
      </w:r>
      <w:r w:rsidRPr="00FC7BE1">
        <w:rPr>
          <w:rFonts w:asciiTheme="majorHAnsi" w:hAnsiTheme="majorHAnsi" w:cstheme="majorHAnsi"/>
        </w:rPr>
        <w:fldChar w:fldCharType="end"/>
      </w:r>
      <w:r w:rsidRPr="00FC7BE1">
        <w:rPr>
          <w:rFonts w:asciiTheme="majorHAnsi" w:hAnsiTheme="majorHAnsi" w:cstheme="majorHAnsi"/>
        </w:rPr>
        <w:t xml:space="preserve">, </w:t>
      </w:r>
      <w:proofErr w:type="spellStart"/>
      <w:r w:rsidRPr="00FC7BE1">
        <w:rPr>
          <w:rFonts w:asciiTheme="majorHAnsi" w:hAnsiTheme="majorHAnsi" w:cstheme="majorHAnsi"/>
          <w:vertAlign w:val="superscript"/>
        </w:rPr>
        <w:t>ʎ</w:t>
      </w:r>
      <w:r w:rsidRPr="00FC7BE1">
        <w:rPr>
          <w:rFonts w:asciiTheme="majorHAnsi" w:hAnsiTheme="majorHAnsi" w:cstheme="majorHAnsi"/>
        </w:rPr>
        <w:t>AmpliSAT</w:t>
      </w:r>
      <w:proofErr w:type="spellEnd"/>
      <w:r w:rsidRPr="00FC7BE1">
        <w:rPr>
          <w:rFonts w:asciiTheme="majorHAnsi" w:hAnsiTheme="majorHAnsi" w:cstheme="majorHAnsi"/>
        </w:rPr>
        <w:t xml:space="preserve"> </w:t>
      </w:r>
      <w:r w:rsidRPr="00FC7BE1">
        <w:rPr>
          <w:rFonts w:asciiTheme="majorHAnsi" w:hAnsiTheme="majorHAnsi" w:cstheme="majorHAnsi"/>
        </w:rPr>
        <w:fldChar w:fldCharType="begin"/>
      </w:r>
      <w:r w:rsidR="00C04AA9">
        <w:rPr>
          <w:rFonts w:asciiTheme="majorHAnsi" w:hAnsiTheme="majorHAnsi" w:cstheme="majorHAnsi"/>
        </w:rPr>
        <w:instrText xml:space="preserve"> ADDIN EN.CITE &lt;EndNote&gt;&lt;Cite&gt;&lt;Author&gt;Sebastian&lt;/Author&gt;&lt;Year&gt;2016&lt;/Year&gt;&lt;RecNum&gt;2464&lt;/RecNum&gt;&lt;DisplayText&gt;(Sebastian, et al., 2016)&lt;/DisplayText&gt;&lt;record&gt;&lt;rec-number&gt;2464&lt;/rec-number&gt;&lt;foreign-keys&gt;&lt;key app="EN" db-id="9tvdvttdw2vdzzefs985swtw5arfx559r0fd" timestamp="0"&gt;2464&lt;/key&gt;&lt;/foreign-keys&gt;&lt;ref-type name="Journal Article"&gt;17&lt;/ref-type&gt;&lt;contributors&gt;&lt;authors&gt;&lt;author&gt;Sebastian, A&lt;/author&gt;&lt;author&gt;Herdegen, M.&lt;/author&gt;&lt;author&gt;Migalska, M&lt;/author&gt;&lt;author&gt;Radwan, Jacek&lt;/author&gt;&lt;/authors&gt;&lt;/contributors&gt;&lt;titles&gt;&lt;title&gt;AMPLISAS: a web server for multilocus genotyping using next-generation amplicon sequencing data&lt;/title&gt;&lt;secondary-title&gt;Molecular Ecology&lt;/secondary-title&gt;&lt;/titles&gt;&lt;periodical&gt;&lt;full-title&gt;Molecular Ecology&lt;/full-title&gt;&lt;abbr-1&gt;Molecular ecology&lt;/abbr-1&gt;&lt;/periodical&gt;&lt;pages&gt;498–510&lt;/pages&gt;&lt;volume&gt;16&lt;/volume&gt;&lt;number&gt;2&lt;/number&gt;&lt;dates&gt;&lt;year&gt;2016&lt;/year&gt;&lt;/dates&gt;&lt;urls&gt;&lt;/urls&gt;&lt;/record&gt;&lt;/Cite&gt;&lt;/EndNote&gt;</w:instrText>
      </w:r>
      <w:r w:rsidRPr="00FC7BE1">
        <w:rPr>
          <w:rFonts w:asciiTheme="majorHAnsi" w:hAnsiTheme="majorHAnsi" w:cstheme="majorHAnsi"/>
        </w:rPr>
        <w:fldChar w:fldCharType="separate"/>
      </w:r>
      <w:r w:rsidR="00C04AA9">
        <w:rPr>
          <w:rFonts w:asciiTheme="majorHAnsi" w:hAnsiTheme="majorHAnsi" w:cstheme="majorHAnsi"/>
          <w:noProof/>
        </w:rPr>
        <w:t>(</w:t>
      </w:r>
      <w:hyperlink w:anchor="_ENREF_7" w:tooltip="Sebastian, 2016 #2464" w:history="1">
        <w:r w:rsidR="00C04AA9">
          <w:rPr>
            <w:rFonts w:asciiTheme="majorHAnsi" w:hAnsiTheme="majorHAnsi" w:cstheme="majorHAnsi"/>
            <w:noProof/>
          </w:rPr>
          <w:t>Sebastian, et al., 2016</w:t>
        </w:r>
      </w:hyperlink>
      <w:r w:rsidR="00C04AA9">
        <w:rPr>
          <w:rFonts w:asciiTheme="majorHAnsi" w:hAnsiTheme="majorHAnsi" w:cstheme="majorHAnsi"/>
          <w:noProof/>
        </w:rPr>
        <w:t>)</w:t>
      </w:r>
      <w:r w:rsidRPr="00FC7BE1">
        <w:rPr>
          <w:rFonts w:asciiTheme="majorHAnsi" w:hAnsiTheme="majorHAnsi" w:cstheme="majorHAnsi"/>
        </w:rPr>
        <w:fldChar w:fldCharType="end"/>
      </w:r>
      <w:r w:rsidRPr="00FC7BE1">
        <w:rPr>
          <w:rFonts w:asciiTheme="majorHAnsi" w:hAnsiTheme="majorHAnsi" w:cstheme="majorHAnsi"/>
        </w:rPr>
        <w:t>.</w:t>
      </w:r>
    </w:p>
    <w:p w14:paraId="7E517679" w14:textId="77777777" w:rsidR="00E931C7" w:rsidRPr="00FC7BE1" w:rsidRDefault="00F91CD4" w:rsidP="00FC7BE1">
      <w:pPr>
        <w:spacing w:before="120" w:after="120" w:line="360" w:lineRule="auto"/>
        <w:rPr>
          <w:rFonts w:asciiTheme="majorHAnsi" w:hAnsiTheme="majorHAnsi" w:cstheme="majorHAnsi"/>
          <w:i/>
        </w:rPr>
      </w:pPr>
      <w:r w:rsidRPr="00FC7BE1">
        <w:rPr>
          <w:rFonts w:asciiTheme="majorHAnsi" w:hAnsiTheme="majorHAnsi" w:cstheme="majorHAnsi"/>
          <w:noProof/>
          <w:lang w:val="en-AU" w:eastAsia="en-AU"/>
        </w:rPr>
        <w:drawing>
          <wp:inline distT="0" distB="0" distL="0" distR="0" wp14:anchorId="2FD25FBA" wp14:editId="34AF3657">
            <wp:extent cx="3038475" cy="7562850"/>
            <wp:effectExtent l="0" t="0" r="9525" b="0"/>
            <wp:docPr id="2" name="Picture 2"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7562850"/>
                    </a:xfrm>
                    <a:prstGeom prst="rect">
                      <a:avLst/>
                    </a:prstGeom>
                    <a:noFill/>
                    <a:ln>
                      <a:noFill/>
                    </a:ln>
                  </pic:spPr>
                </pic:pic>
              </a:graphicData>
            </a:graphic>
          </wp:inline>
        </w:drawing>
      </w:r>
    </w:p>
    <w:p w14:paraId="163B0063" w14:textId="17623D0D" w:rsidR="00E931C7" w:rsidRPr="00FC7BE1" w:rsidRDefault="00381A41" w:rsidP="00FC7BE1">
      <w:pPr>
        <w:spacing w:before="120" w:after="120" w:line="360" w:lineRule="auto"/>
        <w:jc w:val="both"/>
        <w:rPr>
          <w:rFonts w:asciiTheme="majorHAnsi" w:hAnsiTheme="majorHAnsi" w:cstheme="majorHAnsi"/>
        </w:rPr>
      </w:pPr>
      <w:r w:rsidRPr="00FC7BE1">
        <w:rPr>
          <w:rFonts w:asciiTheme="majorHAnsi" w:hAnsiTheme="majorHAnsi" w:cstheme="majorHAnsi"/>
          <w:noProof/>
          <w:lang w:val="en-AU" w:eastAsia="en-AU"/>
        </w:rPr>
        <w:lastRenderedPageBreak/>
        <w:drawing>
          <wp:inline distT="0" distB="0" distL="0" distR="0" wp14:anchorId="2ECCE0F5" wp14:editId="4527C35D">
            <wp:extent cx="2962275" cy="7976785"/>
            <wp:effectExtent l="0" t="0" r="0" b="5715"/>
            <wp:docPr id="1" name="Picture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407" cy="8044461"/>
                    </a:xfrm>
                    <a:prstGeom prst="rect">
                      <a:avLst/>
                    </a:prstGeom>
                    <a:noFill/>
                    <a:ln>
                      <a:noFill/>
                    </a:ln>
                  </pic:spPr>
                </pic:pic>
              </a:graphicData>
            </a:graphic>
          </wp:inline>
        </w:drawing>
      </w:r>
    </w:p>
    <w:p w14:paraId="1280C336" w14:textId="6E7E6F57" w:rsidR="00381A41" w:rsidRPr="00FC7BE1" w:rsidRDefault="00381A41" w:rsidP="00FC7BE1">
      <w:pPr>
        <w:framePr w:w="9090" w:h="878" w:hRule="exact" w:hSpace="180" w:wrap="around" w:vAnchor="text" w:hAnchor="page" w:x="1440" w:y="88"/>
        <w:spacing w:before="120" w:after="120" w:line="360" w:lineRule="auto"/>
        <w:jc w:val="both"/>
        <w:rPr>
          <w:rFonts w:asciiTheme="majorHAnsi" w:hAnsiTheme="majorHAnsi" w:cstheme="majorHAnsi"/>
        </w:rPr>
      </w:pPr>
      <w:r w:rsidRPr="00FC7BE1">
        <w:rPr>
          <w:rFonts w:asciiTheme="majorHAnsi" w:hAnsiTheme="majorHAnsi" w:cstheme="majorHAnsi"/>
          <w:b/>
        </w:rPr>
        <w:t xml:space="preserve">Figure S3. </w:t>
      </w:r>
      <w:r w:rsidRPr="00FC7BE1">
        <w:rPr>
          <w:rFonts w:asciiTheme="majorHAnsi" w:hAnsiTheme="majorHAnsi" w:cstheme="majorHAnsi"/>
        </w:rPr>
        <w:t xml:space="preserve">Steps taken during </w:t>
      </w:r>
      <w:r w:rsidRPr="00FC7BE1">
        <w:rPr>
          <w:rFonts w:asciiTheme="majorHAnsi" w:hAnsiTheme="majorHAnsi" w:cstheme="majorHAnsi"/>
          <w:i/>
        </w:rPr>
        <w:t>Ctenophorus decresii</w:t>
      </w:r>
      <w:r w:rsidRPr="00FC7BE1">
        <w:rPr>
          <w:rFonts w:asciiTheme="majorHAnsi" w:hAnsiTheme="majorHAnsi" w:cstheme="majorHAnsi"/>
        </w:rPr>
        <w:t xml:space="preserve"> MHC class I genotyping. *AmpliSAT </w:t>
      </w:r>
      <w:r w:rsidRPr="00FC7BE1">
        <w:rPr>
          <w:rFonts w:asciiTheme="majorHAnsi" w:hAnsiTheme="majorHAnsi" w:cstheme="majorHAnsi"/>
        </w:rPr>
        <w:fldChar w:fldCharType="begin"/>
      </w:r>
      <w:r w:rsidRPr="00FC7BE1">
        <w:rPr>
          <w:rFonts w:asciiTheme="majorHAnsi" w:hAnsiTheme="majorHAnsi" w:cstheme="majorHAnsi"/>
        </w:rPr>
        <w:instrText xml:space="preserve"> ADDIN EN.CITE &lt;EndNote&gt;&lt;Cite&gt;&lt;Author&gt;Sebastian&lt;/Author&gt;&lt;Year&gt;2016&lt;/Year&gt;&lt;RecNum&gt;2464&lt;/RecNum&gt;&lt;DisplayText&gt;(Sebastian, et al., 2016)&lt;/DisplayText&gt;&lt;record&gt;&lt;rec-number&gt;2464&lt;/rec-number&gt;&lt;foreign-keys&gt;&lt;key app="EN" db-id="9tvdvttdw2vdzzefs985swtw5arfx559r0fd" timestamp="0"&gt;2464&lt;/key&gt;&lt;/foreign-keys&gt;&lt;ref-type name="Journal Article"&gt;17&lt;/ref-type&gt;&lt;contributors&gt;&lt;authors&gt;&lt;author&gt;Sebastian, A&lt;/author&gt;&lt;author&gt;Herdegen, M.&lt;/author&gt;&lt;author&gt;Migalska, M&lt;/author&gt;&lt;author&gt;Radwan, Jacek&lt;/author&gt;&lt;/authors&gt;&lt;/contributors&gt;&lt;titles&gt;&lt;title&gt;AMPLISAS: a web server for multilocus genotyping using next-generation amplicon sequencing data&lt;/title&gt;&lt;secondary-title&gt;Molecular Ecology&lt;/secondary-title&gt;&lt;/titles&gt;&lt;periodical&gt;&lt;full-title&gt;Molecular Ecology&lt;/full-title&gt;&lt;abbr-1&gt;Molecular ecology&lt;/abbr-1&gt;&lt;/periodical&gt;&lt;pages&gt;498–510&lt;/pages&gt;&lt;volume&gt;16&lt;/volume&gt;&lt;number&gt;2&lt;/number&gt;&lt;dates&gt;&lt;year&gt;2016&lt;/year&gt;&lt;/dates&gt;&lt;urls&gt;&lt;/urls&gt;&lt;/record&gt;&lt;/Cite&gt;&lt;/EndNote&gt;</w:instrText>
      </w:r>
      <w:r w:rsidRPr="00FC7BE1">
        <w:rPr>
          <w:rFonts w:asciiTheme="majorHAnsi" w:hAnsiTheme="majorHAnsi" w:cstheme="majorHAnsi"/>
        </w:rPr>
        <w:fldChar w:fldCharType="separate"/>
      </w:r>
      <w:r w:rsidRPr="00FC7BE1">
        <w:rPr>
          <w:rFonts w:asciiTheme="majorHAnsi" w:hAnsiTheme="majorHAnsi" w:cstheme="majorHAnsi"/>
          <w:noProof/>
        </w:rPr>
        <w:t>(</w:t>
      </w:r>
      <w:hyperlink w:anchor="_ENREF_7" w:tooltip="Sebastian, 2016 #2464" w:history="1">
        <w:r w:rsidR="00C04AA9" w:rsidRPr="00FC7BE1">
          <w:rPr>
            <w:rFonts w:asciiTheme="majorHAnsi" w:hAnsiTheme="majorHAnsi" w:cstheme="majorHAnsi"/>
            <w:noProof/>
          </w:rPr>
          <w:t>Sebastian, et al., 2016</w:t>
        </w:r>
      </w:hyperlink>
      <w:r w:rsidRPr="00FC7BE1">
        <w:rPr>
          <w:rFonts w:asciiTheme="majorHAnsi" w:hAnsiTheme="majorHAnsi" w:cstheme="majorHAnsi"/>
          <w:noProof/>
        </w:rPr>
        <w:t>)</w:t>
      </w:r>
      <w:r w:rsidRPr="00FC7BE1">
        <w:rPr>
          <w:rFonts w:asciiTheme="majorHAnsi" w:hAnsiTheme="majorHAnsi" w:cstheme="majorHAnsi"/>
        </w:rPr>
        <w:fldChar w:fldCharType="end"/>
      </w:r>
      <w:r w:rsidRPr="00FC7BE1">
        <w:rPr>
          <w:rFonts w:asciiTheme="majorHAnsi" w:hAnsiTheme="majorHAnsi" w:cstheme="majorHAnsi"/>
        </w:rPr>
        <w:t xml:space="preserve">. ^LAEA: low amplification efficiency alleles. </w:t>
      </w:r>
    </w:p>
    <w:p w14:paraId="0FB5EF7B" w14:textId="31F583F4" w:rsidR="00E931C7" w:rsidRPr="00FC7BE1" w:rsidRDefault="00E931C7" w:rsidP="00FC7BE1">
      <w:pPr>
        <w:spacing w:before="120" w:after="120" w:line="360" w:lineRule="auto"/>
        <w:rPr>
          <w:rFonts w:asciiTheme="majorHAnsi" w:hAnsiTheme="majorHAnsi" w:cstheme="majorHAnsi"/>
        </w:rPr>
      </w:pPr>
    </w:p>
    <w:p w14:paraId="51B108F1" w14:textId="77777777" w:rsidR="00B41A86" w:rsidRPr="00FC7BE1" w:rsidRDefault="00752BCB" w:rsidP="00FC7BE1">
      <w:pPr>
        <w:spacing w:before="120" w:after="120" w:line="360" w:lineRule="auto"/>
        <w:rPr>
          <w:rFonts w:asciiTheme="majorHAnsi" w:hAnsiTheme="majorHAnsi" w:cstheme="majorHAnsi"/>
        </w:rPr>
      </w:pPr>
      <w:r w:rsidRPr="00FC7BE1">
        <w:rPr>
          <w:rFonts w:asciiTheme="majorHAnsi" w:hAnsiTheme="majorHAnsi" w:cstheme="majorHAnsi"/>
          <w:noProof/>
          <w:lang w:val="en-AU" w:eastAsia="en-AU"/>
        </w:rPr>
        <w:drawing>
          <wp:inline distT="0" distB="0" distL="0" distR="0" wp14:anchorId="70311139" wp14:editId="256EBA89">
            <wp:extent cx="5731510" cy="619171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191719"/>
                    </a:xfrm>
                    <a:prstGeom prst="rect">
                      <a:avLst/>
                    </a:prstGeom>
                    <a:noFill/>
                    <a:ln>
                      <a:noFill/>
                    </a:ln>
                  </pic:spPr>
                </pic:pic>
              </a:graphicData>
            </a:graphic>
          </wp:inline>
        </w:drawing>
      </w:r>
    </w:p>
    <w:p w14:paraId="0FB0D56D" w14:textId="77777777" w:rsidR="00752BCB" w:rsidRPr="00FC7BE1" w:rsidRDefault="00752BCB" w:rsidP="00FC7BE1">
      <w:pPr>
        <w:framePr w:w="9506" w:h="1801" w:hRule="exact" w:hSpace="180" w:wrap="around" w:vAnchor="text" w:hAnchor="page" w:x="1231" w:y="587"/>
        <w:spacing w:before="120" w:after="120" w:line="360" w:lineRule="auto"/>
        <w:jc w:val="both"/>
        <w:rPr>
          <w:rFonts w:asciiTheme="majorHAnsi" w:hAnsiTheme="majorHAnsi" w:cstheme="majorHAnsi"/>
        </w:rPr>
      </w:pPr>
      <w:r w:rsidRPr="00FC7BE1">
        <w:rPr>
          <w:rFonts w:asciiTheme="majorHAnsi" w:hAnsiTheme="majorHAnsi" w:cstheme="majorHAnsi"/>
          <w:b/>
        </w:rPr>
        <w:t xml:space="preserve">Figure S4. </w:t>
      </w:r>
      <w:r w:rsidRPr="00FC7BE1">
        <w:rPr>
          <w:rFonts w:asciiTheme="majorHAnsi" w:hAnsiTheme="majorHAnsi" w:cstheme="majorHAnsi"/>
        </w:rPr>
        <w:t xml:space="preserve">Bayesian trees including all α1 (A) and α2 (B) variants prior to post-genotyping filtering. Low amplification efficiency alleles are indicated with red triangles, purple triangles represent putative artefact sequences with accumulated errors (chimera and mismatch) and pseudogenes are indicated with blue triangles.  </w:t>
      </w:r>
    </w:p>
    <w:p w14:paraId="0DF88234" w14:textId="77777777" w:rsidR="00B41A86" w:rsidRPr="00FC7BE1" w:rsidRDefault="00B41A86" w:rsidP="00FC7BE1">
      <w:pPr>
        <w:spacing w:before="120" w:after="120" w:line="360" w:lineRule="auto"/>
        <w:rPr>
          <w:rFonts w:asciiTheme="majorHAnsi" w:hAnsiTheme="majorHAnsi" w:cstheme="majorHAnsi"/>
        </w:rPr>
      </w:pPr>
    </w:p>
    <w:p w14:paraId="11A7C2EF" w14:textId="77777777" w:rsidR="00B41A86" w:rsidRPr="00FC7BE1" w:rsidRDefault="00B41A86" w:rsidP="00FC7BE1">
      <w:pPr>
        <w:spacing w:before="120" w:after="120" w:line="360" w:lineRule="auto"/>
        <w:rPr>
          <w:rFonts w:asciiTheme="majorHAnsi" w:hAnsiTheme="majorHAnsi" w:cstheme="majorHAnsi"/>
        </w:rPr>
      </w:pPr>
    </w:p>
    <w:p w14:paraId="6BEE0D95" w14:textId="77777777" w:rsidR="00B41A86" w:rsidRPr="00FC7BE1" w:rsidRDefault="00B41A86" w:rsidP="00FC7BE1">
      <w:pPr>
        <w:spacing w:before="120" w:after="120" w:line="360" w:lineRule="auto"/>
        <w:rPr>
          <w:rFonts w:asciiTheme="majorHAnsi" w:hAnsiTheme="majorHAnsi" w:cstheme="majorHAnsi"/>
        </w:rPr>
      </w:pPr>
    </w:p>
    <w:p w14:paraId="64FF722D" w14:textId="77777777" w:rsidR="00E931C7" w:rsidRPr="007E7C82" w:rsidRDefault="00E931C7" w:rsidP="00FC7BE1">
      <w:pPr>
        <w:spacing w:line="360" w:lineRule="auto"/>
        <w:rPr>
          <w:rFonts w:ascii="Calisto MT" w:hAnsi="Calisto MT" w:cstheme="majorHAnsi"/>
          <w:sz w:val="24"/>
        </w:rPr>
      </w:pPr>
      <w:r w:rsidRPr="007E7C82">
        <w:rPr>
          <w:rFonts w:ascii="Calisto MT" w:hAnsi="Calisto MT" w:cstheme="majorHAnsi"/>
          <w:sz w:val="24"/>
        </w:rPr>
        <w:lastRenderedPageBreak/>
        <w:t>References</w:t>
      </w:r>
    </w:p>
    <w:p w14:paraId="31BBDEF2" w14:textId="77777777" w:rsidR="00C04AA9" w:rsidRPr="00C04AA9" w:rsidRDefault="00E931C7" w:rsidP="00C04AA9">
      <w:pPr>
        <w:pStyle w:val="EndNoteBibliography"/>
        <w:spacing w:after="360"/>
        <w:ind w:left="720" w:hanging="720"/>
      </w:pPr>
      <w:r w:rsidRPr="00FC7BE1">
        <w:rPr>
          <w:rFonts w:asciiTheme="majorHAnsi" w:hAnsiTheme="majorHAnsi" w:cstheme="majorHAnsi"/>
        </w:rPr>
        <w:fldChar w:fldCharType="begin"/>
      </w:r>
      <w:r w:rsidRPr="00FC7BE1">
        <w:rPr>
          <w:rFonts w:asciiTheme="majorHAnsi" w:hAnsiTheme="majorHAnsi" w:cstheme="majorHAnsi"/>
        </w:rPr>
        <w:instrText xml:space="preserve"> ADDIN EN.REFLIST </w:instrText>
      </w:r>
      <w:r w:rsidRPr="00FC7BE1">
        <w:rPr>
          <w:rFonts w:asciiTheme="majorHAnsi" w:hAnsiTheme="majorHAnsi" w:cstheme="majorHAnsi"/>
        </w:rPr>
        <w:fldChar w:fldCharType="separate"/>
      </w:r>
      <w:bookmarkStart w:id="2" w:name="_ENREF_1"/>
      <w:r w:rsidR="00C04AA9" w:rsidRPr="00C04AA9">
        <w:t>Andrews, S. (2010). FastQC a Quality Control Tool for High Throughput Sequence Data [Online]. Retrieved.</w:t>
      </w:r>
      <w:bookmarkEnd w:id="2"/>
    </w:p>
    <w:p w14:paraId="1E89D72D" w14:textId="77777777" w:rsidR="00C04AA9" w:rsidRPr="00C04AA9" w:rsidRDefault="00C04AA9" w:rsidP="00C04AA9">
      <w:pPr>
        <w:pStyle w:val="EndNoteBibliography"/>
        <w:spacing w:after="360"/>
        <w:ind w:left="720" w:hanging="720"/>
        <w:rPr>
          <w:i/>
        </w:rPr>
      </w:pPr>
      <w:bookmarkStart w:id="3" w:name="_ENREF_2"/>
      <w:r w:rsidRPr="00C04AA9">
        <w:t xml:space="preserve">Hacking, J. D., Bertozzi, T., Moussalli, A., Bradford, T. M., &amp; Gardner, M. G. (2017). Characterization of major histocompatibility complex class I transcripts in an Australian dragon lizard. </w:t>
      </w:r>
      <w:r w:rsidRPr="00C04AA9">
        <w:rPr>
          <w:i/>
        </w:rPr>
        <w:t>Manuscript submitted for publication</w:t>
      </w:r>
      <w:bookmarkEnd w:id="3"/>
    </w:p>
    <w:p w14:paraId="7E94E2AE" w14:textId="77777777" w:rsidR="00C04AA9" w:rsidRPr="00C04AA9" w:rsidRDefault="00C04AA9" w:rsidP="00C04AA9">
      <w:pPr>
        <w:pStyle w:val="EndNoteBibliography"/>
        <w:spacing w:after="360"/>
        <w:ind w:left="720" w:hanging="720"/>
      </w:pPr>
      <w:bookmarkStart w:id="4" w:name="_ENREF_3"/>
      <w:r w:rsidRPr="00C04AA9">
        <w:t xml:space="preserve">Hayden, M., Nguyen, T., Waterman, A., &amp; Chalmers, K. (2008). Multiplex-Ready PCR: A new method for multiplexed SSR and SNP genotyping. </w:t>
      </w:r>
      <w:r w:rsidRPr="00C04AA9">
        <w:rPr>
          <w:i/>
        </w:rPr>
        <w:t>BMC Genomics, 9</w:t>
      </w:r>
      <w:r w:rsidRPr="00C04AA9">
        <w:t xml:space="preserve">, pp. 1-12. </w:t>
      </w:r>
      <w:bookmarkEnd w:id="4"/>
    </w:p>
    <w:p w14:paraId="5269DA1C" w14:textId="19ECBBEF" w:rsidR="00C04AA9" w:rsidRPr="00C04AA9" w:rsidRDefault="00C04AA9" w:rsidP="00C04AA9">
      <w:pPr>
        <w:pStyle w:val="EndNoteBibliography"/>
        <w:spacing w:after="360"/>
        <w:ind w:left="720" w:hanging="720"/>
      </w:pPr>
      <w:bookmarkStart w:id="5" w:name="_ENREF_4"/>
      <w:r w:rsidRPr="00C04AA9">
        <w:t xml:space="preserve">Kearse, M., Moir, R., Wilson, A., Stones-Havas, S., Cheung, M., Sturrock, S., . . . Drummond, A. (2012). Geneious Basic: an integrated and extendable desktop software platform for the organization and analysis of sequence data. </w:t>
      </w:r>
      <w:r w:rsidRPr="00C04AA9">
        <w:rPr>
          <w:i/>
        </w:rPr>
        <w:t>Bioinformatics, 28</w:t>
      </w:r>
      <w:r w:rsidRPr="00C04AA9">
        <w:t xml:space="preserve">(12), pp. 1647-1649. Retrieved from </w:t>
      </w:r>
      <w:hyperlink r:id="rId9" w:history="1">
        <w:r w:rsidRPr="00C04AA9">
          <w:rPr>
            <w:rStyle w:val="Hyperlink"/>
          </w:rPr>
          <w:t>http://www.geneious.com</w:t>
        </w:r>
        <w:bookmarkEnd w:id="5"/>
      </w:hyperlink>
    </w:p>
    <w:p w14:paraId="789C1031" w14:textId="77777777" w:rsidR="00C04AA9" w:rsidRPr="00C04AA9" w:rsidRDefault="00C04AA9" w:rsidP="00C04AA9">
      <w:pPr>
        <w:pStyle w:val="EndNoteBibliography"/>
        <w:spacing w:after="360"/>
        <w:ind w:left="720" w:hanging="720"/>
      </w:pPr>
      <w:bookmarkStart w:id="6" w:name="_ENREF_5"/>
      <w:r w:rsidRPr="00C04AA9">
        <w:t xml:space="preserve">Li, C., Hofreiter, M., Straube, N., Corrigan, S., &amp; Naylor, G. (2013). Capturing protein-coding genes across highly divergent species. </w:t>
      </w:r>
      <w:r w:rsidRPr="00C04AA9">
        <w:rPr>
          <w:i/>
        </w:rPr>
        <w:t>BioTechniques, 54</w:t>
      </w:r>
      <w:r w:rsidRPr="00C04AA9">
        <w:t xml:space="preserve">, pp. 321-326. </w:t>
      </w:r>
      <w:bookmarkEnd w:id="6"/>
    </w:p>
    <w:p w14:paraId="7CAAAE84" w14:textId="77777777" w:rsidR="00C04AA9" w:rsidRPr="00C04AA9" w:rsidRDefault="00C04AA9" w:rsidP="00C04AA9">
      <w:pPr>
        <w:pStyle w:val="EndNoteBibliography"/>
        <w:spacing w:after="360"/>
        <w:ind w:left="720" w:hanging="720"/>
      </w:pPr>
      <w:bookmarkStart w:id="7" w:name="_ENREF_6"/>
      <w:r w:rsidRPr="00C04AA9">
        <w:t xml:space="preserve">Pearson, S., Bradford, T., Ansari, T., Bull, M., &amp; Gardner, M. (2016). MHC genotyping from next-generation sequencing: detailed methodology for the gidgee skink, </w:t>
      </w:r>
      <w:r w:rsidRPr="00C04AA9">
        <w:rPr>
          <w:i/>
        </w:rPr>
        <w:t>Egernia stokesii</w:t>
      </w:r>
      <w:r w:rsidRPr="00C04AA9">
        <w:t xml:space="preserve">. </w:t>
      </w:r>
      <w:r w:rsidRPr="00C04AA9">
        <w:rPr>
          <w:i/>
        </w:rPr>
        <w:t>Transactions of the Royal Society of South Australia, 140</w:t>
      </w:r>
      <w:r w:rsidRPr="00C04AA9">
        <w:t xml:space="preserve">(2), pp. 244-262. </w:t>
      </w:r>
      <w:bookmarkEnd w:id="7"/>
    </w:p>
    <w:p w14:paraId="761E891E" w14:textId="77777777" w:rsidR="00C04AA9" w:rsidRPr="00C04AA9" w:rsidRDefault="00C04AA9" w:rsidP="00C04AA9">
      <w:pPr>
        <w:pStyle w:val="EndNoteBibliography"/>
        <w:spacing w:after="360"/>
        <w:ind w:left="720" w:hanging="720"/>
      </w:pPr>
      <w:bookmarkStart w:id="8" w:name="_ENREF_7"/>
      <w:r w:rsidRPr="00C04AA9">
        <w:t xml:space="preserve">Sebastian, A., Herdegen, M., Migalska, M., &amp; Radwan, J. (2016). AMPLISAS: a web server for multilocus genotyping using next-generation amplicon sequencing data. </w:t>
      </w:r>
      <w:r w:rsidRPr="00C04AA9">
        <w:rPr>
          <w:i/>
        </w:rPr>
        <w:t>Molecular Ecology, 16</w:t>
      </w:r>
      <w:r w:rsidRPr="00C04AA9">
        <w:t xml:space="preserve">(2), pp. 498–510. </w:t>
      </w:r>
      <w:bookmarkEnd w:id="8"/>
    </w:p>
    <w:p w14:paraId="09F15CFA" w14:textId="77777777" w:rsidR="00C04AA9" w:rsidRPr="00C04AA9" w:rsidRDefault="00C04AA9" w:rsidP="00C04AA9">
      <w:pPr>
        <w:pStyle w:val="EndNoteBibliography"/>
        <w:spacing w:after="360"/>
        <w:ind w:left="720" w:hanging="720"/>
      </w:pPr>
      <w:bookmarkStart w:id="9" w:name="_ENREF_8"/>
      <w:r w:rsidRPr="00C04AA9">
        <w:t xml:space="preserve">Stuglik, M., Radwan, J., &amp; Babik, W. (2011). jMHC: Software assistant for multilocus genotyping of gene families using next-generation amplicon sequencing. </w:t>
      </w:r>
      <w:r w:rsidRPr="00C04AA9">
        <w:rPr>
          <w:i/>
        </w:rPr>
        <w:t>Molecular Ecology Resources, 11</w:t>
      </w:r>
      <w:r w:rsidRPr="00C04AA9">
        <w:t xml:space="preserve">, pp. 739-742. </w:t>
      </w:r>
      <w:bookmarkEnd w:id="9"/>
    </w:p>
    <w:p w14:paraId="777B2A92" w14:textId="0658FF04" w:rsidR="00C04AA9" w:rsidRPr="00C04AA9" w:rsidRDefault="00C04AA9" w:rsidP="00C04AA9">
      <w:pPr>
        <w:pStyle w:val="EndNoteBibliography"/>
        <w:spacing w:after="360"/>
        <w:ind w:left="720" w:hanging="720"/>
      </w:pPr>
      <w:bookmarkStart w:id="10" w:name="_ENREF_9"/>
      <w:r w:rsidRPr="00C04AA9">
        <w:t xml:space="preserve">Untergasser, A., Cutcutache, I., Koressaar, T., Ye, J., Faircloth, B. C., Remm, M., &amp; Rozen, S. G. (2012). Primer3—new capabilities and interfaces. </w:t>
      </w:r>
      <w:r w:rsidRPr="00C04AA9">
        <w:rPr>
          <w:i/>
        </w:rPr>
        <w:t>Nucleic Acids Research, 40</w:t>
      </w:r>
      <w:r w:rsidRPr="00C04AA9">
        <w:t xml:space="preserve">(15), pp. e115-e115. doi:10.1093/nar/gks596 Retrieved from </w:t>
      </w:r>
      <w:hyperlink r:id="rId10" w:history="1">
        <w:r w:rsidRPr="00C04AA9">
          <w:rPr>
            <w:rStyle w:val="Hyperlink"/>
          </w:rPr>
          <w:t>http://www.ncbi.nlm.nih.gov/pmc/articles/PMC3424584/</w:t>
        </w:r>
        <w:bookmarkEnd w:id="10"/>
      </w:hyperlink>
    </w:p>
    <w:p w14:paraId="30EBE966" w14:textId="77777777" w:rsidR="00C04AA9" w:rsidRPr="00C04AA9" w:rsidRDefault="00C04AA9" w:rsidP="00C04AA9">
      <w:pPr>
        <w:pStyle w:val="EndNoteBibliography"/>
        <w:ind w:left="720" w:hanging="720"/>
      </w:pPr>
      <w:bookmarkStart w:id="11" w:name="_ENREF_10"/>
      <w:r w:rsidRPr="00C04AA9">
        <w:lastRenderedPageBreak/>
        <w:t xml:space="preserve">Zhang, J., Kobert, K., Flouri, T., &amp; Stamatakis, A. (2014). PEAR: A fast and accurate Illumina Paired-End reAd mergeR. </w:t>
      </w:r>
      <w:r w:rsidRPr="00C04AA9">
        <w:rPr>
          <w:i/>
        </w:rPr>
        <w:t>Bioinformatics 30</w:t>
      </w:r>
      <w:r w:rsidRPr="00C04AA9">
        <w:t xml:space="preserve">(5), pp. 614-620. </w:t>
      </w:r>
      <w:bookmarkEnd w:id="11"/>
    </w:p>
    <w:p w14:paraId="00007F46" w14:textId="35B30C4E" w:rsidR="00E931C7" w:rsidRPr="00FC7BE1" w:rsidRDefault="00E931C7" w:rsidP="00FC7BE1">
      <w:pPr>
        <w:spacing w:line="360" w:lineRule="auto"/>
        <w:rPr>
          <w:rFonts w:asciiTheme="majorHAnsi" w:hAnsiTheme="majorHAnsi" w:cstheme="majorHAnsi"/>
        </w:rPr>
      </w:pPr>
      <w:r w:rsidRPr="00FC7BE1">
        <w:rPr>
          <w:rFonts w:asciiTheme="majorHAnsi" w:hAnsiTheme="majorHAnsi" w:cstheme="majorHAnsi"/>
        </w:rPr>
        <w:fldChar w:fldCharType="end"/>
      </w:r>
    </w:p>
    <w:sectPr w:rsidR="00E931C7" w:rsidRPr="00FC7B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APA&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2&lt;/SpaceAfter&gt;&lt;HyperlinksEnabled&gt;1&lt;/HyperlinksEnabled&gt;&lt;HyperlinksVisible&gt;0&lt;/HyperlinksVisible&gt;&lt;EnableBibliographyCategories&gt;0&lt;/EnableBibliographyCategories&gt;&lt;/ENLayout&gt;"/>
    <w:docVar w:name="EN.Libraries" w:val="&lt;Libraries&gt;&lt;/Libraries&gt;"/>
  </w:docVars>
  <w:rsids>
    <w:rsidRoot w:val="00253809"/>
    <w:rsid w:val="00004CF0"/>
    <w:rsid w:val="00045B2C"/>
    <w:rsid w:val="000527DD"/>
    <w:rsid w:val="000815FD"/>
    <w:rsid w:val="000A06F4"/>
    <w:rsid w:val="000E384B"/>
    <w:rsid w:val="00146ED5"/>
    <w:rsid w:val="0016294B"/>
    <w:rsid w:val="0017664A"/>
    <w:rsid w:val="0018139D"/>
    <w:rsid w:val="00192B92"/>
    <w:rsid w:val="0021065F"/>
    <w:rsid w:val="00253809"/>
    <w:rsid w:val="0025616F"/>
    <w:rsid w:val="002940BE"/>
    <w:rsid w:val="002A3509"/>
    <w:rsid w:val="003241E2"/>
    <w:rsid w:val="00334F10"/>
    <w:rsid w:val="00381A41"/>
    <w:rsid w:val="00386F1B"/>
    <w:rsid w:val="003C52E2"/>
    <w:rsid w:val="003F2141"/>
    <w:rsid w:val="004059DD"/>
    <w:rsid w:val="00454FE1"/>
    <w:rsid w:val="00464D63"/>
    <w:rsid w:val="004A5C87"/>
    <w:rsid w:val="004F73EE"/>
    <w:rsid w:val="00571C18"/>
    <w:rsid w:val="005A2CE8"/>
    <w:rsid w:val="005B1650"/>
    <w:rsid w:val="00601947"/>
    <w:rsid w:val="006156F4"/>
    <w:rsid w:val="00632658"/>
    <w:rsid w:val="00657D31"/>
    <w:rsid w:val="00677F39"/>
    <w:rsid w:val="00697D09"/>
    <w:rsid w:val="006A5BF1"/>
    <w:rsid w:val="006D3D39"/>
    <w:rsid w:val="006D7FDC"/>
    <w:rsid w:val="007039B9"/>
    <w:rsid w:val="007218AC"/>
    <w:rsid w:val="00752BCB"/>
    <w:rsid w:val="00762443"/>
    <w:rsid w:val="0077157D"/>
    <w:rsid w:val="007A6D80"/>
    <w:rsid w:val="007B023F"/>
    <w:rsid w:val="007E17C9"/>
    <w:rsid w:val="007E7C82"/>
    <w:rsid w:val="007F1378"/>
    <w:rsid w:val="007F254F"/>
    <w:rsid w:val="00806716"/>
    <w:rsid w:val="00810C3F"/>
    <w:rsid w:val="00817AF6"/>
    <w:rsid w:val="00821C34"/>
    <w:rsid w:val="00897CC4"/>
    <w:rsid w:val="00897F6D"/>
    <w:rsid w:val="00931CE1"/>
    <w:rsid w:val="00936A75"/>
    <w:rsid w:val="009935DE"/>
    <w:rsid w:val="009B1290"/>
    <w:rsid w:val="009E4E07"/>
    <w:rsid w:val="009E57FC"/>
    <w:rsid w:val="009F31B7"/>
    <w:rsid w:val="00A15306"/>
    <w:rsid w:val="00A6611F"/>
    <w:rsid w:val="00A66A6B"/>
    <w:rsid w:val="00B015B0"/>
    <w:rsid w:val="00B04EAC"/>
    <w:rsid w:val="00B16CEA"/>
    <w:rsid w:val="00B355FB"/>
    <w:rsid w:val="00B41A86"/>
    <w:rsid w:val="00B45059"/>
    <w:rsid w:val="00B7776B"/>
    <w:rsid w:val="00BB6FCF"/>
    <w:rsid w:val="00BF5A9E"/>
    <w:rsid w:val="00C04AA9"/>
    <w:rsid w:val="00C3364B"/>
    <w:rsid w:val="00C45708"/>
    <w:rsid w:val="00C63172"/>
    <w:rsid w:val="00C876EF"/>
    <w:rsid w:val="00CE2161"/>
    <w:rsid w:val="00CE4F52"/>
    <w:rsid w:val="00CE5B8C"/>
    <w:rsid w:val="00CF7242"/>
    <w:rsid w:val="00D44DFD"/>
    <w:rsid w:val="00D643C4"/>
    <w:rsid w:val="00D80128"/>
    <w:rsid w:val="00D8258D"/>
    <w:rsid w:val="00D8450A"/>
    <w:rsid w:val="00E361A9"/>
    <w:rsid w:val="00E76127"/>
    <w:rsid w:val="00E930D6"/>
    <w:rsid w:val="00E931C7"/>
    <w:rsid w:val="00EA1326"/>
    <w:rsid w:val="00EB43A2"/>
    <w:rsid w:val="00F158B8"/>
    <w:rsid w:val="00F31D3F"/>
    <w:rsid w:val="00F60FB3"/>
    <w:rsid w:val="00F664C1"/>
    <w:rsid w:val="00F81A13"/>
    <w:rsid w:val="00F91CD4"/>
    <w:rsid w:val="00FA0C15"/>
    <w:rsid w:val="00FC7BE1"/>
    <w:rsid w:val="00FD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3F64"/>
  <w15:chartTrackingRefBased/>
  <w15:docId w15:val="{69D38B61-7158-4D4C-AC80-BBDC1D1E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CE8"/>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3809"/>
    <w:rPr>
      <w:sz w:val="16"/>
      <w:szCs w:val="16"/>
    </w:rPr>
  </w:style>
  <w:style w:type="paragraph" w:styleId="CommentText">
    <w:name w:val="annotation text"/>
    <w:basedOn w:val="Normal"/>
    <w:link w:val="CommentTextChar"/>
    <w:uiPriority w:val="99"/>
    <w:unhideWhenUsed/>
    <w:rsid w:val="00253809"/>
    <w:pPr>
      <w:spacing w:line="240" w:lineRule="auto"/>
    </w:pPr>
    <w:rPr>
      <w:sz w:val="20"/>
      <w:szCs w:val="20"/>
    </w:rPr>
  </w:style>
  <w:style w:type="character" w:customStyle="1" w:styleId="CommentTextChar">
    <w:name w:val="Comment Text Char"/>
    <w:basedOn w:val="DefaultParagraphFont"/>
    <w:link w:val="CommentText"/>
    <w:uiPriority w:val="99"/>
    <w:rsid w:val="00253809"/>
    <w:rPr>
      <w:sz w:val="20"/>
      <w:szCs w:val="20"/>
      <w:lang w:val="en-US"/>
    </w:rPr>
  </w:style>
  <w:style w:type="character" w:styleId="Hyperlink">
    <w:name w:val="Hyperlink"/>
    <w:basedOn w:val="DefaultParagraphFont"/>
    <w:uiPriority w:val="99"/>
    <w:unhideWhenUsed/>
    <w:rsid w:val="00E931C7"/>
    <w:rPr>
      <w:color w:val="0000FF"/>
      <w:u w:val="single"/>
    </w:rPr>
  </w:style>
  <w:style w:type="paragraph" w:styleId="BalloonText">
    <w:name w:val="Balloon Text"/>
    <w:basedOn w:val="Normal"/>
    <w:link w:val="BalloonTextChar"/>
    <w:uiPriority w:val="99"/>
    <w:semiHidden/>
    <w:unhideWhenUsed/>
    <w:rsid w:val="00E93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C7"/>
    <w:rPr>
      <w:rFonts w:ascii="Segoe UI" w:hAnsi="Segoe UI" w:cs="Segoe UI"/>
      <w:sz w:val="18"/>
      <w:szCs w:val="18"/>
      <w:lang w:val="en-US"/>
    </w:rPr>
  </w:style>
  <w:style w:type="paragraph" w:customStyle="1" w:styleId="EndNoteBibliographyTitle">
    <w:name w:val="EndNote Bibliography Title"/>
    <w:basedOn w:val="Normal"/>
    <w:link w:val="EndNoteBibliographyTitleChar"/>
    <w:rsid w:val="00B7776B"/>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B7776B"/>
    <w:rPr>
      <w:rFonts w:ascii="Times New Roman" w:hAnsi="Times New Roman" w:cs="Times New Roman"/>
      <w:noProof/>
      <w:lang w:val="en-US"/>
    </w:rPr>
  </w:style>
  <w:style w:type="paragraph" w:customStyle="1" w:styleId="EndNoteBibliography">
    <w:name w:val="EndNote Bibliography"/>
    <w:basedOn w:val="Normal"/>
    <w:link w:val="EndNoteBibliographyChar"/>
    <w:rsid w:val="00B7776B"/>
    <w:pPr>
      <w:spacing w:line="36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B7776B"/>
    <w:rPr>
      <w:rFonts w:ascii="Times New Roman" w:hAnsi="Times New Roman" w:cs="Times New Roman"/>
      <w:noProof/>
      <w:lang w:val="en-US"/>
    </w:rPr>
  </w:style>
  <w:style w:type="character" w:customStyle="1" w:styleId="UnresolvedMention1">
    <w:name w:val="Unresolved Mention1"/>
    <w:basedOn w:val="DefaultParagraphFont"/>
    <w:uiPriority w:val="99"/>
    <w:semiHidden/>
    <w:unhideWhenUsed/>
    <w:rsid w:val="00B7776B"/>
    <w:rPr>
      <w:color w:val="808080"/>
      <w:shd w:val="clear" w:color="auto" w:fill="E6E6E6"/>
    </w:rPr>
  </w:style>
  <w:style w:type="table" w:customStyle="1" w:styleId="PlainTable21">
    <w:name w:val="Plain Table 21"/>
    <w:basedOn w:val="TableNormal"/>
    <w:uiPriority w:val="42"/>
    <w:rsid w:val="0017664A"/>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38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86F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E76127"/>
    <w:rPr>
      <w:b/>
      <w:bCs/>
    </w:rPr>
  </w:style>
  <w:style w:type="character" w:customStyle="1" w:styleId="CommentSubjectChar">
    <w:name w:val="Comment Subject Char"/>
    <w:basedOn w:val="CommentTextChar"/>
    <w:link w:val="CommentSubject"/>
    <w:uiPriority w:val="99"/>
    <w:semiHidden/>
    <w:rsid w:val="00E76127"/>
    <w:rPr>
      <w:b/>
      <w:bCs/>
      <w:sz w:val="20"/>
      <w:szCs w:val="20"/>
      <w:lang w:val="en-US"/>
    </w:rPr>
  </w:style>
  <w:style w:type="paragraph" w:customStyle="1" w:styleId="Default">
    <w:name w:val="Default"/>
    <w:rsid w:val="007218AC"/>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C63172"/>
    <w:pPr>
      <w:spacing w:after="0" w:line="240" w:lineRule="auto"/>
    </w:pPr>
    <w:rPr>
      <w:lang w:val="en-US"/>
    </w:rPr>
  </w:style>
  <w:style w:type="character" w:styleId="UnresolvedMention">
    <w:name w:val="Unresolved Mention"/>
    <w:basedOn w:val="DefaultParagraphFont"/>
    <w:uiPriority w:val="99"/>
    <w:semiHidden/>
    <w:unhideWhenUsed/>
    <w:rsid w:val="00F31D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cbi.nlm.nih.gov/pmc/articles/PMC3424584/" TargetMode="External"/><Relationship Id="rId4" Type="http://schemas.openxmlformats.org/officeDocument/2006/relationships/hyperlink" Target="https://github.com/kellyp2738/genotyping_methods_hacking_etal" TargetMode="External"/><Relationship Id="rId9" Type="http://schemas.openxmlformats.org/officeDocument/2006/relationships/hyperlink" Target="http://www.geneio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3097</TotalTime>
  <Pages>13</Pages>
  <Words>5193</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Hacking</dc:creator>
  <cp:keywords/>
  <dc:description/>
  <cp:lastModifiedBy>Jessica Hacking</cp:lastModifiedBy>
  <cp:revision>24</cp:revision>
  <cp:lastPrinted>2017-12-15T23:02:00Z</cp:lastPrinted>
  <dcterms:created xsi:type="dcterms:W3CDTF">2018-08-26T19:26:00Z</dcterms:created>
  <dcterms:modified xsi:type="dcterms:W3CDTF">2018-08-30T18:11:00Z</dcterms:modified>
</cp:coreProperties>
</file>