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59" w:rsidRDefault="002B3159" w:rsidP="00231F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159" w:rsidRPr="006A3595" w:rsidRDefault="002B3159" w:rsidP="002B315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Intake of vitamin B6, folate, and vitamin B12 </w:t>
      </w:r>
      <w:r w:rsidRPr="006A3595">
        <w:rPr>
          <w:rFonts w:asciiTheme="majorBidi" w:hAnsiTheme="majorBidi" w:cstheme="majorBidi"/>
          <w:b/>
          <w:bCs/>
          <w:sz w:val="24"/>
          <w:szCs w:val="24"/>
        </w:rPr>
        <w:t>and risk of coronary heart disease: a systematic review and dose-response meta-analysis of prospective cohort studies</w:t>
      </w:r>
    </w:p>
    <w:p w:rsidR="00410B9D" w:rsidRPr="00CC42EA" w:rsidRDefault="00DB6E43" w:rsidP="002B315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CC42EA">
        <w:rPr>
          <w:rFonts w:asciiTheme="majorBidi" w:hAnsiTheme="majorBidi" w:cstheme="majorBidi"/>
          <w:i/>
          <w:iCs/>
          <w:sz w:val="24"/>
          <w:szCs w:val="24"/>
        </w:rPr>
        <w:t xml:space="preserve">Supplementary Materials including </w:t>
      </w:r>
      <w:r w:rsidR="002B3159">
        <w:rPr>
          <w:rFonts w:asciiTheme="majorBidi" w:hAnsiTheme="majorBidi" w:cstheme="majorBidi"/>
          <w:i/>
          <w:iCs/>
          <w:sz w:val="24"/>
          <w:szCs w:val="24"/>
        </w:rPr>
        <w:t>two</w:t>
      </w:r>
      <w:r w:rsidR="0054127D">
        <w:rPr>
          <w:rFonts w:asciiTheme="majorBidi" w:hAnsiTheme="majorBidi" w:cstheme="majorBidi"/>
          <w:i/>
          <w:iCs/>
          <w:sz w:val="24"/>
          <w:szCs w:val="24"/>
        </w:rPr>
        <w:t xml:space="preserve"> supplementary table</w:t>
      </w:r>
      <w:r w:rsidR="002B3159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54127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C02E10">
        <w:rPr>
          <w:rFonts w:asciiTheme="majorBidi" w:hAnsiTheme="majorBidi" w:cstheme="majorBidi"/>
          <w:i/>
          <w:iCs/>
          <w:sz w:val="24"/>
          <w:szCs w:val="24"/>
        </w:rPr>
        <w:t>five</w:t>
      </w:r>
      <w:r w:rsidR="00F90F9C">
        <w:rPr>
          <w:rFonts w:asciiTheme="majorBidi" w:hAnsiTheme="majorBidi" w:cstheme="majorBidi"/>
          <w:i/>
          <w:iCs/>
          <w:sz w:val="24"/>
          <w:szCs w:val="24"/>
        </w:rPr>
        <w:t xml:space="preserve"> supplementary figure</w:t>
      </w:r>
      <w:r w:rsidR="0054127D">
        <w:rPr>
          <w:rFonts w:asciiTheme="majorBidi" w:hAnsiTheme="majorBidi" w:cstheme="majorBidi"/>
          <w:i/>
          <w:iCs/>
          <w:sz w:val="24"/>
          <w:szCs w:val="24"/>
        </w:rPr>
        <w:t>, and MOOSE checklist</w:t>
      </w: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DB6E43" w:rsidRDefault="00DB6E43" w:rsidP="00DB6E43">
      <w:pPr>
        <w:jc w:val="center"/>
      </w:pPr>
    </w:p>
    <w:p w:rsidR="002B3159" w:rsidRDefault="002B3159" w:rsidP="002B3159">
      <w:pPr>
        <w:spacing w:line="480" w:lineRule="auto"/>
        <w:rPr>
          <w:rFonts w:asciiTheme="majorBidi" w:hAnsiTheme="majorBidi" w:cstheme="majorBidi"/>
        </w:rPr>
      </w:pPr>
      <w:r w:rsidRPr="00891C34">
        <w:rPr>
          <w:rFonts w:asciiTheme="majorBidi" w:hAnsiTheme="majorBidi" w:cstheme="majorBidi"/>
          <w:b/>
          <w:bCs/>
        </w:rPr>
        <w:lastRenderedPageBreak/>
        <w:t>Supp</w:t>
      </w:r>
      <w:r>
        <w:rPr>
          <w:rFonts w:asciiTheme="majorBidi" w:hAnsiTheme="majorBidi" w:cstheme="majorBidi"/>
          <w:b/>
          <w:bCs/>
        </w:rPr>
        <w:t>lementary</w:t>
      </w:r>
      <w:r w:rsidRPr="00891C34">
        <w:rPr>
          <w:rFonts w:asciiTheme="majorBidi" w:hAnsiTheme="majorBidi" w:cstheme="majorBidi"/>
          <w:b/>
          <w:bCs/>
        </w:rPr>
        <w:t xml:space="preserve"> Table </w:t>
      </w:r>
      <w:r>
        <w:rPr>
          <w:rFonts w:asciiTheme="majorBidi" w:hAnsiTheme="majorBidi" w:cstheme="majorBidi"/>
          <w:b/>
          <w:bCs/>
        </w:rPr>
        <w:t>1</w:t>
      </w:r>
      <w:r w:rsidRPr="00891C3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Reported risk estimates in the primary studies in meta-analysis of B-vitamins and risk of coronary heart disease. </w:t>
      </w:r>
    </w:p>
    <w:tbl>
      <w:tblPr>
        <w:tblStyle w:val="TableGrid"/>
        <w:tblW w:w="11057" w:type="dxa"/>
        <w:tblInd w:w="-743" w:type="dxa"/>
        <w:tblLook w:val="04A0"/>
      </w:tblPr>
      <w:tblGrid>
        <w:gridCol w:w="2411"/>
        <w:gridCol w:w="141"/>
        <w:gridCol w:w="2410"/>
        <w:gridCol w:w="1984"/>
        <w:gridCol w:w="4111"/>
      </w:tblGrid>
      <w:tr w:rsidR="002B3159" w:rsidTr="009F0C89">
        <w:tc>
          <w:tcPr>
            <w:tcW w:w="2411" w:type="dxa"/>
          </w:tcPr>
          <w:p w:rsidR="002B3159" w:rsidRPr="000B55F8" w:rsidRDefault="002B3159" w:rsidP="009F0C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Vitamins intake categories</w:t>
            </w:r>
            <w:r w:rsidRPr="000B55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B3159" w:rsidRPr="000B55F8" w:rsidRDefault="002B3159" w:rsidP="009F0C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55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 of cases/ participants (personyears)</w:t>
            </w:r>
          </w:p>
        </w:tc>
        <w:tc>
          <w:tcPr>
            <w:tcW w:w="1984" w:type="dxa"/>
          </w:tcPr>
          <w:p w:rsidR="002B3159" w:rsidRPr="000B55F8" w:rsidRDefault="002B3159" w:rsidP="009F0C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55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Relative risk (95%CI)</w:t>
            </w:r>
          </w:p>
        </w:tc>
        <w:tc>
          <w:tcPr>
            <w:tcW w:w="4111" w:type="dxa"/>
          </w:tcPr>
          <w:p w:rsidR="002B3159" w:rsidRPr="000B55F8" w:rsidRDefault="002B3159" w:rsidP="009F0C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55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Covariates </w:t>
            </w: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Pr="00741971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971">
              <w:rPr>
                <w:rFonts w:asciiTheme="majorBidi" w:hAnsiTheme="majorBidi" w:cstheme="majorBidi"/>
                <w:sz w:val="20"/>
                <w:szCs w:val="20"/>
              </w:rPr>
              <w:t>Cui, 2010</w:t>
            </w:r>
          </w:p>
          <w:p w:rsidR="002B3159" w:rsidRDefault="002B3159" w:rsidP="009F0C89">
            <w:pPr>
              <w:rPr>
                <w:rFonts w:asciiTheme="majorBidi" w:hAnsiTheme="majorBidi" w:cstheme="majorBidi"/>
              </w:rPr>
            </w:pPr>
            <w:r w:rsidRPr="00741971">
              <w:rPr>
                <w:rFonts w:asciiTheme="majorBidi" w:hAnsiTheme="majorBidi" w:cstheme="majorBidi"/>
                <w:sz w:val="20"/>
                <w:szCs w:val="20"/>
              </w:rPr>
              <w:t>Folate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Men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 272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54/4623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2B4172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ge,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BMI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, history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DM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, smoking status, ethanol and energy intakes, as well as intakes of saturated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fatty acids and n-3 and n-6 polyunsaturated fatty acids.</w:t>
            </w: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272-351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0.79 (0.52-1.19)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352-430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0.69 (0.45-1.07)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431-535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52/4624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0.92 (0.60-1.40)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≥536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0.72 (0.45-1.14)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Pr="00741971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971">
              <w:rPr>
                <w:rFonts w:asciiTheme="majorBidi" w:hAnsiTheme="majorBidi" w:cstheme="majorBidi"/>
                <w:sz w:val="20"/>
                <w:szCs w:val="20"/>
              </w:rPr>
              <w:t>Cui, 2010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971">
              <w:rPr>
                <w:rFonts w:asciiTheme="majorBidi" w:hAnsiTheme="majorBidi" w:cstheme="majorBidi"/>
                <w:sz w:val="20"/>
                <w:szCs w:val="20"/>
              </w:rPr>
              <w:t>Folate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Women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 272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54/7122</w:t>
            </w:r>
          </w:p>
        </w:tc>
        <w:tc>
          <w:tcPr>
            <w:tcW w:w="1984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ge,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BMI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, history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DM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, smoking status, ethanol and energy intakes, as well as intakes of saturated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fatty acids and n-3 and n-6 polyunsaturated fatty acids.</w:t>
            </w: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272-351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44/7122</w:t>
            </w:r>
          </w:p>
        </w:tc>
        <w:tc>
          <w:tcPr>
            <w:tcW w:w="1984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0.97 (0.64-1.46)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352-430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21/7122</w:t>
            </w:r>
          </w:p>
        </w:tc>
        <w:tc>
          <w:tcPr>
            <w:tcW w:w="1984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0.43 (0.26-0.73)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431-535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44/7122</w:t>
            </w:r>
          </w:p>
        </w:tc>
        <w:tc>
          <w:tcPr>
            <w:tcW w:w="1984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0.89 (0.58-1.37)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≥536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28/7122</w:t>
            </w:r>
          </w:p>
        </w:tc>
        <w:tc>
          <w:tcPr>
            <w:tcW w:w="1984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0.57 (0.34-0.96)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Pr="00741971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971">
              <w:rPr>
                <w:rFonts w:asciiTheme="majorBidi" w:hAnsiTheme="majorBidi" w:cstheme="majorBidi"/>
                <w:sz w:val="20"/>
                <w:szCs w:val="20"/>
              </w:rPr>
              <w:t>Cui, 2010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B6, Men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mg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&lt;0.79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58/4623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EE706C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ge,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BMI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, history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DM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, smoking status, ethanol and energy intakes, as well as intakes of saturated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fatty acids and n-3 and n-6 polyunsaturated fatty acids.</w:t>
            </w: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0.79-0.96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0.65 (0.41-1.01)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0.97-1.11)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0.52 (0.30-0.88)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1.12-1.32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0.54 (0.29-0.98)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≥1.33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0.64 (0.32-1.30)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Pr="00741971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41971">
              <w:rPr>
                <w:rFonts w:asciiTheme="majorBidi" w:hAnsiTheme="majorBidi" w:cstheme="majorBidi"/>
                <w:sz w:val="20"/>
                <w:szCs w:val="20"/>
              </w:rPr>
              <w:t>Cui, 2010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B6, Women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mg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rPr>
          <w:trHeight w:val="20"/>
        </w:trPr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&lt;0.79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66/7122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5418C1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ge,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BMI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, history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DM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, smoking status, ethanol and energy intakes, as well as intakes of saturated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fatty acids and n-3 and n-6 polyunsaturated fatty acids.</w:t>
            </w:r>
          </w:p>
        </w:tc>
      </w:tr>
      <w:tr w:rsidR="002B3159" w:rsidTr="009F0C89">
        <w:trPr>
          <w:trHeight w:val="20"/>
        </w:trPr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0.79-0.96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32/7122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0.48 (0.29-0.77)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0"/>
        </w:trPr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0.97-1.11)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37/7122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0.55 (0.32-0.94)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0"/>
        </w:trPr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1.12-1.32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26/7122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0.40 (0.20-0.77)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0"/>
        </w:trPr>
        <w:tc>
          <w:tcPr>
            <w:tcW w:w="24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≥1.33</w:t>
            </w:r>
          </w:p>
        </w:tc>
        <w:tc>
          <w:tcPr>
            <w:tcW w:w="2551" w:type="dxa"/>
            <w:gridSpan w:val="2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30/7122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0.47 (0.21-1.04)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Cui, 2010</w:t>
            </w:r>
          </w:p>
          <w:p w:rsidR="002B3159" w:rsidRPr="0056114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B12, Men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rPr>
          <w:trHeight w:val="170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&lt;4.5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50/4623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B34858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ge,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BMI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, history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DM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, smoking status, ethanol and energy intakes, as well as intakes of saturated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fatty acids and n-3 and n-6 polyunsaturated fatty acids.</w:t>
            </w:r>
          </w:p>
        </w:tc>
      </w:tr>
      <w:tr w:rsidR="002B3159" w:rsidTr="009F0C89">
        <w:trPr>
          <w:trHeight w:val="170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4.5-5.9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0.93 (0.58-1.49)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170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6.0-7.6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0.81 (0.46-1.43)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170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7.7-9.8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47/4624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0.90 (0.49-1.67)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170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≥9.9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42/4624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0.93 (0.48-1.80)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10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Cui, 2010</w:t>
            </w:r>
          </w:p>
          <w:p w:rsidR="002B3159" w:rsidRPr="001604A2" w:rsidRDefault="002B3159" w:rsidP="009F0C89">
            <w:pPr>
              <w:autoSpaceDE w:val="0"/>
              <w:autoSpaceDN w:val="0"/>
              <w:adjustRightInd w:val="0"/>
              <w:rPr>
                <w:rFonts w:ascii="AdvPS5958" w:hAnsi="AdvPS5958" w:cs="AdvPS5958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B12, Women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&lt;4.5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52/7122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997238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ge,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BMI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, history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DM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, smoking status, ethanol and energy intakes, as well as intakes of saturated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B4172">
              <w:rPr>
                <w:rFonts w:asciiTheme="majorBidi" w:hAnsiTheme="majorBidi" w:cstheme="majorBidi"/>
                <w:sz w:val="20"/>
                <w:szCs w:val="20"/>
              </w:rPr>
              <w:t>fatty acids and n-3 and n-6 polyunsaturated fatty acids.</w:t>
            </w: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4.5-5.9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38/7122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0.97 (0.59-1.61)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6.0-7.6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42/7122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1.71 (0.94-3.11)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7.7-9.8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28/7122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1.18 (0.60-2.35)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≥9.9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31/7122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1.39 (0.67-2.89)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110F1">
              <w:rPr>
                <w:rFonts w:asciiTheme="majorBidi" w:hAnsiTheme="majorBidi" w:cstheme="majorBidi"/>
                <w:sz w:val="20"/>
                <w:szCs w:val="20"/>
              </w:rPr>
              <w:t>Dalme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ije</w:t>
            </w:r>
            <w:r w:rsidRPr="000110F1">
              <w:rPr>
                <w:rFonts w:asciiTheme="majorBidi" w:hAnsiTheme="majorBidi" w:cstheme="majorBidi"/>
                <w:sz w:val="20"/>
                <w:szCs w:val="20"/>
              </w:rPr>
              <w:t xml:space="preserve">r,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Folate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≤169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131/Q1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AE1779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Age, HTN</w:t>
            </w:r>
            <w:r w:rsidRPr="00AE1779">
              <w:rPr>
                <w:rFonts w:asciiTheme="majorBidi" w:hAnsiTheme="majorBidi" w:cstheme="majorBidi"/>
                <w:sz w:val="20"/>
                <w:szCs w:val="20"/>
              </w:rPr>
              <w:t>, cholesterolemia, 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an SBP, </w:t>
            </w:r>
            <w:r w:rsidRPr="00AE1779"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tal physical activity, BMI , smoking, DM,</w:t>
            </w:r>
            <w:r w:rsidRPr="00AE1779">
              <w:rPr>
                <w:rFonts w:asciiTheme="majorBidi" w:hAnsiTheme="majorBidi" w:cstheme="majorBidi"/>
                <w:sz w:val="20"/>
                <w:szCs w:val="20"/>
              </w:rPr>
              <w:t xml:space="preserve"> intake of energy, proteins (energy-adjusted), saturated fats (energy-adjusted), monounsatur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ated fats, polyunsaturated fats </w:t>
            </w:r>
            <w:r w:rsidRPr="00AE1779">
              <w:rPr>
                <w:rFonts w:asciiTheme="majorBidi" w:hAnsiTheme="majorBidi" w:cstheme="majorBidi"/>
                <w:sz w:val="20"/>
                <w:szCs w:val="20"/>
              </w:rPr>
              <w:t>(energy-adjusted), alcohol (energy-adjusted), vitamin B2 (energy-adjusted) vitamin B6 (energy-adjusted), vitamin B12 (energy-adjus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ted), betaine (energy-adjusted) </w:t>
            </w:r>
            <w:r w:rsidRPr="00AE1779">
              <w:rPr>
                <w:rFonts w:asciiTheme="majorBidi" w:hAnsiTheme="majorBidi" w:cstheme="majorBidi"/>
                <w:sz w:val="20"/>
                <w:szCs w:val="20"/>
              </w:rPr>
              <w:t>and choline (energy-adjusted).</w:t>
            </w: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169 to ≤191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105/Q2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0.83 (0.61-1.12)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191 to ≤215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125/Q3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0.99 (0.69-1.43)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&gt; 215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132/Q4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1.05 (0.62-1.79)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20193">
              <w:rPr>
                <w:rFonts w:asciiTheme="majorBidi" w:hAnsiTheme="majorBidi" w:cstheme="majorBidi"/>
                <w:sz w:val="20"/>
                <w:szCs w:val="20"/>
              </w:rPr>
              <w:t xml:space="preserve">Drogan,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2006</w:t>
            </w:r>
          </w:p>
          <w:p w:rsidR="002B3159" w:rsidRPr="00C91DA0" w:rsidRDefault="002B3159" w:rsidP="009F0C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Folate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&lt;103 (median)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69/11,123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E140FE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D52842">
              <w:rPr>
                <w:rFonts w:asciiTheme="majorBidi" w:hAnsiTheme="majorBidi" w:cstheme="majorBidi"/>
                <w:sz w:val="20"/>
                <w:szCs w:val="20"/>
              </w:rPr>
              <w:t>ge, sex,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total energy intake</w:t>
            </w:r>
            <w:r w:rsidRPr="00D52842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BMI</w:t>
            </w:r>
            <w:r w:rsidRPr="00D52842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52842">
              <w:rPr>
                <w:rFonts w:asciiTheme="majorBidi" w:hAnsiTheme="majorBidi" w:cstheme="majorBidi"/>
                <w:sz w:val="20"/>
                <w:szCs w:val="20"/>
              </w:rPr>
              <w:t>smoking history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alcohol consumption, regular exercise</w:t>
            </w:r>
            <w:r w:rsidRPr="00D52842">
              <w:rPr>
                <w:rFonts w:asciiTheme="majorBidi" w:hAnsiTheme="majorBidi" w:cstheme="majorBidi"/>
                <w:sz w:val="20"/>
                <w:szCs w:val="20"/>
              </w:rPr>
              <w:t>, educational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attainment,</w:t>
            </w:r>
            <w:r w:rsidRPr="00D52842">
              <w:rPr>
                <w:rFonts w:asciiTheme="majorBidi" w:hAnsiTheme="majorBidi" w:cstheme="majorBidi"/>
                <w:sz w:val="20"/>
                <w:szCs w:val="20"/>
              </w:rPr>
              <w:t xml:space="preserve"> history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DM</w:t>
            </w:r>
            <w:r w:rsidRPr="00D52842">
              <w:rPr>
                <w:rFonts w:asciiTheme="majorBidi" w:hAnsiTheme="majorBidi" w:cstheme="majorBidi"/>
                <w:sz w:val="20"/>
                <w:szCs w:val="20"/>
              </w:rPr>
              <w:t xml:space="preserve">, history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</w:t>
            </w:r>
            <w:r w:rsidRPr="00D52842">
              <w:rPr>
                <w:rFonts w:asciiTheme="majorBidi" w:hAnsiTheme="majorBidi" w:cstheme="majorBidi"/>
                <w:sz w:val="20"/>
                <w:szCs w:val="20"/>
              </w:rPr>
              <w:t xml:space="preserve"> and history of hyperlipidemia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D52842">
              <w:rPr>
                <w:rFonts w:asciiTheme="majorBidi" w:hAnsiTheme="majorBidi" w:cstheme="majorBidi"/>
                <w:sz w:val="20"/>
                <w:szCs w:val="20"/>
              </w:rPr>
              <w:t xml:space="preserve"> daily intake of fiber, saturated fatty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52842">
              <w:rPr>
                <w:rFonts w:asciiTheme="majorBidi" w:hAnsiTheme="majorBidi" w:cstheme="majorBidi"/>
                <w:sz w:val="20"/>
                <w:szCs w:val="20"/>
              </w:rPr>
              <w:t>acids and polyunsatur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ated fatty acids</w:t>
            </w:r>
            <w:r w:rsidRPr="00D52842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B3159" w:rsidTr="009F0C89">
        <w:trPr>
          <w:trHeight w:val="950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≥103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60/11,122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0.57 (0.36-0.91)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85D5D">
              <w:rPr>
                <w:rFonts w:asciiTheme="majorBidi" w:hAnsiTheme="majorBidi" w:cstheme="majorBidi"/>
                <w:sz w:val="20"/>
                <w:szCs w:val="20"/>
              </w:rPr>
              <w:t xml:space="preserve">Van Guelpen,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2009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Folate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&lt;191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67/251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3D35A4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BMI, ApoB </w:t>
            </w:r>
            <w:r w:rsidRPr="00004E83">
              <w:rPr>
                <w:rFonts w:asciiTheme="majorBidi" w:eastAsia="AdvPSSym" w:hAnsiTheme="majorBidi" w:cstheme="majorBidi"/>
                <w:sz w:val="20"/>
                <w:szCs w:val="20"/>
              </w:rPr>
              <w:t xml:space="preserve">⁄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ApoA-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I ratio, plasma cystatin C concentrations, current smoking,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DM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HTN, 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education,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and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 t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otal homocysteine concentration.</w:t>
            </w: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191-249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67/251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1.07 (0.64-1.78)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249-328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62/251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0.89 (0.51-1.52)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&gt;328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51/251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0.85 (0.47-1.51)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85D5D">
              <w:rPr>
                <w:rFonts w:asciiTheme="majorBidi" w:hAnsiTheme="majorBidi" w:cstheme="majorBidi"/>
                <w:sz w:val="20"/>
                <w:szCs w:val="20"/>
              </w:rPr>
              <w:t xml:space="preserve">Van Guelpen,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2009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B6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A66D68">
              <w:rPr>
                <w:rStyle w:val="st"/>
                <w:rFonts w:asciiTheme="majorBidi" w:hAnsiTheme="majorBidi" w:cstheme="majorBidi"/>
                <w:sz w:val="20"/>
                <w:szCs w:val="20"/>
              </w:rPr>
              <w:t>m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&lt;1.6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64/250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BMI, ApoB </w:t>
            </w:r>
            <w:r w:rsidRPr="00004E83">
              <w:rPr>
                <w:rFonts w:asciiTheme="majorBidi" w:eastAsia="AdvPSSym" w:hAnsiTheme="majorBidi" w:cstheme="majorBidi"/>
                <w:sz w:val="20"/>
                <w:szCs w:val="20"/>
              </w:rPr>
              <w:t xml:space="preserve">⁄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ApoA-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I ratio, plasma cystatin C concentrations, current smoking,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DM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HTN, 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education,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and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 t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otal homocysteine concentration.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1.6-2.1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62/252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0.86 (0.50-1.46)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2.1-2.8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77/251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1.18 (0.68-2.03)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&gt;2.8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44/251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0.73 (0.34-1.34)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85D5D">
              <w:rPr>
                <w:rFonts w:asciiTheme="majorBidi" w:hAnsiTheme="majorBidi" w:cstheme="majorBidi"/>
                <w:sz w:val="20"/>
                <w:szCs w:val="20"/>
              </w:rPr>
              <w:t xml:space="preserve">Van Guelpen,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2009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B12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&lt;4.3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54/250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BMI, ApoB </w:t>
            </w:r>
            <w:r w:rsidRPr="00004E83">
              <w:rPr>
                <w:rFonts w:asciiTheme="majorBidi" w:eastAsia="AdvPSSym" w:hAnsiTheme="majorBidi" w:cstheme="majorBidi"/>
                <w:sz w:val="20"/>
                <w:szCs w:val="20"/>
              </w:rPr>
              <w:t xml:space="preserve">⁄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ApoA-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I ratio, plasma cystatin C concentrations, current smoking,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DM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HTN, 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education, 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and</w:t>
            </w:r>
            <w:r w:rsidRPr="00004E83">
              <w:rPr>
                <w:rFonts w:asciiTheme="majorBidi" w:eastAsia="AdvTT5843c571" w:hAnsiTheme="majorBidi" w:cstheme="majorBidi"/>
                <w:sz w:val="20"/>
                <w:szCs w:val="20"/>
              </w:rPr>
              <w:t xml:space="preserve"> t</w:t>
            </w:r>
            <w:r>
              <w:rPr>
                <w:rFonts w:asciiTheme="majorBidi" w:eastAsia="AdvTT5843c571" w:hAnsiTheme="majorBidi" w:cstheme="majorBidi"/>
                <w:sz w:val="20"/>
                <w:szCs w:val="20"/>
              </w:rPr>
              <w:t>otal homocysteine concentration.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4.3-5.8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63/251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1.50 (0.86-2.62)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5.8-7.6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51/252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0.56 (0.31-0.99)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&gt;7.6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79/251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1.48 (0.87-2.52)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E7BA7">
              <w:rPr>
                <w:rFonts w:asciiTheme="majorBidi" w:hAnsiTheme="majorBidi" w:cstheme="majorBidi"/>
                <w:sz w:val="20"/>
                <w:szCs w:val="20"/>
              </w:rPr>
              <w:t xml:space="preserve">Ishihara,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Folate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290 (median)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54/87,090 (PY)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B34858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Age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sex,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cigarette smoking, drinking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BMI, history of DM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education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level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sports at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leisure time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public health 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enter, energy intake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as well as dietary intake of fish, saturated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fatty acids, n-3 poly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unsaturated fatty acids and n-6 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polyunsaturated fatty acids.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331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51/86,570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0.84 (0.56-1.26)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372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43/86,415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0.81 (0.54-1.21)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404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30/85,671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0.96 (0.63-1.45)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436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45/84,833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0.75 (0.49-1.17)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E7BA7">
              <w:rPr>
                <w:rFonts w:asciiTheme="majorBidi" w:hAnsiTheme="majorBidi" w:cstheme="majorBidi"/>
                <w:sz w:val="20"/>
                <w:szCs w:val="20"/>
              </w:rPr>
              <w:t xml:space="preserve">Ishihara,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Folate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CF5EB4">
              <w:rPr>
                <w:rStyle w:val="st"/>
                <w:rFonts w:asciiTheme="majorBidi" w:hAnsiTheme="majorBidi" w:cstheme="majorBidi"/>
                <w:sz w:val="20"/>
                <w:szCs w:val="20"/>
              </w:rPr>
              <w:t>m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1.30 (median)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58/86,026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Age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sex,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cigarette smoking, drinking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BMI, history of DM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education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level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sports at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leisure time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public health 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enter, energy intake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as well as dietary intake of fish, saturated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fatty acids, n-3 poly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unsaturated fatty acids and n-6 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polyunsaturated fatty acids.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1.40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54/86,932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0.78 (0.54-1.14)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1.50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52/86,694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0.79 (0.53-1.17)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1.55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39/86,143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0.57 (0.36-0.90)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1.60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30/84,785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0.60 (0.37-0.97)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E7BA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Ishihara,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2008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B12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6.5 (median)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57/86,902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Age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sex,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cigarette smoking, drinking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BMI, history of DM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education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level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sports at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leisure time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public health 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enter, energy intake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, as well as dietary intake of fish, saturated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fatty acids, n-3 poly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unsaturated fatty acids and n-6 </w:t>
            </w:r>
            <w:r w:rsidRPr="00BD69F3">
              <w:rPr>
                <w:rFonts w:asciiTheme="majorBidi" w:hAnsiTheme="majorBidi" w:cstheme="majorBidi"/>
                <w:sz w:val="20"/>
                <w:szCs w:val="20"/>
              </w:rPr>
              <w:t>polyunsaturated fatty acids.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7.3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51/86,729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1.26 (0.87-1.84)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8.6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41/85,828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0.82 (0.54-1.26)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9.9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45/85,868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0.84 (0.54-1.31)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11.1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39/85,253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0.75 (0.46-1.20)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24146">
              <w:rPr>
                <w:rFonts w:asciiTheme="majorBidi" w:hAnsiTheme="majorBidi" w:cstheme="majorBidi"/>
                <w:sz w:val="20"/>
                <w:szCs w:val="20"/>
              </w:rPr>
              <w:t>Luu, 2011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Folate, White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0-155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1.30 (1.09-1.56)</w:t>
            </w:r>
          </w:p>
        </w:tc>
        <w:tc>
          <w:tcPr>
            <w:tcW w:w="4111" w:type="dxa"/>
            <w:vMerge w:val="restart"/>
          </w:tcPr>
          <w:p w:rsidR="002B3159" w:rsidRPr="00D66071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D66071">
              <w:rPr>
                <w:rFonts w:asciiTheme="majorBidi" w:hAnsiTheme="majorBidi" w:cstheme="majorBidi"/>
                <w:sz w:val="20"/>
                <w:szCs w:val="20"/>
              </w:rPr>
              <w:t xml:space="preserve">ge, gender, BMI, HDL, total cholesterol, current smoking status,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DM</w:t>
            </w:r>
            <w:r w:rsidRPr="00D66071">
              <w:rPr>
                <w:rFonts w:asciiTheme="majorBidi" w:hAnsiTheme="majorBidi" w:cstheme="majorBidi"/>
                <w:sz w:val="20"/>
                <w:szCs w:val="20"/>
              </w:rPr>
              <w:t xml:space="preserve">, caloric intake,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HTN.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156-211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1.14 (0.97-1.34)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212-278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1.02 (0.88-1.19)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≥279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24146">
              <w:rPr>
                <w:rFonts w:asciiTheme="majorBidi" w:hAnsiTheme="majorBidi" w:cstheme="majorBidi"/>
                <w:sz w:val="20"/>
                <w:szCs w:val="20"/>
              </w:rPr>
              <w:t>Luu, 2011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Folate, Black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0-155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1.36 (0.99-1.88)</w:t>
            </w:r>
          </w:p>
        </w:tc>
        <w:tc>
          <w:tcPr>
            <w:tcW w:w="4111" w:type="dxa"/>
            <w:vMerge w:val="restart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D66071">
              <w:rPr>
                <w:rFonts w:asciiTheme="majorBidi" w:hAnsiTheme="majorBidi" w:cstheme="majorBidi"/>
                <w:sz w:val="20"/>
                <w:szCs w:val="20"/>
              </w:rPr>
              <w:t>ge, gende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r, BMI, HDL, total cholesterol, </w:t>
            </w:r>
            <w:r w:rsidRPr="00D66071">
              <w:rPr>
                <w:rFonts w:asciiTheme="majorBidi" w:hAnsiTheme="majorBidi" w:cstheme="majorBidi"/>
                <w:sz w:val="20"/>
                <w:szCs w:val="20"/>
              </w:rPr>
              <w:t xml:space="preserve">current smoking status,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DM</w:t>
            </w:r>
            <w:r w:rsidRPr="00D66071">
              <w:rPr>
                <w:rFonts w:asciiTheme="majorBidi" w:hAnsiTheme="majorBidi" w:cstheme="majorBidi"/>
                <w:sz w:val="20"/>
                <w:szCs w:val="20"/>
              </w:rPr>
              <w:t xml:space="preserve">, caloric intake,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HTN.</w:t>
            </w: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156-211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1.27 (0.94-1.71)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212-278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1.02 (0.77-1.37)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411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≥279</w:t>
            </w:r>
          </w:p>
        </w:tc>
        <w:tc>
          <w:tcPr>
            <w:tcW w:w="2551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3B599A">
              <w:rPr>
                <w:rFonts w:asciiTheme="majorBidi" w:eastAsiaTheme="minorHAnsi" w:hAnsiTheme="majorBidi" w:cstheme="majorBidi"/>
                <w:sz w:val="20"/>
                <w:szCs w:val="20"/>
              </w:rPr>
              <w:t>Marniemi, 2005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Folate (third vs. first tertile)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130/755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1.35 (0.82-2.24)</w:t>
            </w:r>
          </w:p>
        </w:tc>
        <w:tc>
          <w:tcPr>
            <w:tcW w:w="4111" w:type="dxa"/>
            <w:vMerge w:val="restart"/>
          </w:tcPr>
          <w:p w:rsidR="002B3159" w:rsidRPr="00CA54D4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54D4">
              <w:rPr>
                <w:rFonts w:asciiTheme="majorBidi" w:hAnsiTheme="majorBidi" w:cstheme="majorBidi"/>
                <w:sz w:val="20"/>
                <w:szCs w:val="20"/>
              </w:rPr>
              <w:t>Age, gender, smoking and functional capacity.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B6 (third vs. first tertile)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130/755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1.61 (0.95-2.75)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B12 (third vs. first tertile)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130/755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1.45 (0.93-2.27)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0272">
              <w:rPr>
                <w:rFonts w:asciiTheme="majorBidi" w:hAnsiTheme="majorBidi" w:cstheme="majorBidi"/>
                <w:sz w:val="20"/>
                <w:szCs w:val="20"/>
              </w:rPr>
              <w:t>Rimm, 1998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Folate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rPr>
          <w:trHeight w:val="159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158 (median)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237/Q1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Age, time period, BMI, smoking, menopausal status, aspirin, vitamin E supplements, physical activity, HTN, parental history of MI, before age 65 years, alcohol, and intake of fiber, alcohol, saturated, polyunsaturated, and trans fats. 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217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197/Q2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0.86 (0.71-1.05)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276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197/Q3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0.86 (0.70-1.06)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393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168/Q4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0.78 (0.63-0.98)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696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140/Q5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0.69 (0.55-0.87)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0272">
              <w:rPr>
                <w:rFonts w:asciiTheme="majorBidi" w:hAnsiTheme="majorBidi" w:cstheme="majorBidi"/>
                <w:sz w:val="20"/>
                <w:szCs w:val="20"/>
              </w:rPr>
              <w:t>Rimm, 1998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B6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C106BF">
              <w:rPr>
                <w:rStyle w:val="st"/>
                <w:rFonts w:asciiTheme="majorBidi" w:hAnsiTheme="majorBidi" w:cstheme="majorBidi"/>
                <w:sz w:val="20"/>
                <w:szCs w:val="20"/>
              </w:rPr>
              <w:t>mg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 (median)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216/Q1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Age, time period, BMI, smoking, menopausal status, aspirin, vitamin E supplements, physical activity, HTN, parental history of MI, before age 65 years, alcohol, and intake of fiber, alcohol, saturated, polyunsaturated, and trans fats.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210/Q2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0.92 (0.76-1.12)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207/Q3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0.86 (0.70-1.05)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2.7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175/Q4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0.88 (0.76-1.10)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131/Q5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0.67 (0.53-0.85)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2E25">
              <w:rPr>
                <w:rFonts w:ascii="Times New Roman" w:eastAsiaTheme="minorHAnsi" w:hAnsi="Times New Roman" w:cs="Times New Roman"/>
                <w:sz w:val="20"/>
                <w:szCs w:val="20"/>
              </w:rPr>
              <w:t>Voutilainen, 2001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Folate 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741971">
              <w:rPr>
                <w:rStyle w:val="st"/>
                <w:rFonts w:asciiTheme="majorBidi" w:hAnsiTheme="majorBidi" w:cstheme="majorBidi"/>
                <w:sz w:val="20"/>
                <w:szCs w:val="20"/>
              </w:rPr>
              <w:t>µg</w:t>
            </w:r>
            <w:r w:rsidRPr="00741971">
              <w:rPr>
                <w:rFonts w:asciiTheme="majorBidi" w:hAnsiTheme="majorBidi" w:cstheme="majorBidi"/>
                <w:sz w:val="20"/>
                <w:szCs w:val="20"/>
              </w:rPr>
              <w:t>/d)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&lt;211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F66CFC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66CFC">
              <w:rPr>
                <w:rFonts w:asciiTheme="majorBidi" w:hAnsiTheme="majorBidi" w:cstheme="majorBidi"/>
                <w:sz w:val="20"/>
                <w:szCs w:val="20"/>
              </w:rPr>
              <w:t xml:space="preserve">Age, examination years, total cholesterol, HDL, LDL, TG, urinary excretion of nicotine metabolites, maximal oxygen uptake in exercise test, BMI, SBP, CHD in family, DM, intake of vitamin C, vitamin E, </w:t>
            </w:r>
            <w:r w:rsidRPr="002B3159">
              <w:rPr>
                <w:rStyle w:val="Emphasis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β</w:t>
            </w:r>
            <w:r w:rsidRPr="002B315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F66CFC">
              <w:rPr>
                <w:rFonts w:asciiTheme="majorBidi" w:hAnsiTheme="majorBidi" w:cstheme="majorBidi"/>
                <w:sz w:val="20"/>
                <w:szCs w:val="20"/>
              </w:rPr>
              <w:t>carotene, fiber, and saturated fatty acids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211-236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Q2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0.76 (0.55-1.06)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237-261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0.64 (0.46-0.89)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262-297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0.53 (0.33-0.87)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&gt;297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Q5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0.45 (0.25-0.81)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2E25">
              <w:rPr>
                <w:rFonts w:ascii="Times New Roman" w:eastAsiaTheme="minorHAnsi" w:hAnsi="Times New Roman" w:cs="Times New Roman"/>
                <w:sz w:val="20"/>
                <w:szCs w:val="20"/>
              </w:rPr>
              <w:t>Voutilainen, 2001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B6 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Above vs. below mean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199/1980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0.82 (0.60-1.11)</w:t>
            </w:r>
          </w:p>
        </w:tc>
        <w:tc>
          <w:tcPr>
            <w:tcW w:w="4111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Age, examination years, total cholesterol, HDL, LDL, TG, urinary excretion of nicotine metabolites, maximal oxygen uptake in exercise test, BMI, SBP, CHD in family, DM, intake of vitamin C, vitamin E, </w:t>
            </w:r>
            <w:r w:rsidRPr="00F66CFC">
              <w:rPr>
                <w:rStyle w:val="Emphasis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β</w:t>
            </w:r>
            <w:r w:rsidRPr="00934A88">
              <w:rPr>
                <w:rFonts w:asciiTheme="majorBidi" w:hAnsiTheme="majorBidi" w:cstheme="majorBidi"/>
                <w:sz w:val="20"/>
                <w:szCs w:val="20"/>
              </w:rPr>
              <w:t>-carotene, fiber, and saturated fatty acids</w:t>
            </w: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2E25">
              <w:rPr>
                <w:rFonts w:ascii="Times New Roman" w:eastAsiaTheme="minorHAnsi" w:hAnsi="Times New Roman" w:cs="Times New Roman"/>
                <w:sz w:val="20"/>
                <w:szCs w:val="20"/>
              </w:rPr>
              <w:t>Voutilainen, 2001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B12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Above vs. below mean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199/1980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0.73 (0.54-0.97)</w:t>
            </w:r>
          </w:p>
        </w:tc>
        <w:tc>
          <w:tcPr>
            <w:tcW w:w="4111" w:type="dxa"/>
          </w:tcPr>
          <w:p w:rsidR="002B3159" w:rsidRPr="00F66CFC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66CFC">
              <w:rPr>
                <w:rFonts w:asciiTheme="majorBidi" w:hAnsiTheme="majorBidi" w:cstheme="majorBidi"/>
                <w:sz w:val="20"/>
                <w:szCs w:val="20"/>
              </w:rPr>
              <w:t xml:space="preserve">Age, examination years, total cholesterol, HDL, LDL, TG, urinary excretion of nicotine metabolites, maximal oxygen uptake in exercise test, BMI, SBP, CHD in family, DM, intake of vitamin C, vitamin E, </w:t>
            </w:r>
            <w:r w:rsidRPr="00F66CFC">
              <w:rPr>
                <w:rStyle w:val="Emphasis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β</w:t>
            </w:r>
            <w:r w:rsidRPr="00F66CFC">
              <w:rPr>
                <w:rFonts w:asciiTheme="majorBidi" w:hAnsiTheme="majorBidi" w:cstheme="majorBidi"/>
                <w:sz w:val="20"/>
                <w:szCs w:val="20"/>
              </w:rPr>
              <w:t>-carotene, fiber, and saturated fatty acids</w:t>
            </w: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630">
              <w:rPr>
                <w:rFonts w:asciiTheme="majorBidi" w:hAnsiTheme="majorBidi" w:cstheme="majorBidi"/>
                <w:sz w:val="20"/>
                <w:szCs w:val="20"/>
              </w:rPr>
              <w:t>Zhao, 2018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B6, Men (mg/d)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 (median)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110/118,973 PY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010754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010754">
              <w:rPr>
                <w:rFonts w:asciiTheme="majorBidi" w:hAnsiTheme="majorBidi" w:cstheme="majorBidi"/>
                <w:sz w:val="20"/>
                <w:szCs w:val="20"/>
              </w:rPr>
              <w:t>ge at baseline, energy intake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010754">
              <w:rPr>
                <w:rFonts w:asciiTheme="majorBidi" w:hAnsiTheme="majorBidi" w:cstheme="majorBidi"/>
                <w:sz w:val="20"/>
                <w:szCs w:val="20"/>
              </w:rPr>
              <w:t xml:space="preserve">education, income, occupation, smoke, alcohol,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BMI, </w:t>
            </w:r>
            <w:r w:rsidRPr="00010754">
              <w:rPr>
                <w:rFonts w:asciiTheme="majorBidi" w:hAnsiTheme="majorBidi" w:cstheme="majorBidi"/>
                <w:sz w:val="20"/>
                <w:szCs w:val="20"/>
              </w:rPr>
              <w:t>waist-hip ratio, physical activity, his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tory of DM, HTN, </w:t>
            </w:r>
            <w:r w:rsidRPr="00010754">
              <w:rPr>
                <w:rFonts w:asciiTheme="majorBidi" w:hAnsiTheme="majorBidi" w:cstheme="majorBidi"/>
                <w:sz w:val="20"/>
                <w:szCs w:val="20"/>
              </w:rPr>
              <w:t>coronary heart disease and stroke, vitamin B supplements use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1.53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105/119,988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0.93 (0.71-1.22)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1.69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71/120,600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0.71 (0.52-0.96)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1.87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78/121,289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0.81 (0.60-1.09)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2.20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58/123,925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0.66 (0.47-0.91)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567"/>
        </w:trPr>
        <w:tc>
          <w:tcPr>
            <w:tcW w:w="11057" w:type="dxa"/>
            <w:gridSpan w:val="5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F1630">
              <w:rPr>
                <w:rFonts w:asciiTheme="majorBidi" w:hAnsiTheme="majorBidi" w:cstheme="majorBidi"/>
                <w:sz w:val="20"/>
                <w:szCs w:val="20"/>
              </w:rPr>
              <w:t>Zhao, 2018</w:t>
            </w:r>
          </w:p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B6, Women (mg/d)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1.24 (median)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132/229,890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4111" w:type="dxa"/>
            <w:vMerge w:val="restart"/>
          </w:tcPr>
          <w:p w:rsidR="002B3159" w:rsidRPr="00B34858" w:rsidRDefault="002B3159" w:rsidP="009F0C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010754">
              <w:rPr>
                <w:rFonts w:asciiTheme="majorBidi" w:hAnsiTheme="majorBidi" w:cstheme="majorBidi"/>
                <w:sz w:val="20"/>
                <w:szCs w:val="20"/>
              </w:rPr>
              <w:t xml:space="preserve">ge at baseline, energy intake, education, income, occupation, smoke, alcohol,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BMI, </w:t>
            </w:r>
            <w:r w:rsidRPr="00010754">
              <w:rPr>
                <w:rFonts w:asciiTheme="majorBidi" w:hAnsiTheme="majorBidi" w:cstheme="majorBidi"/>
                <w:sz w:val="20"/>
                <w:szCs w:val="20"/>
              </w:rPr>
              <w:t>waist-hip ratio, physical activity, his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tory of DM, HTN, </w:t>
            </w:r>
            <w:r w:rsidRPr="00010754">
              <w:rPr>
                <w:rFonts w:asciiTheme="majorBidi" w:hAnsiTheme="majorBidi" w:cstheme="majorBidi"/>
                <w:sz w:val="20"/>
                <w:szCs w:val="20"/>
              </w:rPr>
              <w:t>coronary heart disease and stroke, vitamin B supplements use, menopausal status, and hormone replacement therapy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1.45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98/232,273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0.85 (0.65-1.11)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1.62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75/233,661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0.81 (0.61-1.08)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1.79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65/234,814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0.83 (0.61-1.13)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rPr>
          <w:trHeight w:val="227"/>
        </w:trPr>
        <w:tc>
          <w:tcPr>
            <w:tcW w:w="2552" w:type="dxa"/>
            <w:gridSpan w:val="2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2.11</w:t>
            </w:r>
          </w:p>
        </w:tc>
        <w:tc>
          <w:tcPr>
            <w:tcW w:w="2410" w:type="dxa"/>
          </w:tcPr>
          <w:p w:rsidR="002B3159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60/235,497</w:t>
            </w:r>
          </w:p>
        </w:tc>
        <w:tc>
          <w:tcPr>
            <w:tcW w:w="1984" w:type="dxa"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0.91 (0.66-1.24)</w:t>
            </w:r>
          </w:p>
        </w:tc>
        <w:tc>
          <w:tcPr>
            <w:tcW w:w="4111" w:type="dxa"/>
            <w:vMerge/>
          </w:tcPr>
          <w:p w:rsidR="002B3159" w:rsidRPr="00B34858" w:rsidRDefault="002B315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B3159" w:rsidTr="009F0C89">
        <w:tc>
          <w:tcPr>
            <w:tcW w:w="11057" w:type="dxa"/>
            <w:gridSpan w:val="5"/>
          </w:tcPr>
          <w:p w:rsidR="002B3159" w:rsidRPr="00B34858" w:rsidRDefault="002B3159" w:rsidP="00A77E0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31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Abbreviations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9C39A1">
              <w:rPr>
                <w:rFonts w:asciiTheme="majorBidi" w:hAnsiTheme="majorBidi" w:cstheme="majorBidi"/>
                <w:sz w:val="20"/>
                <w:szCs w:val="20"/>
              </w:rPr>
              <w:t xml:space="preserve"> BMI, body mass index; CHD, coronary heart disease; DM, diabetes mellitus; HDL, high-density lipoprotein; HTN, hypertension; </w:t>
            </w:r>
            <w:r w:rsidR="00A77E04">
              <w:rPr>
                <w:rFonts w:asciiTheme="majorBidi" w:hAnsiTheme="majorBidi" w:cstheme="majorBidi"/>
                <w:sz w:val="20"/>
                <w:szCs w:val="20"/>
              </w:rPr>
              <w:t>LDL, low-density lipoprotein; MI, myocardial infarction; SBP, systolic blood pressure; TG,</w:t>
            </w:r>
            <w:r w:rsidR="00600FEE">
              <w:rPr>
                <w:rFonts w:asciiTheme="majorBidi" w:hAnsiTheme="majorBidi" w:cstheme="majorBidi"/>
                <w:sz w:val="20"/>
                <w:szCs w:val="20"/>
              </w:rPr>
              <w:t xml:space="preserve"> triglycerides; PY, personyears; Q, quantile. </w:t>
            </w:r>
          </w:p>
        </w:tc>
      </w:tr>
    </w:tbl>
    <w:p w:rsidR="002B3159" w:rsidRPr="00A6078E" w:rsidRDefault="002B3159" w:rsidP="002B3159">
      <w:pPr>
        <w:rPr>
          <w:rFonts w:asciiTheme="majorBidi" w:hAnsiTheme="majorBidi" w:cstheme="majorBidi"/>
        </w:rPr>
      </w:pPr>
    </w:p>
    <w:p w:rsidR="002B3159" w:rsidRDefault="002B3159" w:rsidP="002B3159"/>
    <w:p w:rsidR="00DB6E43" w:rsidRDefault="00DB6E43" w:rsidP="002B3159"/>
    <w:p w:rsidR="00DB6E43" w:rsidRDefault="00DB6E43" w:rsidP="00DB6E43">
      <w:pPr>
        <w:jc w:val="center"/>
      </w:pPr>
    </w:p>
    <w:p w:rsidR="005853AC" w:rsidRDefault="005853AC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Pr="00627ECB" w:rsidRDefault="009F0C89" w:rsidP="009F0C89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>Supplementary Table 2</w:t>
      </w:r>
      <w:r w:rsidRPr="00627ECB">
        <w:rPr>
          <w:rFonts w:asciiTheme="majorBidi" w:hAnsiTheme="majorBidi" w:cstheme="majorBidi"/>
          <w:b/>
          <w:bCs/>
        </w:rPr>
        <w:t>.</w:t>
      </w:r>
      <w:r w:rsidRPr="00627ECB">
        <w:rPr>
          <w:rFonts w:asciiTheme="majorBidi" w:hAnsiTheme="majorBidi" w:cstheme="majorBidi"/>
        </w:rPr>
        <w:t xml:space="preserve"> Subgroup analyses of </w:t>
      </w:r>
      <w:r>
        <w:rPr>
          <w:rFonts w:asciiTheme="majorBidi" w:hAnsiTheme="majorBidi" w:cstheme="majorBidi"/>
        </w:rPr>
        <w:t xml:space="preserve">vitamin B6 intake and risk of coronary heart disease (high </w:t>
      </w:r>
      <w:r w:rsidRPr="00946230">
        <w:rPr>
          <w:rFonts w:asciiTheme="majorBidi" w:hAnsiTheme="majorBidi" w:cstheme="majorBidi"/>
          <w:i/>
          <w:iCs/>
        </w:rPr>
        <w:t>vs</w:t>
      </w:r>
      <w:r>
        <w:rPr>
          <w:rFonts w:asciiTheme="majorBidi" w:hAnsiTheme="majorBidi" w:cstheme="majorBidi"/>
          <w:i/>
          <w:iCs/>
        </w:rPr>
        <w:t>.</w:t>
      </w:r>
      <w:r>
        <w:rPr>
          <w:rFonts w:asciiTheme="majorBidi" w:hAnsiTheme="majorBidi" w:cstheme="majorBidi"/>
        </w:rPr>
        <w:t xml:space="preserve"> low analysis). </w:t>
      </w:r>
    </w:p>
    <w:tbl>
      <w:tblPr>
        <w:tblStyle w:val="PlainTable21"/>
        <w:tblW w:w="9576" w:type="dxa"/>
        <w:tblLook w:val="04A0"/>
      </w:tblPr>
      <w:tblGrid>
        <w:gridCol w:w="2541"/>
        <w:gridCol w:w="897"/>
        <w:gridCol w:w="745"/>
        <w:gridCol w:w="1780"/>
        <w:gridCol w:w="1903"/>
        <w:gridCol w:w="1710"/>
      </w:tblGrid>
      <w:tr w:rsidR="009F0C89" w:rsidRPr="00356632" w:rsidTr="009F0C89">
        <w:trPr>
          <w:cnfStyle w:val="100000000000"/>
          <w:trHeight w:val="340"/>
        </w:trPr>
        <w:tc>
          <w:tcPr>
            <w:cnfStyle w:val="001000000000"/>
            <w:tcW w:w="2541" w:type="dxa"/>
          </w:tcPr>
          <w:p w:rsidR="009F0C89" w:rsidRPr="00356632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</w:tcPr>
          <w:p w:rsidR="009F0C89" w:rsidRPr="00356632" w:rsidRDefault="009F0C89" w:rsidP="009F0C89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356632" w:rsidRDefault="009F0C89" w:rsidP="009F0C89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1780" w:type="dxa"/>
          </w:tcPr>
          <w:p w:rsidR="009F0C89" w:rsidRPr="00356632" w:rsidRDefault="009F0C89" w:rsidP="009F0C89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RR (95%CI)</w:t>
            </w:r>
          </w:p>
        </w:tc>
        <w:tc>
          <w:tcPr>
            <w:tcW w:w="1903" w:type="dxa"/>
          </w:tcPr>
          <w:p w:rsidR="009F0C89" w:rsidRPr="00356632" w:rsidRDefault="009F0C89" w:rsidP="009F0C89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</w:t>
            </w:r>
            <w:r w:rsidRPr="00356632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(%), </w:t>
            </w:r>
            <w:r w:rsidRPr="0035663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356632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heterogeneity</w:t>
            </w:r>
            <w:r w:rsidRPr="00E80B5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0" w:type="dxa"/>
          </w:tcPr>
          <w:p w:rsidR="009F0C89" w:rsidRPr="00356632" w:rsidRDefault="009F0C89" w:rsidP="009F0C89">
            <w:pPr>
              <w:jc w:val="center"/>
              <w:cnfStyle w:val="10000000000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9D22C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between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2</w:t>
            </w: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>All studies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0.81 (0.70-0.93)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70%, 0.001</w:t>
            </w:r>
          </w:p>
        </w:tc>
        <w:tc>
          <w:tcPr>
            <w:tcW w:w="171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CA6D56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6D56">
              <w:rPr>
                <w:rFonts w:asciiTheme="majorBidi" w:hAnsiTheme="majorBidi" w:cstheme="majorBidi"/>
                <w:sz w:val="20"/>
                <w:szCs w:val="20"/>
              </w:rPr>
              <w:t>Folate source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F1D97" w:rsidRPr="00356632" w:rsidTr="00EF1D97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EF1D97" w:rsidRPr="00CA6D56" w:rsidRDefault="00EF1D97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</w:t>
            </w:r>
            <w:r w:rsidRPr="00CA6D5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Foods only</w:t>
            </w:r>
          </w:p>
        </w:tc>
        <w:tc>
          <w:tcPr>
            <w:tcW w:w="897" w:type="dxa"/>
          </w:tcPr>
          <w:p w:rsidR="00EF1D97" w:rsidRPr="009A5752" w:rsidRDefault="00EF1D97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EF1D97" w:rsidRPr="009A5752" w:rsidRDefault="00EF1D97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EF1D97" w:rsidRPr="009A5752" w:rsidRDefault="00EF1D97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0.86 (0.74-0.98)</w:t>
            </w:r>
          </w:p>
        </w:tc>
        <w:tc>
          <w:tcPr>
            <w:tcW w:w="1903" w:type="dxa"/>
          </w:tcPr>
          <w:p w:rsidR="00EF1D97" w:rsidRPr="009A5752" w:rsidRDefault="00EF1D97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66%, 0.01</w:t>
            </w:r>
          </w:p>
        </w:tc>
        <w:tc>
          <w:tcPr>
            <w:tcW w:w="1710" w:type="dxa"/>
            <w:vMerge w:val="restart"/>
            <w:vAlign w:val="center"/>
          </w:tcPr>
          <w:p w:rsidR="00EF1D97" w:rsidRPr="009A5752" w:rsidRDefault="00EF1D97" w:rsidP="00EF1D97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</w:tr>
      <w:tr w:rsidR="00EF1D97" w:rsidRPr="00356632" w:rsidTr="00EF1D97">
        <w:trPr>
          <w:trHeight w:val="340"/>
        </w:trPr>
        <w:tc>
          <w:tcPr>
            <w:cnfStyle w:val="001000000000"/>
            <w:tcW w:w="2541" w:type="dxa"/>
          </w:tcPr>
          <w:p w:rsidR="00EF1D97" w:rsidRPr="00CA6D56" w:rsidRDefault="00EF1D97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</w:t>
            </w:r>
            <w:r w:rsidRPr="00CA6D5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Foods and supplements</w:t>
            </w:r>
          </w:p>
        </w:tc>
        <w:tc>
          <w:tcPr>
            <w:tcW w:w="897" w:type="dxa"/>
          </w:tcPr>
          <w:p w:rsidR="00EF1D97" w:rsidRPr="009A5752" w:rsidRDefault="00EF1D97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EF1D97" w:rsidRPr="009A5752" w:rsidRDefault="00EF1D97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EF1D97" w:rsidRPr="005D12F7" w:rsidRDefault="00EF1D97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0.68 (0.55-0.85)</w:t>
            </w:r>
          </w:p>
        </w:tc>
        <w:tc>
          <w:tcPr>
            <w:tcW w:w="1903" w:type="dxa"/>
          </w:tcPr>
          <w:p w:rsidR="00EF1D97" w:rsidRPr="005D12F7" w:rsidRDefault="00EF1D97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0%, 0.87</w:t>
            </w:r>
          </w:p>
        </w:tc>
        <w:tc>
          <w:tcPr>
            <w:tcW w:w="1710" w:type="dxa"/>
            <w:vMerge/>
            <w:vAlign w:val="center"/>
          </w:tcPr>
          <w:p w:rsidR="00EF1D97" w:rsidRPr="009A5752" w:rsidRDefault="00EF1D97" w:rsidP="00EF1D97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F1D97" w:rsidRPr="00356632" w:rsidTr="00EF1D97">
        <w:trPr>
          <w:trHeight w:val="340"/>
        </w:trPr>
        <w:tc>
          <w:tcPr>
            <w:cnfStyle w:val="001000000000"/>
            <w:tcW w:w="2541" w:type="dxa"/>
          </w:tcPr>
          <w:p w:rsidR="00EF1D97" w:rsidRPr="009A5752" w:rsidRDefault="00EF1D97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Men</w:t>
            </w:r>
          </w:p>
        </w:tc>
        <w:tc>
          <w:tcPr>
            <w:tcW w:w="897" w:type="dxa"/>
          </w:tcPr>
          <w:p w:rsidR="00EF1D97" w:rsidRPr="009A5752" w:rsidRDefault="00EF1D97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EF1D97" w:rsidRPr="009A5752" w:rsidRDefault="00EF1D97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EF1D97" w:rsidRPr="005D12F7" w:rsidRDefault="00EF1D97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</w:rPr>
              <w:t>0.89 (0.83-0.96)</w:t>
            </w:r>
          </w:p>
        </w:tc>
        <w:tc>
          <w:tcPr>
            <w:tcW w:w="1903" w:type="dxa"/>
          </w:tcPr>
          <w:p w:rsidR="00EF1D97" w:rsidRPr="005D12F7" w:rsidRDefault="00EF1D97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</w:rPr>
              <w:t>0%, 0.52</w:t>
            </w:r>
          </w:p>
        </w:tc>
        <w:tc>
          <w:tcPr>
            <w:tcW w:w="1710" w:type="dxa"/>
            <w:vMerge w:val="restart"/>
            <w:vAlign w:val="center"/>
          </w:tcPr>
          <w:p w:rsidR="00EF1D97" w:rsidRPr="005D12F7" w:rsidRDefault="00EF1D97" w:rsidP="00EF1D97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</w:rPr>
              <w:t>0.2</w:t>
            </w:r>
            <w:r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9</w:t>
            </w:r>
          </w:p>
        </w:tc>
      </w:tr>
      <w:tr w:rsidR="00EF1D97" w:rsidRPr="00356632" w:rsidTr="00EF1D97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EF1D97" w:rsidRPr="009A5752" w:rsidRDefault="00EF1D97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Women</w:t>
            </w:r>
          </w:p>
        </w:tc>
        <w:tc>
          <w:tcPr>
            <w:tcW w:w="897" w:type="dxa"/>
          </w:tcPr>
          <w:p w:rsidR="00EF1D97" w:rsidRPr="009A5752" w:rsidRDefault="00EF1D97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EF1D97" w:rsidRPr="009A5752" w:rsidRDefault="00EF1D97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EF1D97" w:rsidRPr="005D12F7" w:rsidRDefault="00EF1D97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</w:rPr>
              <w:t>0.81 (0.57-1.06)</w:t>
            </w:r>
          </w:p>
        </w:tc>
        <w:tc>
          <w:tcPr>
            <w:tcW w:w="1903" w:type="dxa"/>
          </w:tcPr>
          <w:p w:rsidR="00EF1D97" w:rsidRPr="005D12F7" w:rsidRDefault="00EF1D97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</w:rPr>
              <w:t>83%, 0.002</w:t>
            </w:r>
          </w:p>
        </w:tc>
        <w:tc>
          <w:tcPr>
            <w:tcW w:w="1710" w:type="dxa"/>
            <w:vMerge/>
            <w:vAlign w:val="center"/>
          </w:tcPr>
          <w:p w:rsidR="00EF1D97" w:rsidRPr="005D12F7" w:rsidRDefault="00EF1D97" w:rsidP="00EF1D97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F1D97" w:rsidRPr="00356632" w:rsidTr="00EF1D97">
        <w:trPr>
          <w:trHeight w:val="340"/>
        </w:trPr>
        <w:tc>
          <w:tcPr>
            <w:cnfStyle w:val="001000000000"/>
            <w:tcW w:w="2541" w:type="dxa"/>
          </w:tcPr>
          <w:p w:rsidR="00EF1D97" w:rsidRPr="009A5752" w:rsidRDefault="00EF1D97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Both</w:t>
            </w:r>
          </w:p>
        </w:tc>
        <w:tc>
          <w:tcPr>
            <w:tcW w:w="897" w:type="dxa"/>
          </w:tcPr>
          <w:p w:rsidR="00EF1D97" w:rsidRPr="009A5752" w:rsidRDefault="00EF1D97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EF1D97" w:rsidRPr="009A5752" w:rsidRDefault="00EF1D97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EF1D97" w:rsidRPr="005D12F7" w:rsidRDefault="00EF1D97" w:rsidP="00EF1D97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0.82 (0.43-1.21)</w:t>
            </w:r>
          </w:p>
        </w:tc>
        <w:tc>
          <w:tcPr>
            <w:tcW w:w="1903" w:type="dxa"/>
          </w:tcPr>
          <w:p w:rsidR="00EF1D97" w:rsidRPr="005D12F7" w:rsidRDefault="00EF1D97" w:rsidP="00EF1D97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55%, 0.11</w:t>
            </w:r>
          </w:p>
        </w:tc>
        <w:tc>
          <w:tcPr>
            <w:tcW w:w="1710" w:type="dxa"/>
            <w:vMerge/>
            <w:vAlign w:val="center"/>
          </w:tcPr>
          <w:p w:rsidR="00EF1D97" w:rsidRPr="005D12F7" w:rsidRDefault="00EF1D97" w:rsidP="00EF1D97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>Geographical region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US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0.67 (0.51-0.83)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0.01</w:t>
            </w: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Europe 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9F0C89" w:rsidRPr="005D12F7" w:rsidRDefault="005D12F7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0.89 (0.58-1.19</w:t>
            </w:r>
            <w:r w:rsidR="009F0C89"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903" w:type="dxa"/>
          </w:tcPr>
          <w:p w:rsidR="009F0C89" w:rsidRPr="005D12F7" w:rsidRDefault="005D12F7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31%, 0.23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Asia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0.85 (0.72-0.97)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75%, 0.007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41C4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6341C4" w:rsidRPr="006341C4" w:rsidRDefault="006341C4" w:rsidP="009F0C89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6341C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Outcome </w:t>
            </w:r>
          </w:p>
        </w:tc>
        <w:tc>
          <w:tcPr>
            <w:tcW w:w="897" w:type="dxa"/>
          </w:tcPr>
          <w:p w:rsidR="006341C4" w:rsidRPr="009A5752" w:rsidRDefault="006341C4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6341C4" w:rsidRPr="009A5752" w:rsidRDefault="006341C4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0" w:type="dxa"/>
          </w:tcPr>
          <w:p w:rsidR="006341C4" w:rsidRPr="009A5752" w:rsidRDefault="006341C4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41C4" w:rsidRPr="009A5752" w:rsidRDefault="006341C4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341C4" w:rsidRPr="009A5752" w:rsidRDefault="006341C4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41C4" w:rsidRPr="00356632" w:rsidTr="006341C4">
        <w:trPr>
          <w:trHeight w:val="340"/>
        </w:trPr>
        <w:tc>
          <w:tcPr>
            <w:cnfStyle w:val="001000000000"/>
            <w:tcW w:w="2541" w:type="dxa"/>
          </w:tcPr>
          <w:p w:rsidR="006341C4" w:rsidRPr="006341C4" w:rsidRDefault="006341C4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</w:rPr>
            </w:pPr>
            <w:r w:rsidRPr="006341C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</w:rPr>
              <w:t xml:space="preserve">    CHD incidence</w:t>
            </w:r>
          </w:p>
        </w:tc>
        <w:tc>
          <w:tcPr>
            <w:tcW w:w="897" w:type="dxa"/>
          </w:tcPr>
          <w:p w:rsidR="006341C4" w:rsidRPr="006341C4" w:rsidRDefault="006341C4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745" w:type="dxa"/>
          </w:tcPr>
          <w:p w:rsidR="006341C4" w:rsidRPr="006341C4" w:rsidRDefault="006341C4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6341C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780" w:type="dxa"/>
          </w:tcPr>
          <w:p w:rsidR="006341C4" w:rsidRPr="006341C4" w:rsidRDefault="006341C4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6341C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0.84 (0.73-0.95)</w:t>
            </w:r>
          </w:p>
        </w:tc>
        <w:tc>
          <w:tcPr>
            <w:tcW w:w="1903" w:type="dxa"/>
          </w:tcPr>
          <w:p w:rsidR="006341C4" w:rsidRPr="006341C4" w:rsidRDefault="006341C4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6341C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68%, 0.005</w:t>
            </w:r>
          </w:p>
        </w:tc>
        <w:tc>
          <w:tcPr>
            <w:tcW w:w="1710" w:type="dxa"/>
            <w:vMerge w:val="restart"/>
            <w:vAlign w:val="center"/>
          </w:tcPr>
          <w:p w:rsidR="006341C4" w:rsidRPr="006341C4" w:rsidRDefault="006341C4" w:rsidP="006341C4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6341C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0.03</w:t>
            </w:r>
          </w:p>
        </w:tc>
      </w:tr>
      <w:tr w:rsidR="006341C4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6341C4" w:rsidRPr="006341C4" w:rsidRDefault="006341C4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</w:rPr>
            </w:pPr>
            <w:r w:rsidRPr="006341C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</w:rPr>
              <w:t xml:space="preserve">    CHD death</w:t>
            </w:r>
          </w:p>
        </w:tc>
        <w:tc>
          <w:tcPr>
            <w:tcW w:w="897" w:type="dxa"/>
          </w:tcPr>
          <w:p w:rsidR="006341C4" w:rsidRPr="006341C4" w:rsidRDefault="006341C4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745" w:type="dxa"/>
          </w:tcPr>
          <w:p w:rsidR="006341C4" w:rsidRPr="006341C4" w:rsidRDefault="006341C4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6341C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780" w:type="dxa"/>
          </w:tcPr>
          <w:p w:rsidR="006341C4" w:rsidRPr="006341C4" w:rsidRDefault="006341C4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6341C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0.54 (0.22-0.86)</w:t>
            </w:r>
          </w:p>
        </w:tc>
        <w:tc>
          <w:tcPr>
            <w:tcW w:w="1903" w:type="dxa"/>
          </w:tcPr>
          <w:p w:rsidR="006341C4" w:rsidRPr="006341C4" w:rsidRDefault="006341C4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6341C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10" w:type="dxa"/>
            <w:vMerge/>
          </w:tcPr>
          <w:p w:rsidR="006341C4" w:rsidRPr="006341C4" w:rsidRDefault="006341C4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Follow-up duration 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≤</w:t>
            </w: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1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0</w:t>
            </w: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years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1.10 (0.36-1.84)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62%, 0.10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0.97</w:t>
            </w: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&gt;</w:t>
            </w: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1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0</w:t>
            </w: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years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9F0C89" w:rsidRPr="009A5752" w:rsidRDefault="005D12F7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0.80 (0.6</w:t>
            </w:r>
            <w:r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8</w:t>
            </w:r>
            <w:r w:rsidR="009F0C89">
              <w:rPr>
                <w:rFonts w:asciiTheme="majorBidi" w:hAnsiTheme="majorBidi" w:cstheme="majorBidi"/>
                <w:sz w:val="20"/>
                <w:szCs w:val="20"/>
              </w:rPr>
              <w:t>-0.92)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76%, 0.001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352CA6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2CA6">
              <w:rPr>
                <w:rFonts w:asciiTheme="majorBidi" w:hAnsiTheme="majorBidi" w:cstheme="majorBidi"/>
                <w:sz w:val="20"/>
                <w:szCs w:val="20"/>
              </w:rPr>
              <w:t>Number of participants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&lt; 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20,000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9F0C89" w:rsidRPr="009A5752" w:rsidRDefault="009F0C89" w:rsidP="005D12F7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0.89 (0.5</w:t>
            </w:r>
            <w:r w:rsidR="005D12F7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-1.</w:t>
            </w:r>
            <w:r w:rsidR="005D12F7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5D12F7"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03" w:type="dxa"/>
          </w:tcPr>
          <w:p w:rsidR="009F0C89" w:rsidRPr="009A5752" w:rsidRDefault="009F0C89" w:rsidP="005D12F7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5D12F7">
              <w:rPr>
                <w:rFonts w:asciiTheme="majorBidi" w:hAnsiTheme="majorBidi" w:cstheme="majorBidi"/>
                <w:sz w:val="20"/>
                <w:szCs w:val="20"/>
              </w:rPr>
              <w:t>1%, 0.2</w:t>
            </w:r>
            <w:r w:rsidR="005D12F7" w:rsidRPr="005D12F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0.74</w:t>
            </w: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&gt; 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20,000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0.80 (0.67-0.93)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80%, &lt; 0.001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Exclusion preexisting CVD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 w:rsidRPr="009A5752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 </w:t>
            </w:r>
          </w:p>
        </w:tc>
        <w:tc>
          <w:tcPr>
            <w:tcW w:w="745" w:type="dxa"/>
          </w:tcPr>
          <w:p w:rsidR="009F0C89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9F0C89" w:rsidRDefault="00C17732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70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(0.5</w:t>
            </w:r>
            <w:r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-0.8</w:t>
            </w:r>
            <w:r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3</w:t>
            </w:r>
            <w:r w:rsidR="009F0C89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03" w:type="dxa"/>
          </w:tcPr>
          <w:p w:rsidR="009F0C89" w:rsidRDefault="009F0C89" w:rsidP="00C17732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9%, 0.29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 0.001</w:t>
            </w: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745" w:type="dxa"/>
          </w:tcPr>
          <w:p w:rsidR="009F0C89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9F0C89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0.93 (0.87-1.00)</w:t>
            </w:r>
          </w:p>
        </w:tc>
        <w:tc>
          <w:tcPr>
            <w:tcW w:w="1903" w:type="dxa"/>
          </w:tcPr>
          <w:p w:rsidR="009F0C89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51%, 0.15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C352F4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Adjustments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C352F4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352F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Body mass index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 w:rsidRPr="009A5752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0.80 (0.69-0.92)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72%, 0.002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1.61 (0.71-2.51)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C352F4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352F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Smoking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 w:rsidRPr="009A5752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780" w:type="dxa"/>
          </w:tcPr>
          <w:p w:rsidR="009F0C89" w:rsidRPr="009A5752" w:rsidRDefault="009F0C89" w:rsidP="00C17732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0.81 (0.6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-0.93)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74%, 0.001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0.62</w:t>
            </w: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0.82 (0.51-1.13)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Alcohol consumption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Yes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0.80 (0.67-0.93)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80%, &lt; 0.001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0.74</w:t>
            </w: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9F0C89" w:rsidRPr="009A5752" w:rsidRDefault="009F0C89" w:rsidP="00C17732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</w:t>
            </w:r>
            <w:r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(0.5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-1.</w:t>
            </w:r>
            <w:r w:rsidR="00C17732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03" w:type="dxa"/>
          </w:tcPr>
          <w:p w:rsidR="009F0C89" w:rsidRPr="009A5752" w:rsidRDefault="009F0C89" w:rsidP="00C17732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%, 0.22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Physical activity 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Yes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0.83 (0.71-0.96)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81%, 0.001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</w:t>
            </w: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:rsidR="009F0C89" w:rsidRPr="009A5752" w:rsidRDefault="009F0C89" w:rsidP="00C17732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7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(0.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51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-1.0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44%, 0.15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History of diab</w:t>
            </w: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</w:t>
            </w: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Yes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0.85 (0.74-0.96)</w:t>
            </w:r>
          </w:p>
        </w:tc>
        <w:tc>
          <w:tcPr>
            <w:tcW w:w="1903" w:type="dxa"/>
          </w:tcPr>
          <w:p w:rsidR="009F0C89" w:rsidRPr="009A5752" w:rsidRDefault="00C17732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</w:t>
            </w:r>
            <w:r w:rsidR="009F0C89">
              <w:rPr>
                <w:rFonts w:asciiTheme="majorBidi" w:hAnsiTheme="majorBidi" w:cstheme="majorBidi"/>
                <w:sz w:val="20"/>
                <w:szCs w:val="20"/>
              </w:rPr>
              <w:t>%, 0.02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0.01</w:t>
            </w: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1.03 (0.14-1.93)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75%, 0.04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Energy intake 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Yes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0.80 (0.67-0.93)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80%, &lt; 0.001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0.74</w:t>
            </w: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9F0C89" w:rsidRPr="009A5752" w:rsidRDefault="009F0C89" w:rsidP="00C17732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0.89 (0.5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-1.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</w:t>
            </w:r>
            <w:r w:rsidR="00C17732">
              <w:rPr>
                <w:rFonts w:asciiTheme="majorBidi" w:hAnsiTheme="majorBidi" w:cstheme="majorBidi"/>
                <w:sz w:val="20"/>
                <w:szCs w:val="20"/>
              </w:rPr>
              <w:t>%, 0.2</w:t>
            </w:r>
            <w:r w:rsidR="00C17732"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Intake of saturated fats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Yes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0.66 (0.54-0.78)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0%, 0.62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 0.001</w:t>
            </w: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:rsidR="009F0C89" w:rsidRPr="009A5752" w:rsidRDefault="00C17732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0.93 (0.8</w:t>
            </w:r>
            <w:r w:rsidRPr="00C177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6</w:t>
            </w:r>
            <w:r w:rsidR="009F0C89">
              <w:rPr>
                <w:rFonts w:asciiTheme="majorBidi" w:hAnsiTheme="majorBidi" w:cstheme="majorBidi"/>
                <w:sz w:val="20"/>
                <w:szCs w:val="20"/>
              </w:rPr>
              <w:t>-1.01)</w:t>
            </w:r>
          </w:p>
        </w:tc>
        <w:tc>
          <w:tcPr>
            <w:tcW w:w="1903" w:type="dxa"/>
          </w:tcPr>
          <w:p w:rsidR="009F0C89" w:rsidRPr="009A5752" w:rsidRDefault="002C5B4B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2C5B4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8</w:t>
            </w:r>
            <w:r w:rsidR="009F0C89">
              <w:rPr>
                <w:rFonts w:asciiTheme="majorBidi" w:hAnsiTheme="majorBidi" w:cstheme="majorBidi"/>
                <w:sz w:val="20"/>
                <w:szCs w:val="20"/>
              </w:rPr>
              <w:t>%, 0.18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Intake of polyunsaturated fats</w:t>
            </w: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Yes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0.64 (0.51-0.77)</w:t>
            </w:r>
          </w:p>
        </w:tc>
        <w:tc>
          <w:tcPr>
            <w:tcW w:w="1903" w:type="dxa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0%, 0.75</w:t>
            </w:r>
          </w:p>
        </w:tc>
        <w:tc>
          <w:tcPr>
            <w:tcW w:w="1710" w:type="dxa"/>
            <w:vMerge w:val="restart"/>
            <w:vAlign w:val="center"/>
          </w:tcPr>
          <w:p w:rsidR="009F0C89" w:rsidRPr="009A5752" w:rsidRDefault="009F0C89" w:rsidP="009F0C89">
            <w:pPr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 0.001</w:t>
            </w:r>
          </w:p>
        </w:tc>
      </w:tr>
      <w:tr w:rsidR="009F0C89" w:rsidRPr="00356632" w:rsidTr="009F0C89">
        <w:trPr>
          <w:trHeight w:val="340"/>
        </w:trPr>
        <w:tc>
          <w:tcPr>
            <w:cnfStyle w:val="001000000000"/>
            <w:tcW w:w="2541" w:type="dxa"/>
          </w:tcPr>
          <w:p w:rsidR="009F0C89" w:rsidRPr="009A5752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7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9A5752">
              <w:rPr>
                <w:rFonts w:asciiTheme="majorBidi" w:hAnsiTheme="majorBidi" w:cstheme="majorBidi"/>
                <w:sz w:val="20"/>
                <w:szCs w:val="20"/>
              </w:rPr>
              <w:t xml:space="preserve">No </w:t>
            </w:r>
          </w:p>
        </w:tc>
        <w:tc>
          <w:tcPr>
            <w:tcW w:w="745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0.93 (0.86-1.00)</w:t>
            </w:r>
          </w:p>
        </w:tc>
        <w:tc>
          <w:tcPr>
            <w:tcW w:w="1903" w:type="dxa"/>
          </w:tcPr>
          <w:p w:rsidR="009F0C89" w:rsidRPr="009A5752" w:rsidRDefault="002C5B4B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2C5B4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5</w:t>
            </w:r>
            <w:r w:rsidR="009F0C89">
              <w:rPr>
                <w:rFonts w:asciiTheme="majorBidi" w:hAnsiTheme="majorBidi" w:cstheme="majorBidi"/>
                <w:sz w:val="20"/>
                <w:szCs w:val="20"/>
              </w:rPr>
              <w:t>%, 0.25</w:t>
            </w:r>
          </w:p>
        </w:tc>
        <w:tc>
          <w:tcPr>
            <w:tcW w:w="1710" w:type="dxa"/>
            <w:vMerge/>
            <w:vAlign w:val="center"/>
          </w:tcPr>
          <w:p w:rsidR="009F0C89" w:rsidRPr="009A5752" w:rsidRDefault="009F0C89" w:rsidP="009F0C89">
            <w:pPr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0C89" w:rsidRPr="00356632" w:rsidTr="009F0C89">
        <w:trPr>
          <w:cnfStyle w:val="000000100000"/>
          <w:trHeight w:val="340"/>
        </w:trPr>
        <w:tc>
          <w:tcPr>
            <w:cnfStyle w:val="001000000000"/>
            <w:tcW w:w="9576" w:type="dxa"/>
            <w:gridSpan w:val="6"/>
          </w:tcPr>
          <w:p w:rsidR="009F0C89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 w:rsidRPr="00E80B5E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E80B5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-heterogeneity within subgroups with the use of a random-effects model.</w:t>
            </w:r>
          </w:p>
          <w:p w:rsidR="009F0C89" w:rsidRDefault="009F0C89" w:rsidP="009F0C89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 w:rsidRPr="00740B7D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740B7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-heterogeneity between subgroups with the use of a fixed-effects model.</w:t>
            </w:r>
          </w:p>
          <w:p w:rsidR="009F0C89" w:rsidRPr="00356632" w:rsidRDefault="009F0C89" w:rsidP="009F0C8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Abbreviation</w:t>
            </w:r>
            <w:r w:rsidR="0085030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s: CVD, cardiovascular disease; RR, relative risk. </w:t>
            </w:r>
          </w:p>
        </w:tc>
      </w:tr>
    </w:tbl>
    <w:p w:rsidR="009F0C89" w:rsidRDefault="009F0C89" w:rsidP="009F0C89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9F0C89" w:rsidP="00781545"/>
    <w:p w:rsidR="009F0C89" w:rsidRDefault="00E64053" w:rsidP="00781545">
      <w:r w:rsidRPr="00E64053">
        <w:rPr>
          <w:noProof/>
        </w:rPr>
        <w:drawing>
          <wp:inline distT="0" distB="0" distL="0" distR="0">
            <wp:extent cx="5589059" cy="3600000"/>
            <wp:effectExtent l="0" t="0" r="0" b="0"/>
            <wp:docPr id="3" name="Picture 3" descr="J:\Vitamin B6 and CHD\Figures\B9 funn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Vitamin B6 and CHD\Figures\B9 funn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5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45" w:rsidRDefault="00781545" w:rsidP="00781545"/>
    <w:p w:rsidR="005853AC" w:rsidRDefault="005853AC" w:rsidP="0085030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55F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6E555F">
        <w:rPr>
          <w:rFonts w:asciiTheme="majorBidi" w:hAnsiTheme="majorBidi" w:cstheme="majorBidi"/>
          <w:b/>
          <w:bCs/>
          <w:sz w:val="24"/>
          <w:szCs w:val="24"/>
        </w:rPr>
        <w:t xml:space="preserve">igure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03921">
        <w:rPr>
          <w:rFonts w:asciiTheme="majorBidi" w:hAnsiTheme="majorBidi" w:cstheme="majorBidi"/>
          <w:sz w:val="24"/>
          <w:szCs w:val="24"/>
        </w:rPr>
        <w:t>Funnel plot</w:t>
      </w:r>
      <w:r>
        <w:rPr>
          <w:rFonts w:asciiTheme="majorBidi" w:hAnsiTheme="majorBidi" w:cstheme="majorBidi"/>
          <w:sz w:val="24"/>
          <w:szCs w:val="24"/>
        </w:rPr>
        <w:t xml:space="preserve"> of the relative risks of </w:t>
      </w:r>
      <w:r w:rsidR="009F0C89">
        <w:rPr>
          <w:rFonts w:asciiTheme="majorBidi" w:hAnsiTheme="majorBidi" w:cstheme="majorBidi"/>
          <w:sz w:val="24"/>
          <w:szCs w:val="24"/>
        </w:rPr>
        <w:t>nine</w:t>
      </w:r>
      <w:r>
        <w:rPr>
          <w:rFonts w:asciiTheme="majorBidi" w:hAnsiTheme="majorBidi" w:cstheme="majorBidi"/>
          <w:sz w:val="24"/>
          <w:szCs w:val="24"/>
        </w:rPr>
        <w:t xml:space="preserve"> studies on </w:t>
      </w:r>
      <w:r w:rsidR="009F0C89">
        <w:rPr>
          <w:rFonts w:asciiTheme="majorBidi" w:hAnsiTheme="majorBidi" w:cstheme="majorBidi"/>
          <w:sz w:val="24"/>
          <w:szCs w:val="24"/>
        </w:rPr>
        <w:t>folate intake and risk of coronary heart disease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03921">
        <w:rPr>
          <w:rFonts w:asciiTheme="majorBidi" w:eastAsia="FreeSerif" w:hAnsiTheme="majorBidi" w:cstheme="majorBidi"/>
          <w:sz w:val="24"/>
          <w:szCs w:val="24"/>
        </w:rPr>
        <w:t xml:space="preserve">Begg’s test </w:t>
      </w:r>
      <w:r w:rsidRPr="001A1201">
        <w:rPr>
          <w:rFonts w:asciiTheme="majorBidi" w:eastAsia="FreeSerif" w:hAnsiTheme="majorBidi" w:cstheme="majorBidi"/>
          <w:i/>
          <w:iCs/>
          <w:sz w:val="24"/>
          <w:szCs w:val="24"/>
        </w:rPr>
        <w:t>P</w:t>
      </w:r>
      <w:r w:rsidRPr="00E03921">
        <w:rPr>
          <w:rFonts w:asciiTheme="majorBidi" w:eastAsia="FreeSerif" w:hAnsiTheme="majorBidi" w:cstheme="majorBidi"/>
          <w:sz w:val="24"/>
          <w:szCs w:val="24"/>
        </w:rPr>
        <w:t>=0.</w:t>
      </w:r>
      <w:r w:rsidR="00E64053">
        <w:rPr>
          <w:rFonts w:asciiTheme="majorBidi" w:eastAsia="FreeSerif" w:hAnsiTheme="majorBidi" w:cstheme="majorBidi"/>
          <w:sz w:val="24"/>
          <w:szCs w:val="24"/>
        </w:rPr>
        <w:t>25</w:t>
      </w:r>
      <w:r w:rsidRPr="00E03921">
        <w:rPr>
          <w:rFonts w:asciiTheme="majorBidi" w:eastAsia="FreeSerif" w:hAnsiTheme="majorBidi" w:cstheme="majorBidi"/>
          <w:sz w:val="24"/>
          <w:szCs w:val="24"/>
        </w:rPr>
        <w:t xml:space="preserve">, Egger’s test </w:t>
      </w:r>
      <w:r w:rsidRPr="001A1201">
        <w:rPr>
          <w:rFonts w:asciiTheme="majorBidi" w:eastAsia="FreeSerif" w:hAnsiTheme="majorBidi" w:cstheme="majorBidi"/>
          <w:i/>
          <w:iCs/>
          <w:sz w:val="24"/>
          <w:szCs w:val="24"/>
        </w:rPr>
        <w:t>P</w:t>
      </w:r>
      <w:r w:rsidRPr="00E03921">
        <w:rPr>
          <w:rFonts w:asciiTheme="majorBidi" w:eastAsia="FreeSerif" w:hAnsiTheme="majorBidi" w:cstheme="majorBidi"/>
          <w:sz w:val="24"/>
          <w:szCs w:val="24"/>
        </w:rPr>
        <w:t>=0.</w:t>
      </w:r>
      <w:r w:rsidR="00E64053">
        <w:rPr>
          <w:rFonts w:asciiTheme="majorBidi" w:eastAsia="FreeSerif" w:hAnsiTheme="majorBidi" w:cstheme="majorBidi"/>
          <w:sz w:val="24"/>
          <w:szCs w:val="24"/>
        </w:rPr>
        <w:t>72</w:t>
      </w:r>
      <w:r w:rsidRPr="00E03921">
        <w:rPr>
          <w:rFonts w:asciiTheme="majorBidi" w:eastAsia="FreeSerif" w:hAnsiTheme="majorBidi" w:cstheme="majorBidi"/>
          <w:sz w:val="24"/>
          <w:szCs w:val="24"/>
        </w:rPr>
        <w:t xml:space="preserve">. </w:t>
      </w:r>
      <w:r w:rsidRPr="00E03921">
        <w:rPr>
          <w:rFonts w:asciiTheme="majorBidi" w:hAnsiTheme="majorBidi" w:cstheme="majorBidi"/>
          <w:sz w:val="24"/>
          <w:szCs w:val="24"/>
        </w:rPr>
        <w:t>Log RR: natur</w:t>
      </w:r>
      <w:r w:rsidR="00814039">
        <w:rPr>
          <w:rFonts w:asciiTheme="majorBidi" w:hAnsiTheme="majorBidi" w:cstheme="majorBidi"/>
          <w:sz w:val="24"/>
          <w:szCs w:val="24"/>
        </w:rPr>
        <w:t>al logarithm of relative risk. S.E</w:t>
      </w:r>
      <w:r w:rsidRPr="00E03921">
        <w:rPr>
          <w:rFonts w:asciiTheme="majorBidi" w:hAnsiTheme="majorBidi" w:cstheme="majorBidi"/>
          <w:sz w:val="24"/>
          <w:szCs w:val="24"/>
        </w:rPr>
        <w:t>: standard error.</w:t>
      </w:r>
    </w:p>
    <w:p w:rsidR="00781545" w:rsidRDefault="00781545" w:rsidP="00781545"/>
    <w:p w:rsidR="00781545" w:rsidRDefault="00781545" w:rsidP="00781545"/>
    <w:p w:rsidR="009F0C89" w:rsidRDefault="009F0C89" w:rsidP="00781545"/>
    <w:p w:rsidR="009F0C89" w:rsidRDefault="009F0C89" w:rsidP="00781545"/>
    <w:p w:rsidR="00781545" w:rsidRDefault="00781545" w:rsidP="00781545"/>
    <w:p w:rsidR="00781545" w:rsidRDefault="00781545" w:rsidP="00781545"/>
    <w:p w:rsidR="00781545" w:rsidRDefault="00781545" w:rsidP="00781545"/>
    <w:p w:rsidR="00F91182" w:rsidRDefault="00F91182" w:rsidP="00781545"/>
    <w:p w:rsidR="00781545" w:rsidRDefault="00781545" w:rsidP="00781545"/>
    <w:p w:rsidR="00FF494E" w:rsidRDefault="005E1A1C" w:rsidP="00781545">
      <w:r w:rsidRPr="005E1A1C">
        <w:rPr>
          <w:noProof/>
        </w:rPr>
        <w:drawing>
          <wp:inline distT="0" distB="0" distL="0" distR="0">
            <wp:extent cx="6028796" cy="3600000"/>
            <wp:effectExtent l="0" t="0" r="0" b="0"/>
            <wp:docPr id="4" name="Picture 4" descr="J:\Vitamin B6 and CHD\Figures\B9 line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Vitamin B6 and CHD\Figures\B9 linea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9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4E" w:rsidRDefault="009F0C89" w:rsidP="00781545">
      <w:pPr>
        <w:rPr>
          <w:rFonts w:ascii="Times New Roman" w:eastAsia="FreeSerif" w:hAnsi="Times New Roman" w:cs="Times New Roman"/>
          <w:sz w:val="24"/>
          <w:szCs w:val="24"/>
        </w:rPr>
      </w:pPr>
      <w:r w:rsidRPr="002E0D62">
        <w:rPr>
          <w:rFonts w:ascii="Times New Roman" w:eastAsia="FreeSerif" w:hAnsi="Times New Roman" w:cs="Times New Roman"/>
          <w:b/>
          <w:bCs/>
          <w:sz w:val="24"/>
          <w:szCs w:val="24"/>
        </w:rPr>
        <w:t>Suppleme</w:t>
      </w:r>
      <w:r>
        <w:rPr>
          <w:rFonts w:ascii="Times New Roman" w:eastAsia="FreeSerif" w:hAnsi="Times New Roman" w:cs="Times New Roman"/>
          <w:b/>
          <w:bCs/>
          <w:sz w:val="24"/>
          <w:szCs w:val="24"/>
        </w:rPr>
        <w:t>ntary F</w:t>
      </w:r>
      <w:r w:rsidRPr="002E0D62">
        <w:rPr>
          <w:rFonts w:ascii="Times New Roman" w:eastAsia="FreeSerif" w:hAnsi="Times New Roman" w:cs="Times New Roman"/>
          <w:b/>
          <w:bCs/>
          <w:sz w:val="24"/>
          <w:szCs w:val="24"/>
        </w:rPr>
        <w:t>igure 2</w:t>
      </w:r>
      <w:r>
        <w:rPr>
          <w:rFonts w:ascii="Times New Roman" w:eastAsia="FreeSerif" w:hAnsi="Times New Roman" w:cs="Times New Roman"/>
          <w:b/>
          <w:bCs/>
          <w:sz w:val="24"/>
          <w:szCs w:val="24"/>
        </w:rPr>
        <w:t xml:space="preserve">. </w:t>
      </w:r>
      <w:r w:rsidRPr="009F0C89">
        <w:rPr>
          <w:rFonts w:ascii="Times New Roman" w:eastAsia="FreeSerif" w:hAnsi="Times New Roman" w:cs="Times New Roman"/>
          <w:sz w:val="24"/>
          <w:szCs w:val="24"/>
        </w:rPr>
        <w:t>R</w:t>
      </w:r>
      <w:r>
        <w:rPr>
          <w:rFonts w:ascii="Times New Roman" w:eastAsia="FreeSerif" w:hAnsi="Times New Roman" w:cs="Times New Roman"/>
          <w:sz w:val="24"/>
          <w:szCs w:val="24"/>
        </w:rPr>
        <w:t>elative</w:t>
      </w:r>
      <w:r w:rsidR="0004352C">
        <w:rPr>
          <w:rFonts w:ascii="Times New Roman" w:eastAsia="FreeSerif" w:hAnsi="Times New Roman" w:cs="Times New Roman"/>
          <w:sz w:val="24"/>
          <w:szCs w:val="24"/>
        </w:rPr>
        <w:t xml:space="preserve"> risk of coronary heart disease</w:t>
      </w:r>
      <w:r>
        <w:rPr>
          <w:rFonts w:ascii="Times New Roman" w:eastAsia="FreeSerif" w:hAnsi="Times New Roman" w:cs="Times New Roman"/>
          <w:sz w:val="24"/>
          <w:szCs w:val="24"/>
        </w:rPr>
        <w:t xml:space="preserve"> for a 250 </w:t>
      </w:r>
      <w:r w:rsidR="0004352C" w:rsidRPr="0004352C">
        <w:rPr>
          <w:rStyle w:val="st"/>
          <w:rFonts w:asciiTheme="majorBidi" w:hAnsiTheme="majorBidi" w:cstheme="majorBidi"/>
          <w:sz w:val="24"/>
          <w:szCs w:val="24"/>
        </w:rPr>
        <w:t>µg</w:t>
      </w:r>
      <w:r w:rsidR="0004352C" w:rsidRPr="0004352C">
        <w:rPr>
          <w:rFonts w:asciiTheme="majorBidi" w:hAnsiTheme="majorBidi" w:cstheme="majorBidi"/>
          <w:sz w:val="24"/>
          <w:szCs w:val="24"/>
        </w:rPr>
        <w:t>/d</w:t>
      </w:r>
      <w:r w:rsidR="0004352C" w:rsidRPr="0004352C">
        <w:rPr>
          <w:rFonts w:ascii="Times New Roman" w:eastAsia="FreeSerif" w:hAnsi="Times New Roman" w:cs="Times New Roman"/>
          <w:sz w:val="32"/>
          <w:szCs w:val="32"/>
        </w:rPr>
        <w:t xml:space="preserve"> </w:t>
      </w:r>
      <w:r>
        <w:rPr>
          <w:rFonts w:ascii="Times New Roman" w:eastAsia="FreeSerif" w:hAnsi="Times New Roman" w:cs="Times New Roman"/>
          <w:sz w:val="24"/>
          <w:szCs w:val="24"/>
        </w:rPr>
        <w:t xml:space="preserve">increment in folate intake. </w:t>
      </w:r>
      <w:r w:rsidR="005E1A1C">
        <w:rPr>
          <w:rFonts w:ascii="Times New Roman" w:eastAsia="FreeSerif" w:hAnsi="Times New Roman" w:cs="Times New Roman"/>
          <w:sz w:val="24"/>
          <w:szCs w:val="24"/>
        </w:rPr>
        <w:t xml:space="preserve">RR: relative risk. </w:t>
      </w:r>
    </w:p>
    <w:p w:rsidR="006924BD" w:rsidRDefault="006924BD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814039" w:rsidRDefault="00814039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814039" w:rsidRDefault="00814039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781545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Pr="009F0C89" w:rsidRDefault="00814039" w:rsidP="00781545">
      <w:r w:rsidRPr="00814039">
        <w:rPr>
          <w:noProof/>
        </w:rPr>
        <w:drawing>
          <wp:inline distT="0" distB="0" distL="0" distR="0">
            <wp:extent cx="5440256" cy="3600000"/>
            <wp:effectExtent l="0" t="0" r="0" b="0"/>
            <wp:docPr id="2" name="Picture 2" descr="J:\Vitamin B6 and CHD\Figures\B6 funn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Vitamin B6 and CHD\Figures\B6 funn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5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59" w:rsidRDefault="002B3159" w:rsidP="00781545"/>
    <w:p w:rsidR="006924BD" w:rsidRDefault="006924BD" w:rsidP="0085030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55F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6E555F">
        <w:rPr>
          <w:rFonts w:asciiTheme="majorBidi" w:hAnsiTheme="majorBidi" w:cstheme="majorBidi"/>
          <w:b/>
          <w:bCs/>
          <w:sz w:val="24"/>
          <w:szCs w:val="24"/>
        </w:rPr>
        <w:t xml:space="preserve">igure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03921">
        <w:rPr>
          <w:rFonts w:asciiTheme="majorBidi" w:hAnsiTheme="majorBidi" w:cstheme="majorBidi"/>
          <w:sz w:val="24"/>
          <w:szCs w:val="24"/>
        </w:rPr>
        <w:t>Funnel plot</w:t>
      </w:r>
      <w:r>
        <w:rPr>
          <w:rFonts w:asciiTheme="majorBidi" w:hAnsiTheme="majorBidi" w:cstheme="majorBidi"/>
          <w:sz w:val="24"/>
          <w:szCs w:val="24"/>
        </w:rPr>
        <w:t xml:space="preserve"> of the relative risks of eight studies on vitamin B6 intake and risk of coronary heart disease. </w:t>
      </w:r>
      <w:r w:rsidRPr="00E03921">
        <w:rPr>
          <w:rFonts w:asciiTheme="majorBidi" w:eastAsia="FreeSerif" w:hAnsiTheme="majorBidi" w:cstheme="majorBidi"/>
          <w:sz w:val="24"/>
          <w:szCs w:val="24"/>
        </w:rPr>
        <w:t xml:space="preserve">Begg’s test </w:t>
      </w:r>
      <w:r w:rsidRPr="001A1201">
        <w:rPr>
          <w:rFonts w:asciiTheme="majorBidi" w:eastAsia="FreeSerif" w:hAnsiTheme="majorBidi" w:cstheme="majorBidi"/>
          <w:i/>
          <w:iCs/>
          <w:sz w:val="24"/>
          <w:szCs w:val="24"/>
        </w:rPr>
        <w:t>P</w:t>
      </w:r>
      <w:r w:rsidRPr="00E03921">
        <w:rPr>
          <w:rFonts w:asciiTheme="majorBidi" w:eastAsia="FreeSerif" w:hAnsiTheme="majorBidi" w:cstheme="majorBidi"/>
          <w:sz w:val="24"/>
          <w:szCs w:val="24"/>
        </w:rPr>
        <w:t>=0.</w:t>
      </w:r>
      <w:r w:rsidR="002C5B4B">
        <w:rPr>
          <w:rFonts w:asciiTheme="majorBidi" w:eastAsia="FreeSerif" w:hAnsiTheme="majorBidi" w:cstheme="majorBidi"/>
          <w:sz w:val="24"/>
          <w:szCs w:val="24"/>
        </w:rPr>
        <w:t>71</w:t>
      </w:r>
      <w:r w:rsidRPr="00E03921">
        <w:rPr>
          <w:rFonts w:asciiTheme="majorBidi" w:eastAsia="FreeSerif" w:hAnsiTheme="majorBidi" w:cstheme="majorBidi"/>
          <w:sz w:val="24"/>
          <w:szCs w:val="24"/>
        </w:rPr>
        <w:t xml:space="preserve">, Egger’s test </w:t>
      </w:r>
      <w:r w:rsidRPr="001A1201">
        <w:rPr>
          <w:rFonts w:asciiTheme="majorBidi" w:eastAsia="FreeSerif" w:hAnsiTheme="majorBidi" w:cstheme="majorBidi"/>
          <w:i/>
          <w:iCs/>
          <w:sz w:val="24"/>
          <w:szCs w:val="24"/>
        </w:rPr>
        <w:t>P</w:t>
      </w:r>
      <w:r w:rsidRPr="00E03921">
        <w:rPr>
          <w:rFonts w:asciiTheme="majorBidi" w:eastAsia="FreeSerif" w:hAnsiTheme="majorBidi" w:cstheme="majorBidi"/>
          <w:sz w:val="24"/>
          <w:szCs w:val="24"/>
        </w:rPr>
        <w:t>=0.</w:t>
      </w:r>
      <w:r>
        <w:rPr>
          <w:rFonts w:asciiTheme="majorBidi" w:eastAsia="FreeSerif" w:hAnsiTheme="majorBidi" w:cstheme="majorBidi"/>
          <w:sz w:val="24"/>
          <w:szCs w:val="24"/>
        </w:rPr>
        <w:t>27</w:t>
      </w:r>
      <w:r w:rsidRPr="00E03921">
        <w:rPr>
          <w:rFonts w:asciiTheme="majorBidi" w:eastAsia="FreeSerif" w:hAnsiTheme="majorBidi" w:cstheme="majorBidi"/>
          <w:sz w:val="24"/>
          <w:szCs w:val="24"/>
        </w:rPr>
        <w:t xml:space="preserve">. </w:t>
      </w:r>
      <w:r w:rsidRPr="00E03921">
        <w:rPr>
          <w:rFonts w:asciiTheme="majorBidi" w:hAnsiTheme="majorBidi" w:cstheme="majorBidi"/>
          <w:sz w:val="24"/>
          <w:szCs w:val="24"/>
        </w:rPr>
        <w:t>Log RR: natur</w:t>
      </w:r>
      <w:r w:rsidR="00814039">
        <w:rPr>
          <w:rFonts w:asciiTheme="majorBidi" w:hAnsiTheme="majorBidi" w:cstheme="majorBidi"/>
          <w:sz w:val="24"/>
          <w:szCs w:val="24"/>
        </w:rPr>
        <w:t>al logarithm of relative risk. S.E</w:t>
      </w:r>
      <w:r w:rsidRPr="00E03921">
        <w:rPr>
          <w:rFonts w:asciiTheme="majorBidi" w:hAnsiTheme="majorBidi" w:cstheme="majorBidi"/>
          <w:sz w:val="24"/>
          <w:szCs w:val="24"/>
        </w:rPr>
        <w:t>: standard error.</w:t>
      </w:r>
    </w:p>
    <w:p w:rsidR="002B3159" w:rsidRDefault="002B3159" w:rsidP="00781545"/>
    <w:p w:rsidR="002B3159" w:rsidRDefault="002B3159" w:rsidP="00781545"/>
    <w:p w:rsidR="002B3159" w:rsidRDefault="002B3159" w:rsidP="00781545"/>
    <w:p w:rsidR="002B3159" w:rsidRDefault="002B3159" w:rsidP="00781545"/>
    <w:p w:rsidR="002B3159" w:rsidRDefault="002B3159" w:rsidP="00781545"/>
    <w:p w:rsidR="006924BD" w:rsidRDefault="006924BD" w:rsidP="00781545"/>
    <w:p w:rsidR="006924BD" w:rsidRDefault="006924BD" w:rsidP="00781545"/>
    <w:p w:rsidR="002B3159" w:rsidRDefault="002B3159" w:rsidP="00781545"/>
    <w:p w:rsidR="0085030B" w:rsidRDefault="0085030B" w:rsidP="00781545"/>
    <w:p w:rsidR="0085030B" w:rsidRDefault="0085030B" w:rsidP="00781545"/>
    <w:p w:rsidR="0085030B" w:rsidRDefault="0085030B" w:rsidP="00781545">
      <w:bookmarkStart w:id="0" w:name="_GoBack"/>
      <w:bookmarkEnd w:id="0"/>
    </w:p>
    <w:p w:rsidR="002B3159" w:rsidRDefault="001A3428" w:rsidP="00781545">
      <w:r w:rsidRPr="001A3428">
        <w:rPr>
          <w:noProof/>
        </w:rPr>
        <w:drawing>
          <wp:inline distT="0" distB="0" distL="0" distR="0">
            <wp:extent cx="6374875" cy="3600000"/>
            <wp:effectExtent l="0" t="0" r="0" b="0"/>
            <wp:docPr id="5" name="Picture 5" descr="J:\Vitamin B6 and CHD\Figures\B6- Line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Vitamin B6 and CHD\Figures\B6- Linea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7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  <w:r w:rsidRPr="002E0D62">
        <w:rPr>
          <w:rFonts w:ascii="Times New Roman" w:eastAsia="FreeSerif" w:hAnsi="Times New Roman" w:cs="Times New Roman"/>
          <w:b/>
          <w:bCs/>
          <w:sz w:val="24"/>
          <w:szCs w:val="24"/>
        </w:rPr>
        <w:t>Suppleme</w:t>
      </w:r>
      <w:r>
        <w:rPr>
          <w:rFonts w:ascii="Times New Roman" w:eastAsia="FreeSerif" w:hAnsi="Times New Roman" w:cs="Times New Roman"/>
          <w:b/>
          <w:bCs/>
          <w:sz w:val="24"/>
          <w:szCs w:val="24"/>
        </w:rPr>
        <w:t xml:space="preserve">ntary Figure 4. </w:t>
      </w:r>
      <w:r w:rsidRPr="009F0C89">
        <w:rPr>
          <w:rFonts w:ascii="Times New Roman" w:eastAsia="FreeSerif" w:hAnsi="Times New Roman" w:cs="Times New Roman"/>
          <w:sz w:val="24"/>
          <w:szCs w:val="24"/>
        </w:rPr>
        <w:t>R</w:t>
      </w:r>
      <w:r>
        <w:rPr>
          <w:rFonts w:ascii="Times New Roman" w:eastAsia="FreeSerif" w:hAnsi="Times New Roman" w:cs="Times New Roman"/>
          <w:sz w:val="24"/>
          <w:szCs w:val="24"/>
        </w:rPr>
        <w:t xml:space="preserve">elative risk of coronary heart disease for a 0.5 </w:t>
      </w:r>
      <w:r>
        <w:rPr>
          <w:rStyle w:val="st"/>
          <w:rFonts w:asciiTheme="majorBidi" w:hAnsiTheme="majorBidi" w:cstheme="majorBidi"/>
          <w:sz w:val="24"/>
          <w:szCs w:val="24"/>
        </w:rPr>
        <w:t>m</w:t>
      </w:r>
      <w:r w:rsidRPr="0004352C">
        <w:rPr>
          <w:rStyle w:val="st"/>
          <w:rFonts w:asciiTheme="majorBidi" w:hAnsiTheme="majorBidi" w:cstheme="majorBidi"/>
          <w:sz w:val="24"/>
          <w:szCs w:val="24"/>
        </w:rPr>
        <w:t>g</w:t>
      </w:r>
      <w:r w:rsidRPr="0004352C">
        <w:rPr>
          <w:rFonts w:asciiTheme="majorBidi" w:hAnsiTheme="majorBidi" w:cstheme="majorBidi"/>
          <w:sz w:val="24"/>
          <w:szCs w:val="24"/>
        </w:rPr>
        <w:t>/d</w:t>
      </w:r>
      <w:r w:rsidRPr="0004352C">
        <w:rPr>
          <w:rFonts w:ascii="Times New Roman" w:eastAsia="FreeSerif" w:hAnsi="Times New Roman" w:cs="Times New Roman"/>
          <w:sz w:val="32"/>
          <w:szCs w:val="32"/>
        </w:rPr>
        <w:t xml:space="preserve"> </w:t>
      </w:r>
      <w:r>
        <w:rPr>
          <w:rFonts w:ascii="Times New Roman" w:eastAsia="FreeSerif" w:hAnsi="Times New Roman" w:cs="Times New Roman"/>
          <w:sz w:val="24"/>
          <w:szCs w:val="24"/>
        </w:rPr>
        <w:t xml:space="preserve">increment in vitamin B6 intake. </w:t>
      </w:r>
      <w:r w:rsidR="001A3428">
        <w:rPr>
          <w:rFonts w:ascii="Times New Roman" w:hAnsi="Times New Roman" w:cs="Times New Roman"/>
          <w:sz w:val="24"/>
          <w:szCs w:val="24"/>
        </w:rPr>
        <w:t>RR: relative risk. SMHS</w:t>
      </w:r>
      <w:r w:rsidR="001A3428" w:rsidRPr="002C0E37">
        <w:rPr>
          <w:rFonts w:asciiTheme="majorBidi" w:hAnsiTheme="majorBidi" w:cstheme="majorBidi"/>
          <w:sz w:val="24"/>
          <w:szCs w:val="24"/>
        </w:rPr>
        <w:t>: Shanghai Men's Health Study; SWHS, Shanghai</w:t>
      </w:r>
      <w:r w:rsidR="001A3428">
        <w:rPr>
          <w:rFonts w:asciiTheme="majorBidi" w:hAnsiTheme="majorBidi" w:cstheme="majorBidi"/>
          <w:sz w:val="24"/>
          <w:szCs w:val="24"/>
        </w:rPr>
        <w:t xml:space="preserve"> </w:t>
      </w:r>
      <w:r w:rsidR="001A3428" w:rsidRPr="002C0E37">
        <w:rPr>
          <w:rFonts w:asciiTheme="majorBidi" w:hAnsiTheme="majorBidi" w:cstheme="majorBidi"/>
          <w:sz w:val="24"/>
          <w:szCs w:val="24"/>
        </w:rPr>
        <w:t>Women's Health Study</w:t>
      </w:r>
      <w:r w:rsidR="001A3428">
        <w:rPr>
          <w:rFonts w:asciiTheme="majorBidi" w:hAnsiTheme="majorBidi" w:cstheme="majorBidi"/>
          <w:sz w:val="24"/>
          <w:szCs w:val="24"/>
        </w:rPr>
        <w:t>.</w:t>
      </w: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6924BD" w:rsidP="006924BD">
      <w:pPr>
        <w:rPr>
          <w:rFonts w:ascii="Times New Roman" w:eastAsia="FreeSerif" w:hAnsi="Times New Roman" w:cs="Times New Roman"/>
          <w:sz w:val="24"/>
          <w:szCs w:val="24"/>
        </w:rPr>
      </w:pPr>
    </w:p>
    <w:p w:rsidR="006924BD" w:rsidRDefault="002608A3" w:rsidP="006924BD">
      <w:pPr>
        <w:rPr>
          <w:rFonts w:ascii="Times New Roman" w:eastAsia="FreeSerif" w:hAnsi="Times New Roman" w:cs="Times New Roman"/>
          <w:sz w:val="24"/>
          <w:szCs w:val="24"/>
        </w:rPr>
      </w:pPr>
      <w:r w:rsidRPr="002608A3">
        <w:rPr>
          <w:rFonts w:ascii="Times New Roman" w:eastAsia="FreeSerif" w:hAnsi="Times New Roman" w:cs="Times New Roman"/>
          <w:noProof/>
          <w:sz w:val="24"/>
          <w:szCs w:val="24"/>
        </w:rPr>
        <w:drawing>
          <wp:inline distT="0" distB="0" distL="0" distR="0">
            <wp:extent cx="6325338" cy="3312000"/>
            <wp:effectExtent l="0" t="0" r="0" b="0"/>
            <wp:docPr id="6" name="Picture 6" descr="J:\Vitamin B6 and CHD\Figures\B12 Line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Vitamin B6 and CHD\Figures\B12 Linear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338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BD" w:rsidRDefault="006924BD" w:rsidP="00775AD2">
      <w:pPr>
        <w:rPr>
          <w:rFonts w:ascii="Times New Roman" w:eastAsia="FreeSerif" w:hAnsi="Times New Roman" w:cs="Times New Roman"/>
          <w:sz w:val="24"/>
          <w:szCs w:val="24"/>
        </w:rPr>
      </w:pPr>
      <w:r w:rsidRPr="002E0D62">
        <w:rPr>
          <w:rFonts w:ascii="Times New Roman" w:eastAsia="FreeSerif" w:hAnsi="Times New Roman" w:cs="Times New Roman"/>
          <w:b/>
          <w:bCs/>
          <w:sz w:val="24"/>
          <w:szCs w:val="24"/>
        </w:rPr>
        <w:t>Suppleme</w:t>
      </w:r>
      <w:r>
        <w:rPr>
          <w:rFonts w:ascii="Times New Roman" w:eastAsia="FreeSerif" w:hAnsi="Times New Roman" w:cs="Times New Roman"/>
          <w:b/>
          <w:bCs/>
          <w:sz w:val="24"/>
          <w:szCs w:val="24"/>
        </w:rPr>
        <w:t xml:space="preserve">ntary Figure 5. </w:t>
      </w:r>
      <w:r w:rsidRPr="009F0C89">
        <w:rPr>
          <w:rFonts w:ascii="Times New Roman" w:eastAsia="FreeSerif" w:hAnsi="Times New Roman" w:cs="Times New Roman"/>
          <w:sz w:val="24"/>
          <w:szCs w:val="24"/>
        </w:rPr>
        <w:t>R</w:t>
      </w:r>
      <w:r>
        <w:rPr>
          <w:rFonts w:ascii="Times New Roman" w:eastAsia="FreeSerif" w:hAnsi="Times New Roman" w:cs="Times New Roman"/>
          <w:sz w:val="24"/>
          <w:szCs w:val="24"/>
        </w:rPr>
        <w:t xml:space="preserve">elative risk of coronary heart disease for a 3 </w:t>
      </w:r>
      <w:r w:rsidR="00775AD2" w:rsidRPr="00775AD2">
        <w:rPr>
          <w:rStyle w:val="st"/>
          <w:rFonts w:asciiTheme="majorBidi" w:hAnsiTheme="majorBidi" w:cstheme="majorBidi"/>
          <w:sz w:val="24"/>
          <w:szCs w:val="24"/>
        </w:rPr>
        <w:t>µg</w:t>
      </w:r>
      <w:r w:rsidR="00775AD2" w:rsidRPr="00775AD2">
        <w:rPr>
          <w:rFonts w:asciiTheme="majorBidi" w:hAnsiTheme="majorBidi" w:cstheme="majorBidi"/>
          <w:sz w:val="24"/>
          <w:szCs w:val="24"/>
        </w:rPr>
        <w:t>/d</w:t>
      </w:r>
      <w:r w:rsidR="00775AD2" w:rsidRPr="00775AD2">
        <w:rPr>
          <w:rFonts w:ascii="Times New Roman" w:eastAsia="FreeSerif" w:hAnsi="Times New Roman" w:cs="Times New Roman"/>
          <w:sz w:val="32"/>
          <w:szCs w:val="32"/>
        </w:rPr>
        <w:t xml:space="preserve"> </w:t>
      </w:r>
      <w:r>
        <w:rPr>
          <w:rFonts w:ascii="Times New Roman" w:eastAsia="FreeSerif" w:hAnsi="Times New Roman" w:cs="Times New Roman"/>
          <w:sz w:val="24"/>
          <w:szCs w:val="24"/>
        </w:rPr>
        <w:t xml:space="preserve">increment in vitamin B12 intake. </w:t>
      </w:r>
      <w:r w:rsidR="002608A3">
        <w:rPr>
          <w:rFonts w:ascii="Times New Roman" w:eastAsia="FreeSerif" w:hAnsi="Times New Roman" w:cs="Times New Roman"/>
          <w:sz w:val="24"/>
          <w:szCs w:val="24"/>
        </w:rPr>
        <w:t xml:space="preserve">RR: relative risk. </w:t>
      </w:r>
    </w:p>
    <w:p w:rsidR="006924BD" w:rsidRDefault="006924BD" w:rsidP="00781545"/>
    <w:p w:rsidR="006924BD" w:rsidRDefault="006924BD" w:rsidP="00781545"/>
    <w:p w:rsidR="006924BD" w:rsidRDefault="006924BD" w:rsidP="00781545"/>
    <w:p w:rsidR="006924BD" w:rsidRDefault="006924BD" w:rsidP="00781545"/>
    <w:p w:rsidR="006924BD" w:rsidRDefault="006924BD" w:rsidP="00781545"/>
    <w:p w:rsidR="006924BD" w:rsidRDefault="006924BD" w:rsidP="00781545"/>
    <w:p w:rsidR="006924BD" w:rsidRDefault="006924BD" w:rsidP="00781545"/>
    <w:p w:rsidR="002B3159" w:rsidRDefault="002B3159" w:rsidP="00781545"/>
    <w:p w:rsidR="00F91182" w:rsidRDefault="00F91182" w:rsidP="00781545"/>
    <w:p w:rsidR="00F91182" w:rsidRDefault="00F91182" w:rsidP="00781545"/>
    <w:p w:rsidR="00FF494E" w:rsidRPr="006A379A" w:rsidRDefault="00FF494E" w:rsidP="00FF494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56632">
        <w:rPr>
          <w:rFonts w:asciiTheme="majorBidi" w:hAnsiTheme="majorBidi" w:cstheme="majorBidi"/>
          <w:b/>
          <w:sz w:val="24"/>
          <w:szCs w:val="24"/>
        </w:rPr>
        <w:lastRenderedPageBreak/>
        <w:t>MOOSE Checklist</w:t>
      </w:r>
    </w:p>
    <w:tbl>
      <w:tblPr>
        <w:tblW w:w="1017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62"/>
        <w:gridCol w:w="3179"/>
        <w:gridCol w:w="5213"/>
        <w:gridCol w:w="1316"/>
      </w:tblGrid>
      <w:tr w:rsidR="00FF494E" w:rsidRPr="00356632" w:rsidTr="00FE0AEE">
        <w:trPr>
          <w:cantSplit/>
        </w:trPr>
        <w:tc>
          <w:tcPr>
            <w:tcW w:w="3641" w:type="dxa"/>
            <w:gridSpan w:val="2"/>
            <w:shd w:val="clear" w:color="auto" w:fill="D9D9D9"/>
          </w:tcPr>
          <w:p w:rsidR="00FF494E" w:rsidRPr="00356632" w:rsidRDefault="00FF494E" w:rsidP="00FE0AEE">
            <w:pPr>
              <w:tabs>
                <w:tab w:val="center" w:pos="1651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Criteria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213" w:type="dxa"/>
            <w:shd w:val="clear" w:color="auto" w:fill="D9D9D9"/>
          </w:tcPr>
          <w:p w:rsidR="00FF494E" w:rsidRPr="00356632" w:rsidRDefault="00FF494E" w:rsidP="00FE0A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316" w:type="dxa"/>
            <w:shd w:val="clear" w:color="auto" w:fill="D9D9D9"/>
          </w:tcPr>
          <w:p w:rsidR="00FF494E" w:rsidRPr="00356632" w:rsidRDefault="00FF494E" w:rsidP="00FE0A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35663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Pages</w:t>
            </w:r>
          </w:p>
        </w:tc>
      </w:tr>
      <w:tr w:rsidR="00FF494E" w:rsidRPr="00356632" w:rsidTr="00FE0AEE">
        <w:trPr>
          <w:cantSplit/>
        </w:trPr>
        <w:tc>
          <w:tcPr>
            <w:tcW w:w="3641" w:type="dxa"/>
            <w:gridSpan w:val="2"/>
          </w:tcPr>
          <w:p w:rsidR="00FF494E" w:rsidRPr="00356632" w:rsidRDefault="00FF494E" w:rsidP="00FE0A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Reporting of background should include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FF494E" w:rsidP="00FE0AE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Problem definition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See introduction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P3/4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Hypothesis statement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See introduction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P3/4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Description of study outcomes</w:t>
            </w:r>
          </w:p>
        </w:tc>
        <w:tc>
          <w:tcPr>
            <w:tcW w:w="5213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Coronary h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art dis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as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</w:t>
            </w:r>
            <w:r w:rsidR="00253A8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5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Type of exposure or intervention used</w:t>
            </w:r>
          </w:p>
        </w:tc>
        <w:tc>
          <w:tcPr>
            <w:tcW w:w="5213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F494E">
              <w:rPr>
                <w:rFonts w:asciiTheme="majorBidi" w:hAnsiTheme="majorBidi" w:cstheme="majorBidi"/>
                <w:sz w:val="20"/>
                <w:szCs w:val="20"/>
              </w:rPr>
              <w:t>ntake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 of vitamin B6, B12, and folat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FF49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</w:t>
            </w:r>
            <w:r w:rsidR="00253A8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5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Type of study designs used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We included prospective 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>cohort studies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P5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Study population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General population aged more than 18 years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P5</w:t>
            </w:r>
          </w:p>
        </w:tc>
      </w:tr>
      <w:tr w:rsidR="00FF494E" w:rsidRPr="00356632" w:rsidTr="00FE0AEE">
        <w:trPr>
          <w:cantSplit/>
        </w:trPr>
        <w:tc>
          <w:tcPr>
            <w:tcW w:w="3641" w:type="dxa"/>
            <w:gridSpan w:val="2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Reporting of search strategy should include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Qualifications of searchers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The credentials of the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three investigators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 are indicated in the author gage.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Title  page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Search strategy, including time period included in the synthesis and keywords</w:t>
            </w:r>
          </w:p>
        </w:tc>
        <w:tc>
          <w:tcPr>
            <w:tcW w:w="5213" w:type="dxa"/>
          </w:tcPr>
          <w:p w:rsidR="00FF494E" w:rsidRPr="00356632" w:rsidRDefault="00FF494E" w:rsidP="00253A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PubMed and Scopus from their inception up to </w:t>
            </w:r>
            <w:r w:rsidR="00253A8B">
              <w:rPr>
                <w:rFonts w:asciiTheme="majorBidi" w:hAnsiTheme="majorBidi" w:cstheme="majorBidi"/>
                <w:sz w:val="20"/>
                <w:szCs w:val="20"/>
              </w:rPr>
              <w:t>April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53A8B">
              <w:rPr>
                <w:rFonts w:asciiTheme="majorBidi" w:hAnsiTheme="majorBidi" w:cstheme="majorBidi"/>
                <w:sz w:val="20"/>
                <w:szCs w:val="20"/>
              </w:rPr>
              <w:t xml:space="preserve">30, 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>201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</w:t>
            </w:r>
            <w:r w:rsidR="00253A8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5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Databases and registries searched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PubMed and Scopus from inception </w:t>
            </w:r>
            <w:r w:rsidR="00253A8B"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up to </w:t>
            </w:r>
            <w:r w:rsidR="00253A8B">
              <w:rPr>
                <w:rFonts w:asciiTheme="majorBidi" w:hAnsiTheme="majorBidi" w:cstheme="majorBidi"/>
                <w:sz w:val="20"/>
                <w:szCs w:val="20"/>
              </w:rPr>
              <w:t>April</w:t>
            </w:r>
            <w:r w:rsidR="00253A8B"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53A8B">
              <w:rPr>
                <w:rFonts w:asciiTheme="majorBidi" w:hAnsiTheme="majorBidi" w:cstheme="majorBidi"/>
                <w:sz w:val="20"/>
                <w:szCs w:val="20"/>
              </w:rPr>
              <w:t xml:space="preserve">30, </w:t>
            </w:r>
            <w:r w:rsidR="00253A8B" w:rsidRPr="00356632">
              <w:rPr>
                <w:rFonts w:asciiTheme="majorBidi" w:hAnsiTheme="majorBidi" w:cstheme="majorBidi"/>
                <w:sz w:val="20"/>
                <w:szCs w:val="20"/>
              </w:rPr>
              <w:t>201</w:t>
            </w:r>
            <w:r w:rsidR="00253A8B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P5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Search software used, name and version, including special features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We did not employ search software. EndNote was used to merge retrieved citations and eliminate duplications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-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Use of hand searching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We hand-searched bibliographies of retrieved papers for additional references,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</w:t>
            </w:r>
            <w:r w:rsidR="00253A8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5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List of citations located and those excluded, including justifications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Details of the literature search process are outlined in the flow chart.  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P7/8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Method of addressing articles published in languages other than English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We placed restrictions on language to English papers 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P5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Method of handling abstracts and unpublished studies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We did not find relevant abstracts. 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-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Description of any contact with authors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None.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-</w:t>
            </w:r>
          </w:p>
        </w:tc>
      </w:tr>
      <w:tr w:rsidR="00FF494E" w:rsidRPr="00356632" w:rsidTr="00FE0AEE">
        <w:trPr>
          <w:cantSplit/>
        </w:trPr>
        <w:tc>
          <w:tcPr>
            <w:tcW w:w="3641" w:type="dxa"/>
            <w:gridSpan w:val="2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Reporting of methods should include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Description of relevance or appropriateness of studies assembled for assessing the hypothesis to be 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tested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Detailed inclusion and exclusion criteria were described in the methods section. 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P5</w:t>
            </w:r>
            <w:r w:rsidR="00FF494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/Figure 1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lastRenderedPageBreak/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Rationale for the selection and coding of data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Data extracted from each of the studies were relevant to the population characteristics, study design, exposure, outcomes, and possible effect modifiers of the association.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P6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Assessment of confounding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When a study provided several estimates with adjustment for different confounders, results were reported for the one adjusting for the largest number of factors.</w:t>
            </w:r>
          </w:p>
          <w:p w:rsidR="00FF494E" w:rsidRPr="00356632" w:rsidRDefault="00FF494E" w:rsidP="00FE0AEE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Subgroup analyses based on some of the study and participants characteristics and covariates were conducted </w:t>
            </w:r>
          </w:p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P6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Assessment of study quality, including blinding of quality assessors; stratification or regression on possible predictors of study results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Each study was independently reviewed by two authors. 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P6</w:t>
            </w:r>
            <w:r w:rsidR="00FF494E" w:rsidRPr="003566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/ Table 1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Assessment of heterogeneity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Heterogeneity of the studies were explored using Cochrane’s Q test of heterogeneity and I</w:t>
            </w:r>
            <w:r w:rsidRPr="00356632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 statistic that provides the relative amount of variance of the summary effect due to the between-study heterogeneity.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P6/7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Description of statistical methods in sufficient detail to be replicated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Descriptions of two types of analyses are detailed in Methods section.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P6/7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Provision of appropriate tables and graphics</w:t>
            </w:r>
          </w:p>
        </w:tc>
        <w:tc>
          <w:tcPr>
            <w:tcW w:w="5213" w:type="dxa"/>
          </w:tcPr>
          <w:p w:rsidR="00FF494E" w:rsidRPr="00356632" w:rsidRDefault="00FF494E" w:rsidP="00253A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We included 1 studies characteristics table,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1 summary results table, 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253A8B">
              <w:rPr>
                <w:rFonts w:asciiTheme="majorBidi" w:hAnsiTheme="majorBidi" w:cstheme="majorBidi"/>
                <w:sz w:val="20"/>
                <w:szCs w:val="20"/>
              </w:rPr>
              <w:t>four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 forest plots. 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Figures and Tables</w:t>
            </w:r>
          </w:p>
        </w:tc>
      </w:tr>
      <w:tr w:rsidR="00FF494E" w:rsidRPr="00356632" w:rsidTr="00FE0AEE">
        <w:trPr>
          <w:cantSplit/>
        </w:trPr>
        <w:tc>
          <w:tcPr>
            <w:tcW w:w="3641" w:type="dxa"/>
            <w:gridSpan w:val="2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Reporting of results should include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Graph summarizing individual study estimates and overall estimate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Figure 2-4</w:t>
            </w:r>
          </w:p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Figures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Table giving descriptive information for each study included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Table 1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Table 1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Results of sensitivity testing</w:t>
            </w:r>
          </w:p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See results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P9/10/11/12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Indication of statistical uncertainty of findings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95% confidence intervals were presented with all summary estimates, I</w:t>
            </w:r>
            <w:r w:rsidRPr="00356632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 values and results of sensitivity analyses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P9/10/11/12</w:t>
            </w:r>
          </w:p>
        </w:tc>
      </w:tr>
      <w:tr w:rsidR="00FF494E" w:rsidRPr="00356632" w:rsidTr="00FE0AEE">
        <w:trPr>
          <w:cantSplit/>
        </w:trPr>
        <w:tc>
          <w:tcPr>
            <w:tcW w:w="3641" w:type="dxa"/>
            <w:gridSpan w:val="2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Reporting of discussion should include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Quantitative assessment of bias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P9/10/11/12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Justification for exclusion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We excluded studies that were outliers.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P9/10/11/12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 xml:space="preserve">Assessment of quality of included 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studies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We discussed the results of the sensitivity and subgroup </w:t>
            </w:r>
            <w:r w:rsidRPr="0035663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analyses</w:t>
            </w: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lastRenderedPageBreak/>
              <w:t>P9/10/11/12</w:t>
            </w:r>
          </w:p>
        </w:tc>
      </w:tr>
      <w:tr w:rsidR="00FF494E" w:rsidRPr="00356632" w:rsidTr="00FE0AEE">
        <w:trPr>
          <w:cantSplit/>
        </w:trPr>
        <w:tc>
          <w:tcPr>
            <w:tcW w:w="3641" w:type="dxa"/>
            <w:gridSpan w:val="2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Reporting of conclusions should include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Consideration of alternative explanations for observed results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</w:t>
            </w:r>
            <w:r w:rsidR="00253A8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12/13/14/15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Generalization of the conclusions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B03C30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</w:t>
            </w:r>
            <w:r w:rsidR="00253A8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16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Guidelines for future research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F494E" w:rsidRPr="00356632" w:rsidRDefault="00253A8B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P16</w:t>
            </w:r>
          </w:p>
        </w:tc>
      </w:tr>
      <w:tr w:rsidR="00FF494E" w:rsidRPr="00356632" w:rsidTr="00FE0AEE">
        <w:tc>
          <w:tcPr>
            <w:tcW w:w="462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sym w:font="Symbol" w:char="F0D6"/>
            </w:r>
          </w:p>
        </w:tc>
        <w:tc>
          <w:tcPr>
            <w:tcW w:w="3179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56632">
              <w:rPr>
                <w:rFonts w:asciiTheme="majorBidi" w:hAnsiTheme="majorBidi" w:cstheme="majorBidi"/>
                <w:sz w:val="20"/>
                <w:szCs w:val="20"/>
              </w:rPr>
              <w:t>Disclosure of funding source</w:t>
            </w:r>
          </w:p>
        </w:tc>
        <w:tc>
          <w:tcPr>
            <w:tcW w:w="5213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03263">
              <w:rPr>
                <w:rFonts w:asciiTheme="majorBidi" w:hAnsiTheme="majorBidi" w:cstheme="majorBidi"/>
                <w:sz w:val="20"/>
                <w:szCs w:val="20"/>
              </w:rPr>
              <w:t>This research did not receive any specific grant from funding agencies in the public, commercial, or not-for-profit sectors.</w:t>
            </w:r>
          </w:p>
        </w:tc>
        <w:tc>
          <w:tcPr>
            <w:tcW w:w="1316" w:type="dxa"/>
          </w:tcPr>
          <w:p w:rsidR="00FF494E" w:rsidRPr="00356632" w:rsidRDefault="00FF494E" w:rsidP="00FE0AEE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P1</w:t>
            </w:r>
            <w:r w:rsidR="00253A8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6</w:t>
            </w:r>
          </w:p>
        </w:tc>
      </w:tr>
    </w:tbl>
    <w:p w:rsidR="00FF494E" w:rsidRPr="00356632" w:rsidRDefault="00FF494E" w:rsidP="00FF494E">
      <w:pPr>
        <w:rPr>
          <w:rFonts w:asciiTheme="majorBidi" w:hAnsiTheme="majorBidi" w:cstheme="majorBidi"/>
        </w:rPr>
      </w:pPr>
    </w:p>
    <w:p w:rsidR="00FF494E" w:rsidRDefault="00FF494E" w:rsidP="00FF494E"/>
    <w:p w:rsidR="00FF494E" w:rsidRDefault="00FF494E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sectPr w:rsidR="00781545" w:rsidSect="00E5414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1B" w:rsidRDefault="00F76F1B" w:rsidP="00DB6E43">
      <w:pPr>
        <w:spacing w:after="0" w:line="240" w:lineRule="auto"/>
      </w:pPr>
      <w:r>
        <w:separator/>
      </w:r>
    </w:p>
  </w:endnote>
  <w:endnote w:type="continuationSeparator" w:id="0">
    <w:p w:rsidR="00F76F1B" w:rsidRDefault="00F76F1B" w:rsidP="00DB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595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843c571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PSSy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1524"/>
      <w:docPartObj>
        <w:docPartGallery w:val="Page Numbers (Bottom of Page)"/>
        <w:docPartUnique/>
      </w:docPartObj>
    </w:sdtPr>
    <w:sdtContent>
      <w:p w:rsidR="005E1A1C" w:rsidRDefault="00190472">
        <w:pPr>
          <w:pStyle w:val="Footer"/>
          <w:jc w:val="center"/>
        </w:pPr>
        <w:r>
          <w:fldChar w:fldCharType="begin"/>
        </w:r>
        <w:r w:rsidR="005E1A1C">
          <w:instrText xml:space="preserve"> PAGE   \* MERGEFORMAT </w:instrText>
        </w:r>
        <w:r>
          <w:fldChar w:fldCharType="separate"/>
        </w:r>
        <w:r w:rsidR="00A30CB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E1A1C" w:rsidRDefault="005E1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1B" w:rsidRDefault="00F76F1B" w:rsidP="00DB6E43">
      <w:pPr>
        <w:spacing w:after="0" w:line="240" w:lineRule="auto"/>
      </w:pPr>
      <w:r>
        <w:separator/>
      </w:r>
    </w:p>
  </w:footnote>
  <w:footnote w:type="continuationSeparator" w:id="0">
    <w:p w:rsidR="00F76F1B" w:rsidRDefault="00F76F1B" w:rsidP="00DB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C" w:rsidRDefault="005E1A1C" w:rsidP="00DB6E43">
    <w:pPr>
      <w:pStyle w:val="Header"/>
      <w:jc w:val="center"/>
    </w:pPr>
    <w:r>
      <w:t xml:space="preserve">Supplementary Material </w:t>
    </w:r>
  </w:p>
  <w:p w:rsidR="005E1A1C" w:rsidRDefault="005E1A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E43"/>
    <w:rsid w:val="0004352C"/>
    <w:rsid w:val="000706EF"/>
    <w:rsid w:val="0011333F"/>
    <w:rsid w:val="00116519"/>
    <w:rsid w:val="00190472"/>
    <w:rsid w:val="001A3428"/>
    <w:rsid w:val="001A553A"/>
    <w:rsid w:val="001B5A8F"/>
    <w:rsid w:val="00231FF7"/>
    <w:rsid w:val="00253A8B"/>
    <w:rsid w:val="002608A3"/>
    <w:rsid w:val="0026570D"/>
    <w:rsid w:val="002B3159"/>
    <w:rsid w:val="002B4550"/>
    <w:rsid w:val="002C5B4B"/>
    <w:rsid w:val="002E02B1"/>
    <w:rsid w:val="003150C7"/>
    <w:rsid w:val="003F732D"/>
    <w:rsid w:val="00410B9D"/>
    <w:rsid w:val="0045596C"/>
    <w:rsid w:val="00472674"/>
    <w:rsid w:val="00484459"/>
    <w:rsid w:val="0054127D"/>
    <w:rsid w:val="005853AC"/>
    <w:rsid w:val="005D12F7"/>
    <w:rsid w:val="005E1A1C"/>
    <w:rsid w:val="00600FEE"/>
    <w:rsid w:val="00623FE4"/>
    <w:rsid w:val="006341C4"/>
    <w:rsid w:val="00677057"/>
    <w:rsid w:val="006924BD"/>
    <w:rsid w:val="006C43E7"/>
    <w:rsid w:val="006E2C85"/>
    <w:rsid w:val="00775AD2"/>
    <w:rsid w:val="00781545"/>
    <w:rsid w:val="007940AC"/>
    <w:rsid w:val="007A66B7"/>
    <w:rsid w:val="007B42E6"/>
    <w:rsid w:val="00814039"/>
    <w:rsid w:val="0085030B"/>
    <w:rsid w:val="0088593C"/>
    <w:rsid w:val="009B0232"/>
    <w:rsid w:val="009C39A1"/>
    <w:rsid w:val="009F0C89"/>
    <w:rsid w:val="00A30CBB"/>
    <w:rsid w:val="00A44D6C"/>
    <w:rsid w:val="00A71C4A"/>
    <w:rsid w:val="00A77E04"/>
    <w:rsid w:val="00A846BE"/>
    <w:rsid w:val="00AB2B00"/>
    <w:rsid w:val="00B03C30"/>
    <w:rsid w:val="00B059D3"/>
    <w:rsid w:val="00B744C2"/>
    <w:rsid w:val="00BE31F6"/>
    <w:rsid w:val="00C02E10"/>
    <w:rsid w:val="00C069B6"/>
    <w:rsid w:val="00C17732"/>
    <w:rsid w:val="00CB0823"/>
    <w:rsid w:val="00CC3D8E"/>
    <w:rsid w:val="00CC42EA"/>
    <w:rsid w:val="00CE3931"/>
    <w:rsid w:val="00D3122E"/>
    <w:rsid w:val="00D508D5"/>
    <w:rsid w:val="00D71980"/>
    <w:rsid w:val="00D87A2F"/>
    <w:rsid w:val="00DB6E43"/>
    <w:rsid w:val="00E54144"/>
    <w:rsid w:val="00E63889"/>
    <w:rsid w:val="00E64053"/>
    <w:rsid w:val="00ED5F9C"/>
    <w:rsid w:val="00EF1D97"/>
    <w:rsid w:val="00F06866"/>
    <w:rsid w:val="00F26361"/>
    <w:rsid w:val="00F67206"/>
    <w:rsid w:val="00F76F1B"/>
    <w:rsid w:val="00F90F9C"/>
    <w:rsid w:val="00F91182"/>
    <w:rsid w:val="00FD59DD"/>
    <w:rsid w:val="00FE0AEE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44"/>
  </w:style>
  <w:style w:type="paragraph" w:styleId="Heading2">
    <w:name w:val="heading 2"/>
    <w:basedOn w:val="Normal"/>
    <w:next w:val="Normal"/>
    <w:link w:val="Heading2Char"/>
    <w:qFormat/>
    <w:rsid w:val="00F6720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43"/>
  </w:style>
  <w:style w:type="paragraph" w:styleId="Footer">
    <w:name w:val="footer"/>
    <w:basedOn w:val="Normal"/>
    <w:link w:val="FooterChar"/>
    <w:uiPriority w:val="99"/>
    <w:unhideWhenUsed/>
    <w:rsid w:val="00DB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43"/>
  </w:style>
  <w:style w:type="paragraph" w:styleId="BalloonText">
    <w:name w:val="Balloon Text"/>
    <w:basedOn w:val="Normal"/>
    <w:link w:val="BalloonTextChar"/>
    <w:uiPriority w:val="99"/>
    <w:semiHidden/>
    <w:unhideWhenUsed/>
    <w:rsid w:val="00DB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67206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Emphasis">
    <w:name w:val="Emphasis"/>
    <w:uiPriority w:val="20"/>
    <w:qFormat/>
    <w:rsid w:val="00F26361"/>
    <w:rPr>
      <w:i/>
      <w:iCs/>
    </w:rPr>
  </w:style>
  <w:style w:type="character" w:customStyle="1" w:styleId="st">
    <w:name w:val="st"/>
    <w:basedOn w:val="DefaultParagraphFont"/>
    <w:rsid w:val="002B3159"/>
  </w:style>
  <w:style w:type="table" w:customStyle="1" w:styleId="PlainTable21">
    <w:name w:val="Plain Table 21"/>
    <w:basedOn w:val="TableNormal"/>
    <w:uiPriority w:val="42"/>
    <w:rsid w:val="009F0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weapon</dc:creator>
  <cp:lastModifiedBy>kaaviya.p</cp:lastModifiedBy>
  <cp:revision>2</cp:revision>
  <dcterms:created xsi:type="dcterms:W3CDTF">2018-11-12T09:29:00Z</dcterms:created>
  <dcterms:modified xsi:type="dcterms:W3CDTF">2018-11-12T09:29:00Z</dcterms:modified>
</cp:coreProperties>
</file>