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C" w:rsidRDefault="00671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Table 1. Multivariable logistic regression analysis for all-cause 30-day mortality associated with DB</w:t>
      </w:r>
    </w:p>
    <w:p w:rsidR="00D92E4C" w:rsidRDefault="00D92E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26"/>
        <w:gridCol w:w="1691"/>
        <w:gridCol w:w="869"/>
        <w:gridCol w:w="942"/>
        <w:gridCol w:w="992"/>
      </w:tblGrid>
      <w:tr w:rsidR="00D92E4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Adjusted</w:t>
            </w:r>
          </w:p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odds ratio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95% confidence interval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p value</w:t>
            </w:r>
          </w:p>
        </w:tc>
      </w:tr>
      <w:tr w:rsidR="00D92E4C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Sex</w:t>
            </w:r>
          </w:p>
        </w:tc>
        <w:tc>
          <w:tcPr>
            <w:tcW w:w="2026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Female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0.57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0.52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.62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Age (years)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20-49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50-64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1.29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0.99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0.062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65-74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0.004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75-84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≥85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1.57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1.15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0.004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BMI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(kg/m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18.5-24.9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&lt;18.5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25-29.9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0.426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≥30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0.69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0.785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Barthel Index</w:t>
            </w:r>
            <w:r w:rsidR="00E15E2E"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 xml:space="preserve"> score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95-100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0-90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3.29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3.65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Cancer stage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0.86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III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0.51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4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IV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0.006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HF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1.71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1.44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CRF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1.64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1.34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2.03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CLD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1.48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1.21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1.82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CvD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1.16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0.99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0.07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COPD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0.79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0.69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0.90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BA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0.68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0.53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0.002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IP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2.21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1.93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2.53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OMN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2.34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2.15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cBB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0.81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0.73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rEBUS-GS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0.45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0.35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0.58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EBUS-TBNA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0.63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0.52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Hospital volume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Very low ( &lt;51)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(cases per year)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Low (51-100)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0.830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High (101-300)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Very high ( &gt;301)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0.73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0.58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0.005</w:t>
            </w:r>
          </w:p>
        </w:tc>
      </w:tr>
    </w:tbl>
    <w:p w:rsidR="00D92E4C" w:rsidRDefault="00D9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</w:p>
    <w:p w:rsidR="00D92E4C" w:rsidRDefault="00671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t>DB, diagnostic bronchoscopy; HF, heart failure; CRF, chronic renal failure; CLD, chronic liver disease; CvD, cerebrovascular disease; COPD, chronic obstructive pulmonary disease; BA, bronchial asthma; IP, interstitial pneumonia; OMN, other malignant neoplasms; cBB, conventional bronchoscopic biopsy; rEBUS-GS, radial endobronchial ultrasound with guide sheath method; EBUS-TBNA, endobronchial ultrasound-guided transbronchial needle aspiration</w:t>
      </w:r>
    </w:p>
    <w:p w:rsidR="00D92E4C" w:rsidRDefault="00671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br w:type="page"/>
      </w:r>
    </w:p>
    <w:p w:rsidR="00D92E4C" w:rsidRDefault="00671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  <w:color w:val="auto"/>
          <w:sz w:val="24"/>
          <w:szCs w:val="24"/>
          <w:lang w:eastAsia="ja-JP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. Multivariable logistic regression analysis for all-cause 30-day mortality associated with DB</w:t>
      </w:r>
      <w:r>
        <w:rPr>
          <w:rFonts w:ascii="Times New Roman" w:hAnsi="Times New Roman" w:cs="Times New Roman" w:hint="eastAsia"/>
          <w:color w:val="auto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t xml:space="preserve">in patients with low ADL (Barthel Index </w:t>
      </w:r>
      <w:r w:rsidR="00E15E2E">
        <w:rPr>
          <w:rFonts w:ascii="Times New Roman" w:hAnsi="Times New Roman" w:cs="Times New Roman"/>
          <w:color w:val="auto"/>
          <w:sz w:val="24"/>
          <w:szCs w:val="24"/>
          <w:lang w:eastAsia="ja-JP"/>
        </w:rPr>
        <w:t xml:space="preserve">score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t>&lt; 95)</w:t>
      </w:r>
    </w:p>
    <w:p w:rsidR="00D92E4C" w:rsidRDefault="00D92E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26"/>
        <w:gridCol w:w="1691"/>
        <w:gridCol w:w="869"/>
        <w:gridCol w:w="942"/>
        <w:gridCol w:w="992"/>
      </w:tblGrid>
      <w:tr w:rsidR="00D92E4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Adjusted</w:t>
            </w:r>
          </w:p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odds ratio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95% confidence interval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p value</w:t>
            </w:r>
          </w:p>
        </w:tc>
      </w:tr>
      <w:tr w:rsidR="00D92E4C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Sex</w:t>
            </w:r>
          </w:p>
        </w:tc>
        <w:tc>
          <w:tcPr>
            <w:tcW w:w="2026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Female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0.59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0.51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0.69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Age (years)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20-49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50-64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1.45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0.88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2.38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0.147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65-74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0.128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75-84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0.241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≥85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1.40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0.82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2.40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0.216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BMI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(kg/m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18.5-24.9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&lt;18.5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25-29.9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1.06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0.618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≥30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0.781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Cancer stage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0.63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0.952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III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0.432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IV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0.101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HF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1.30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0.99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1.69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0.051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CRF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1.58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.11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.26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.011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CLD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.15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.81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.427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CvD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.02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.80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.31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.833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COPD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.86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.69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.174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BA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.46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.29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.72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IP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.87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.47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.38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OMN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.45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.27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cBB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.79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0.68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0.91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rEBUS-GS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.56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.38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.85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.006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EBUS-TBNA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.64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.47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.89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.008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Hospital volume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Very low ( &lt;51)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(cases per year)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Low (51-100)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.90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.364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High (101-300)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.021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Very high ( &gt;301)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.84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.62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.276</w:t>
            </w:r>
          </w:p>
        </w:tc>
      </w:tr>
    </w:tbl>
    <w:p w:rsidR="00D92E4C" w:rsidRDefault="00D9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</w:p>
    <w:p w:rsidR="00D92E4C" w:rsidRDefault="00671A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t>DB, diagnostic bronchoscopy; HF, heart failure; CRF, chronic renal failure; CLD, chronic liver disease; CvD, cerebrovascular disease; COPD, chronic obstructive pulmonary disease; BA, bronchial asthma; IP, interstitial pneumonia; OMN, other malignant neoplasms; cBB, conventional bronchoscopic biopsy; rEBUS-GS, radial endobronchial ultrasound with guide sheath method; EBUS-TBNA, endobronchial ultrasound-guided transbronchial needle aspiration</w:t>
      </w:r>
    </w:p>
    <w:p w:rsidR="00D92E4C" w:rsidRDefault="00671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br w:type="page"/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Supplementary Table 3. Multivariable logistic regression analysis for all-cause 30-day mortality associated with DB in patients with stage IV lung cancer</w:t>
      </w:r>
    </w:p>
    <w:p w:rsidR="00D92E4C" w:rsidRDefault="00D92E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026"/>
        <w:gridCol w:w="1691"/>
        <w:gridCol w:w="869"/>
        <w:gridCol w:w="942"/>
        <w:gridCol w:w="992"/>
      </w:tblGrid>
      <w:tr w:rsidR="00D92E4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Adjusted</w:t>
            </w:r>
          </w:p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odds ratio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95% confidence interval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p value</w:t>
            </w:r>
          </w:p>
        </w:tc>
      </w:tr>
      <w:tr w:rsidR="00D92E4C"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Sex</w:t>
            </w:r>
          </w:p>
        </w:tc>
        <w:tc>
          <w:tcPr>
            <w:tcW w:w="2026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Female</w:t>
            </w: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.51</w:t>
            </w:r>
          </w:p>
        </w:tc>
        <w:tc>
          <w:tcPr>
            <w:tcW w:w="869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.41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.62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Age (years)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20-49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50-64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.85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.071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65-74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.019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75-84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.029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≥85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.31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5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.037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BMI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(kg/m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18.5-24.9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&lt;18.5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.001</w:t>
            </w:r>
          </w:p>
        </w:tc>
      </w:tr>
      <w:tr w:rsidR="00D92E4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D92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25-29.9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.951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.71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2E4C" w:rsidRDefault="00671A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ja-JP"/>
              </w:rPr>
              <w:t>.736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≥30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.425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Barthel Index</w:t>
            </w:r>
            <w:r w:rsidR="00E15E2E"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 score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95-100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0-90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HF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.20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.80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.80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.387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CRF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.28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.40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CLD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.52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.93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.49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.095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CvD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.08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.74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.56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.696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COPD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.79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.58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.08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.137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BA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.68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.37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.24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IP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.91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.36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2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OMN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.60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.30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.95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cBB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.87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.70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.07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.202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rEBUS-GS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.70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.42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.15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0.156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EBUS-TBNA</w:t>
            </w:r>
          </w:p>
        </w:tc>
        <w:tc>
          <w:tcPr>
            <w:tcW w:w="2026" w:type="dxa"/>
            <w:tcBorders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691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.69</w:t>
            </w:r>
          </w:p>
        </w:tc>
        <w:tc>
          <w:tcPr>
            <w:tcW w:w="869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.46</w:t>
            </w:r>
          </w:p>
        </w:tc>
        <w:tc>
          <w:tcPr>
            <w:tcW w:w="94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.04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.076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 xml:space="preserve">Hospital volume </w:t>
            </w:r>
          </w:p>
        </w:tc>
        <w:tc>
          <w:tcPr>
            <w:tcW w:w="2026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Very low ( &lt;51)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Reference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(cases per year)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Low (51-100)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.268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High (101-300)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&lt;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0.001</w:t>
            </w:r>
          </w:p>
        </w:tc>
      </w:tr>
      <w:tr w:rsidR="00D92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D92E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noWrap/>
            <w:hideMark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Very high ( &gt;301)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.54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.37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.81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D92E4C" w:rsidRDefault="00671A9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</w:pPr>
            <w:r>
              <w:rPr>
                <w:rFonts w:ascii="Times New Roman" w:eastAsia="ＭＳ Ｐゴシック" w:hAnsi="Times New Roman" w:cs="Times New Roman" w:hint="eastAsia"/>
                <w:color w:val="auto"/>
                <w:kern w:val="0"/>
                <w:sz w:val="24"/>
                <w:szCs w:val="24"/>
                <w:lang w:eastAsia="ja-JP"/>
              </w:rPr>
              <w:t>0</w:t>
            </w:r>
            <w:r>
              <w:rPr>
                <w:rFonts w:ascii="Times New Roman" w:eastAsia="ＭＳ Ｐゴシック" w:hAnsi="Times New Roman" w:cs="Times New Roman"/>
                <w:color w:val="auto"/>
                <w:kern w:val="0"/>
                <w:sz w:val="24"/>
                <w:szCs w:val="24"/>
                <w:lang w:eastAsia="ja-JP"/>
              </w:rPr>
              <w:t>.002</w:t>
            </w:r>
          </w:p>
        </w:tc>
      </w:tr>
    </w:tbl>
    <w:p w:rsidR="00D92E4C" w:rsidRDefault="00D9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eastAsia="ja-JP"/>
        </w:rPr>
      </w:pPr>
    </w:p>
    <w:p w:rsidR="00D92E4C" w:rsidRPr="001A1B78" w:rsidRDefault="00671A9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ja-JP"/>
        </w:rPr>
        <w:t>DB, diagnostic bronchoscopy; HF, heart failure; CRF, chronic renal failure; CLD, chronic liver disease; CvD, cerebrovascular disease; COPD, chronic obstructive pulmonary disease; BA, bronchial asthma; IP, interstitial pneumonia; OMN, other malignant neoplasms; cBB, conventional bronchoscopic biopsy; rEBUS-GS, radial endobronchial ultrasound with guide sheath method; EBUS-TBNA, endobronchial ultrasound-guided transbronchial needle aspiration</w:t>
      </w:r>
    </w:p>
    <w:p w:rsidR="00D92E4C" w:rsidRDefault="00D92E4C"/>
    <w:sectPr w:rsidR="00D92E4C" w:rsidSect="00D92E4C">
      <w:pgSz w:w="11900" w:h="16840"/>
      <w:pgMar w:top="1701" w:right="284" w:bottom="567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88" w:rsidRDefault="00E55B88" w:rsidP="001A1B78">
      <w:r>
        <w:separator/>
      </w:r>
    </w:p>
  </w:endnote>
  <w:endnote w:type="continuationSeparator" w:id="0">
    <w:p w:rsidR="00E55B88" w:rsidRDefault="00E55B88" w:rsidP="001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88" w:rsidRDefault="00E55B88" w:rsidP="001A1B78">
      <w:r>
        <w:separator/>
      </w:r>
    </w:p>
  </w:footnote>
  <w:footnote w:type="continuationSeparator" w:id="0">
    <w:p w:rsidR="00E55B88" w:rsidRDefault="00E55B88" w:rsidP="001A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4C"/>
    <w:rsid w:val="00073E04"/>
    <w:rsid w:val="001A1B78"/>
    <w:rsid w:val="002B5879"/>
    <w:rsid w:val="00671A95"/>
    <w:rsid w:val="007B5340"/>
    <w:rsid w:val="00D92E4C"/>
    <w:rsid w:val="00E05942"/>
    <w:rsid w:val="00E15E2E"/>
    <w:rsid w:val="00E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2C246F-91D3-4F25-9EB3-3DC19EFB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jc w:val="both"/>
    </w:pPr>
    <w:rPr>
      <w:rFonts w:ascii="Century" w:eastAsia="ＭＳ 明朝" w:hAnsi="Century" w:cs="Century"/>
      <w:color w:val="000000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3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="Lucida Grande" w:eastAsia="ＭＳ 明朝" w:hAnsi="Lucida Grande" w:cs="Lucida Grande"/>
      <w:color w:val="000000"/>
      <w:sz w:val="18"/>
      <w:szCs w:val="18"/>
      <w:u w:color="000000"/>
      <w:lang w:eastAsia="en-US"/>
    </w:rPr>
  </w:style>
  <w:style w:type="paragraph" w:styleId="a6">
    <w:name w:val="header"/>
    <w:basedOn w:val="a"/>
    <w:link w:val="a7"/>
    <w:uiPriority w:val="99"/>
    <w:unhideWhenUsed/>
    <w:rsid w:val="001A1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B78"/>
    <w:rPr>
      <w:rFonts w:ascii="Century" w:eastAsia="ＭＳ 明朝" w:hAnsi="Century" w:cs="Century"/>
      <w:color w:val="000000"/>
      <w:szCs w:val="21"/>
      <w:u w:color="000000"/>
      <w:lang w:eastAsia="en-US"/>
    </w:rPr>
  </w:style>
  <w:style w:type="paragraph" w:styleId="a8">
    <w:name w:val="footer"/>
    <w:basedOn w:val="a"/>
    <w:link w:val="a9"/>
    <w:uiPriority w:val="99"/>
    <w:unhideWhenUsed/>
    <w:rsid w:val="001A1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B78"/>
    <w:rPr>
      <w:rFonts w:ascii="Century" w:eastAsia="ＭＳ 明朝" w:hAnsi="Century" w:cs="Century"/>
      <w:color w:val="000000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3944</Characters>
  <Application>Microsoft Office Word</Application>
  <DocSecurity>0</DocSecurity>
  <Lines>246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 大祐</dc:creator>
  <cp:keywords/>
  <dc:description/>
  <cp:lastModifiedBy>城 大祐</cp:lastModifiedBy>
  <cp:revision>3</cp:revision>
  <dcterms:created xsi:type="dcterms:W3CDTF">2018-09-06T00:12:00Z</dcterms:created>
  <dcterms:modified xsi:type="dcterms:W3CDTF">2018-09-06T08:40:00Z</dcterms:modified>
</cp:coreProperties>
</file>