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B5" w:rsidRDefault="00397E09" w:rsidP="00397E09">
      <w:pPr>
        <w:rPr>
          <w:b/>
        </w:rPr>
      </w:pPr>
      <w:r>
        <w:rPr>
          <w:b/>
        </w:rPr>
        <w:t>Appendix 1</w:t>
      </w:r>
      <w:r w:rsidR="008501BA">
        <w:rPr>
          <w:b/>
        </w:rPr>
        <w:t xml:space="preserve"> (online only)</w:t>
      </w:r>
      <w:r>
        <w:rPr>
          <w:b/>
        </w:rPr>
        <w:t xml:space="preserve">: </w:t>
      </w:r>
      <w:r w:rsidR="00D53CB5">
        <w:rPr>
          <w:b/>
        </w:rPr>
        <w:t>Overview of testing methods</w:t>
      </w:r>
    </w:p>
    <w:tbl>
      <w:tblPr>
        <w:tblStyle w:val="Tabellenraster"/>
        <w:tblW w:w="9576" w:type="dxa"/>
        <w:tblLayout w:type="fixed"/>
        <w:tblLook w:val="04A0" w:firstRow="1" w:lastRow="0" w:firstColumn="1" w:lastColumn="0" w:noHBand="0" w:noVBand="1"/>
      </w:tblPr>
      <w:tblGrid>
        <w:gridCol w:w="1864"/>
        <w:gridCol w:w="1964"/>
        <w:gridCol w:w="391"/>
        <w:gridCol w:w="1343"/>
        <w:gridCol w:w="2102"/>
        <w:gridCol w:w="1912"/>
      </w:tblGrid>
      <w:tr w:rsidR="00D53CB5" w:rsidRPr="005D2FE7" w:rsidTr="003F508D">
        <w:tc>
          <w:tcPr>
            <w:tcW w:w="9576" w:type="dxa"/>
            <w:gridSpan w:val="6"/>
          </w:tcPr>
          <w:p w:rsidR="00D53CB5" w:rsidRPr="00EF2A01" w:rsidRDefault="00D53CB5" w:rsidP="003F508D">
            <w:pPr>
              <w:rPr>
                <w:b/>
                <w:sz w:val="20"/>
                <w:szCs w:val="20"/>
              </w:rPr>
            </w:pPr>
            <w:r w:rsidRPr="00EF2A01">
              <w:rPr>
                <w:b/>
                <w:sz w:val="20"/>
                <w:szCs w:val="20"/>
              </w:rPr>
              <w:t xml:space="preserve">Table 1. Overview of testing methods   </w:t>
            </w:r>
          </w:p>
        </w:tc>
      </w:tr>
      <w:tr w:rsidR="00D53CB5" w:rsidRPr="005D2FE7" w:rsidTr="003F508D">
        <w:tc>
          <w:tcPr>
            <w:tcW w:w="1864" w:type="dxa"/>
            <w:tcBorders>
              <w:bottom w:val="single" w:sz="4" w:space="0" w:color="auto"/>
              <w:right w:val="nil"/>
            </w:tcBorders>
            <w:shd w:val="clear" w:color="auto" w:fill="F2F2F2" w:themeFill="background1" w:themeFillShade="F2"/>
          </w:tcPr>
          <w:p w:rsidR="00D53CB5" w:rsidRPr="00EF2A01" w:rsidRDefault="00D53CB5" w:rsidP="003F508D">
            <w:pPr>
              <w:rPr>
                <w:sz w:val="20"/>
                <w:szCs w:val="20"/>
              </w:rPr>
            </w:pPr>
            <w:r w:rsidRPr="00EF2A01">
              <w:rPr>
                <w:sz w:val="20"/>
                <w:szCs w:val="20"/>
              </w:rPr>
              <w:t>Geriatric condition</w:t>
            </w:r>
          </w:p>
        </w:tc>
        <w:tc>
          <w:tcPr>
            <w:tcW w:w="2355" w:type="dxa"/>
            <w:gridSpan w:val="2"/>
            <w:tcBorders>
              <w:left w:val="nil"/>
              <w:bottom w:val="single" w:sz="4" w:space="0" w:color="auto"/>
              <w:right w:val="nil"/>
            </w:tcBorders>
            <w:shd w:val="clear" w:color="auto" w:fill="F2F2F2" w:themeFill="background1" w:themeFillShade="F2"/>
          </w:tcPr>
          <w:p w:rsidR="00D53CB5" w:rsidRPr="00EF2A01" w:rsidRDefault="00D53CB5" w:rsidP="003F508D">
            <w:pPr>
              <w:rPr>
                <w:sz w:val="20"/>
                <w:szCs w:val="20"/>
              </w:rPr>
            </w:pPr>
            <w:r w:rsidRPr="00EF2A01">
              <w:rPr>
                <w:sz w:val="20"/>
                <w:szCs w:val="20"/>
              </w:rPr>
              <w:t>Testing method</w:t>
            </w:r>
          </w:p>
        </w:tc>
        <w:tc>
          <w:tcPr>
            <w:tcW w:w="1343" w:type="dxa"/>
            <w:tcBorders>
              <w:left w:val="nil"/>
              <w:bottom w:val="single" w:sz="4" w:space="0" w:color="auto"/>
              <w:right w:val="nil"/>
            </w:tcBorders>
            <w:shd w:val="clear" w:color="auto" w:fill="F2F2F2" w:themeFill="background1" w:themeFillShade="F2"/>
          </w:tcPr>
          <w:p w:rsidR="00D53CB5" w:rsidRPr="00EF2A01" w:rsidRDefault="00D53CB5" w:rsidP="003F508D">
            <w:pPr>
              <w:rPr>
                <w:sz w:val="20"/>
                <w:szCs w:val="20"/>
              </w:rPr>
            </w:pPr>
            <w:r w:rsidRPr="00EF2A01">
              <w:rPr>
                <w:sz w:val="20"/>
                <w:szCs w:val="20"/>
              </w:rPr>
              <w:t>Source</w:t>
            </w:r>
          </w:p>
        </w:tc>
        <w:tc>
          <w:tcPr>
            <w:tcW w:w="2102" w:type="dxa"/>
            <w:tcBorders>
              <w:left w:val="nil"/>
              <w:bottom w:val="single" w:sz="4" w:space="0" w:color="auto"/>
              <w:right w:val="nil"/>
            </w:tcBorders>
            <w:shd w:val="clear" w:color="auto" w:fill="F2F2F2" w:themeFill="background1" w:themeFillShade="F2"/>
          </w:tcPr>
          <w:p w:rsidR="00D53CB5" w:rsidRPr="004D778D" w:rsidRDefault="00D53CB5" w:rsidP="003F508D">
            <w:pPr>
              <w:rPr>
                <w:sz w:val="20"/>
                <w:szCs w:val="20"/>
              </w:rPr>
            </w:pPr>
            <w:r w:rsidRPr="004D778D">
              <w:rPr>
                <w:sz w:val="20"/>
                <w:szCs w:val="20"/>
              </w:rPr>
              <w:t xml:space="preserve">Range of score (Cut-off value) </w:t>
            </w:r>
          </w:p>
        </w:tc>
        <w:tc>
          <w:tcPr>
            <w:tcW w:w="1912" w:type="dxa"/>
            <w:tcBorders>
              <w:left w:val="nil"/>
              <w:bottom w:val="single" w:sz="4" w:space="0" w:color="auto"/>
            </w:tcBorders>
            <w:shd w:val="clear" w:color="auto" w:fill="F2F2F2" w:themeFill="background1" w:themeFillShade="F2"/>
          </w:tcPr>
          <w:p w:rsidR="00D53CB5" w:rsidRPr="0076697A" w:rsidRDefault="00D53CB5" w:rsidP="003F508D">
            <w:pPr>
              <w:rPr>
                <w:sz w:val="20"/>
                <w:szCs w:val="20"/>
              </w:rPr>
            </w:pPr>
            <w:r w:rsidRPr="0076697A">
              <w:rPr>
                <w:sz w:val="20"/>
                <w:szCs w:val="20"/>
              </w:rPr>
              <w:t>Additional information</w:t>
            </w:r>
          </w:p>
        </w:tc>
      </w:tr>
      <w:tr w:rsidR="00D53CB5" w:rsidRPr="005D2FE7" w:rsidTr="003F508D">
        <w:tc>
          <w:tcPr>
            <w:tcW w:w="7664" w:type="dxa"/>
            <w:gridSpan w:val="5"/>
            <w:tcBorders>
              <w:left w:val="nil"/>
              <w:bottom w:val="single" w:sz="4" w:space="0" w:color="auto"/>
              <w:right w:val="nil"/>
            </w:tcBorders>
            <w:shd w:val="clear" w:color="auto" w:fill="FFFFFF" w:themeFill="background1"/>
          </w:tcPr>
          <w:p w:rsidR="00D53CB5" w:rsidRPr="00EF2A01" w:rsidRDefault="00D53CB5" w:rsidP="003F508D">
            <w:pPr>
              <w:rPr>
                <w:b/>
                <w:sz w:val="20"/>
                <w:szCs w:val="20"/>
              </w:rPr>
            </w:pPr>
            <w:r w:rsidRPr="00EF2A01">
              <w:rPr>
                <w:b/>
                <w:sz w:val="20"/>
                <w:szCs w:val="20"/>
              </w:rPr>
              <w:t xml:space="preserve">Geriatric assessment </w:t>
            </w:r>
          </w:p>
        </w:tc>
        <w:tc>
          <w:tcPr>
            <w:tcW w:w="1912" w:type="dxa"/>
            <w:tcBorders>
              <w:left w:val="nil"/>
              <w:bottom w:val="single" w:sz="4" w:space="0" w:color="auto"/>
              <w:right w:val="nil"/>
            </w:tcBorders>
            <w:shd w:val="clear" w:color="auto" w:fill="FFFFFF" w:themeFill="background1"/>
          </w:tcPr>
          <w:p w:rsidR="00D53CB5" w:rsidRPr="00EF2A01" w:rsidRDefault="00D53CB5" w:rsidP="003F508D">
            <w:pPr>
              <w:rPr>
                <w:b/>
                <w:sz w:val="20"/>
                <w:szCs w:val="20"/>
              </w:rPr>
            </w:pPr>
          </w:p>
        </w:tc>
      </w:tr>
      <w:tr w:rsidR="00D53CB5" w:rsidRPr="005D2FE7" w:rsidTr="003F508D">
        <w:tc>
          <w:tcPr>
            <w:tcW w:w="1864" w:type="dxa"/>
            <w:tcBorders>
              <w:bottom w:val="nil"/>
              <w:right w:val="nil"/>
            </w:tcBorders>
          </w:tcPr>
          <w:p w:rsidR="00D53CB5" w:rsidRPr="00EF2A01" w:rsidRDefault="00D53CB5" w:rsidP="003F508D">
            <w:pPr>
              <w:rPr>
                <w:sz w:val="20"/>
                <w:szCs w:val="20"/>
              </w:rPr>
            </w:pPr>
            <w:r w:rsidRPr="00EF2A01">
              <w:rPr>
                <w:sz w:val="20"/>
                <w:szCs w:val="20"/>
              </w:rPr>
              <w:t>Cognition</w:t>
            </w:r>
          </w:p>
        </w:tc>
        <w:tc>
          <w:tcPr>
            <w:tcW w:w="2355" w:type="dxa"/>
            <w:gridSpan w:val="2"/>
            <w:tcBorders>
              <w:left w:val="nil"/>
              <w:bottom w:val="nil"/>
              <w:right w:val="nil"/>
            </w:tcBorders>
          </w:tcPr>
          <w:p w:rsidR="00D53CB5" w:rsidRPr="00EF2A01" w:rsidRDefault="00D53CB5" w:rsidP="003F508D">
            <w:pPr>
              <w:rPr>
                <w:sz w:val="20"/>
                <w:szCs w:val="20"/>
              </w:rPr>
            </w:pPr>
          </w:p>
        </w:tc>
        <w:tc>
          <w:tcPr>
            <w:tcW w:w="1343" w:type="dxa"/>
            <w:tcBorders>
              <w:left w:val="nil"/>
              <w:bottom w:val="nil"/>
              <w:right w:val="nil"/>
            </w:tcBorders>
          </w:tcPr>
          <w:p w:rsidR="00D53CB5" w:rsidRPr="004D778D" w:rsidRDefault="00D53CB5" w:rsidP="003F508D">
            <w:pPr>
              <w:rPr>
                <w:sz w:val="20"/>
                <w:szCs w:val="20"/>
              </w:rPr>
            </w:pPr>
            <w:r w:rsidRPr="00EF2A01">
              <w:rPr>
                <w:sz w:val="20"/>
                <w:szCs w:val="20"/>
              </w:rPr>
              <w:t>Patient</w:t>
            </w:r>
          </w:p>
        </w:tc>
        <w:tc>
          <w:tcPr>
            <w:tcW w:w="2102" w:type="dxa"/>
            <w:tcBorders>
              <w:left w:val="nil"/>
              <w:bottom w:val="nil"/>
              <w:right w:val="nil"/>
            </w:tcBorders>
          </w:tcPr>
          <w:p w:rsidR="00D53CB5" w:rsidRPr="0076697A" w:rsidRDefault="00D53CB5" w:rsidP="003F508D">
            <w:pPr>
              <w:rPr>
                <w:sz w:val="20"/>
                <w:szCs w:val="20"/>
              </w:rPr>
            </w:pPr>
            <w:r w:rsidRPr="0076697A">
              <w:rPr>
                <w:rFonts w:cs="Segoe UI"/>
                <w:sz w:val="20"/>
                <w:szCs w:val="20"/>
              </w:rPr>
              <w:t>≥</w:t>
            </w:r>
            <w:r w:rsidRPr="0076697A">
              <w:rPr>
                <w:sz w:val="20"/>
                <w:szCs w:val="20"/>
              </w:rPr>
              <w:t>1 impaired test</w:t>
            </w:r>
          </w:p>
        </w:tc>
        <w:tc>
          <w:tcPr>
            <w:tcW w:w="1912" w:type="dxa"/>
            <w:tcBorders>
              <w:left w:val="nil"/>
              <w:bottom w:val="nil"/>
            </w:tcBorders>
          </w:tcPr>
          <w:p w:rsidR="00D53CB5" w:rsidRPr="0076697A"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MMSE </w:t>
            </w:r>
            <w:r w:rsidRPr="00EF2A01">
              <w:rPr>
                <w:sz w:val="20"/>
                <w:szCs w:val="20"/>
              </w:rPr>
              <w:fldChar w:fldCharType="begin" w:fldLock="1"/>
            </w:r>
            <w:r>
              <w:rPr>
                <w:sz w:val="20"/>
                <w:szCs w:val="20"/>
              </w:rPr>
              <w:instrText>ADDIN CSL_CITATION { "citationItems" : [ { "id" : "ITEM-1", "itemData" : { "DOI" : "10.1016/0022-3956(75)90026-6", "ISBN" : "0022-3956 (Print)\\n0022-3956 (Linking)", "ISSN" : "00223956", "PMID" : "1202204", "abstract" : "A short, standardized form was devised for the serial testing of the cognitive mental state in patients on a neurogeriatric ward, as well as for consecutive admission to a hospital. It was found to be quick, easy to use, and acceptable to patients and testers. When given to 69 patients with dementia, depression with cognitive impairment, and depression (Sample A), the test proved to be valid and reliable. It was able to separate the three diagnostic groups, it reflected clinical cognitive change, it did not change in patients thought to be cognitively stable, and it was correlated with the WAIS scores. Standardization of the test by administration to 63 normal elderly subjects and 137 patients (Sample B) indicated that the score of 20 or less was found essentially only in patients with dementia, delerium, schizophrenia or affective disorder and not in normal elderly people or in patients with a primary diagnosis of neurosis and personality disorder. The Mini-Mental Status was useful in quantitatively estimating the severity of cognitive impairment, in serially documenting cognitive change, and in teaching residents a method of cognitive assessment.", "author" : [ { "dropping-particle" : "", "family" : "Folstein", "given" : "Marshal F.", "non-dropping-particle" : "", "parse-names" : false, "suffix" : "" }, { "dropping-particle" : "", "family" : "Folstein", "given" : "Susan E.", "non-dropping-particle" : "", "parse-names" : false, "suffix" : "" }, { "dropping-particle" : "", "family" : "McHugh", "given" : "Paul R.", "non-dropping-particle" : "", "parse-names" : false, "suffix" : "" } ], "container-title" : "Journal of Psychiatric Research", "id" : "ITEM-1", "issue" : "3", "issued" : { "date-parts" : [ [ "1975" ] ] }, "page" : "189-198", "title" : "\"Mini-mental state\". A practical method for grading the cognitive state of patients for the clinician", "type" : "article-journal", "volume" : "12" }, "uris" : [ "http://www.mendeley.com/documents/?uuid=bc494b53-f151-4ab6-b880-a19ffd7797e0" ] } ], "mendeley" : { "formattedCitation" : "(27)", "plainTextFormattedCitation" : "(27)", "previouslyFormattedCitation" : "(27)" }, "properties" : {  }, "schema" : "https://github.com/citation-style-language/schema/raw/master/csl-citation.json" }</w:instrText>
            </w:r>
            <w:r w:rsidRPr="00EF2A01">
              <w:rPr>
                <w:sz w:val="20"/>
                <w:szCs w:val="20"/>
              </w:rPr>
              <w:fldChar w:fldCharType="separate"/>
            </w:r>
            <w:r w:rsidRPr="00A51BEC">
              <w:rPr>
                <w:noProof/>
                <w:sz w:val="20"/>
                <w:szCs w:val="20"/>
              </w:rPr>
              <w:t>(27)</w:t>
            </w:r>
            <w:r w:rsidRPr="00EF2A01">
              <w:rPr>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sz w:val="20"/>
                <w:szCs w:val="20"/>
              </w:rPr>
            </w:pPr>
            <w:r w:rsidRPr="00EF2A01">
              <w:rPr>
                <w:sz w:val="20"/>
                <w:szCs w:val="20"/>
              </w:rPr>
              <w:t>0-30 (&lt;25)</w:t>
            </w:r>
          </w:p>
        </w:tc>
        <w:tc>
          <w:tcPr>
            <w:tcW w:w="1912" w:type="dxa"/>
            <w:tcBorders>
              <w:top w:val="nil"/>
              <w:left w:val="nil"/>
              <w:bottom w:val="nil"/>
            </w:tcBorders>
          </w:tcPr>
          <w:p w:rsidR="00D53CB5" w:rsidRPr="004D778D"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Clock </w:t>
            </w:r>
            <w:r w:rsidRPr="00EF2A01">
              <w:rPr>
                <w:sz w:val="20"/>
                <w:szCs w:val="20"/>
              </w:rPr>
              <w:fldChar w:fldCharType="begin" w:fldLock="1"/>
            </w:r>
            <w:r>
              <w:rPr>
                <w:sz w:val="20"/>
                <w:szCs w:val="20"/>
              </w:rPr>
              <w:instrText>ADDIN CSL_CITATION { "citationItems" : [ { "id" : "ITEM-1", "itemData" : { "DOI" : "10.1136/jnnp.64.5.588", "ISBN" : "0022-3050", "ISSN" : "0022-3050", "PMID" : "9598672", "abstract" : "OBJECTIVE\u2014To describe a clock drawing task (CLOX)\\ndesigned to elicit executive impairment and discriminate it from\\nnon-executive constructional failure. SUBJECTS\u201490 elderly subjects were studied (45 elderly and well persons from the independent living apartments of a\\ncontinuing care retirement community and 45 patients with probable\\nAlzheimer's disease). The clock drawing performance of elderly\\npatients was compared with that of 62 young adult controls. METHODS\u2014Subjects received the CLOX, an executive\\ntest (EXIT25), and the mini mental state examination (MMSE). The CLOX\\nis divided into an unprompted task that is sensitive to executive\\ncontrol (CLOX1) and a copied version that is not (CLOX2). Between rater reliability (27 subjects) was high for both subtests. RESULTS\u2014In elderly subjects, CLOX subscores\\ncorrelated strongly with cognitive severity (CLOX1:\\nr=\u22120.83 v the EXIT25; CLOX2:\\nr=0.85 v the MMSE). EXIT25 and MMSE scores\\npredicted CLOX1 scores independently of age or education\\n(F(4,82)=50.7, p&lt;0.001;\\nR2=0.71). The EXIT25 accounted for 68% of\\nCLOX1 variance. Only the MMSE significantly contributed to CLOX2 scores\\n(F(4,72)= 57.2,p&lt;0.001;\\nR2=0.74). CLOX subscales discriminated between\\npatients with Alzheimer's disease and elderly controls (83.1% of\\ncases correctly classified; Wilkes' lambda=0.48, p&lt;0.001), and\\nbetween Alzheimer's disease subgroups with and without constructional\\nimpairment (91.9% of cases correctly classified; Wilkes' lambda=0.31,\\np&lt;0.001). CONCLUSIONS\u2014The CLOX is an internally consistent\\nmeasure that is easy to administer and displays good inter-rater\\nreliability. It is strongly associated with cognitive test scores. The\\npattern of CLOX failures may discriminate clinical dementia subgroups.", "author" : [ { "dropping-particle" : "", "family" : "Royall", "given" : "D. R", "non-dropping-particle" : "", "parse-names" : false, "suffix" : "" }, { "dropping-particle" : "", "family" : "Cordes", "given" : "J. A", "non-dropping-particle" : "", "parse-names" : false, "suffix" : "" }, { "dropping-particle" : "", "family" : "Polk", "given" : "M.", "non-dropping-particle" : "", "parse-names" : false, "suffix" : "" } ], "container-title" : "Journal of Neurology, Neurosurgery &amp; Psychiatry", "id" : "ITEM-1", "issue" : "5", "issued" : { "date-parts" : [ [ "1998" ] ] }, "page" : "588-594", "title" : "CLOX: an executive clock drawing task", "type" : "article-journal", "volume" : "64" }, "uris" : [ "http://www.mendeley.com/documents/?uuid=6bc53c15-e23a-45a0-bfe5-8d61edca7bd3" ] } ], "mendeley" : { "formattedCitation" : "(29)", "plainTextFormattedCitation" : "(29)", "previouslyFormattedCitation" : "(29)" }, "properties" : {  }, "schema" : "https://github.com/citation-style-language/schema/raw/master/csl-citation.json" }</w:instrText>
            </w:r>
            <w:r w:rsidRPr="00EF2A01">
              <w:rPr>
                <w:sz w:val="20"/>
                <w:szCs w:val="20"/>
              </w:rPr>
              <w:fldChar w:fldCharType="separate"/>
            </w:r>
            <w:r w:rsidRPr="00A51BEC">
              <w:rPr>
                <w:noProof/>
                <w:sz w:val="20"/>
                <w:szCs w:val="20"/>
              </w:rPr>
              <w:t>(29)</w:t>
            </w:r>
            <w:r w:rsidRPr="00EF2A01">
              <w:rPr>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sz w:val="20"/>
                <w:szCs w:val="20"/>
              </w:rPr>
            </w:pPr>
            <w:r w:rsidRPr="00EF2A01">
              <w:rPr>
                <w:sz w:val="20"/>
                <w:szCs w:val="20"/>
              </w:rPr>
              <w:t>0-14 (&lt;11)</w:t>
            </w:r>
          </w:p>
        </w:tc>
        <w:tc>
          <w:tcPr>
            <w:tcW w:w="1912" w:type="dxa"/>
            <w:tcBorders>
              <w:top w:val="nil"/>
              <w:left w:val="nil"/>
              <w:bottom w:val="nil"/>
            </w:tcBorders>
          </w:tcPr>
          <w:p w:rsidR="00D53CB5" w:rsidRPr="004D778D"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ECR </w:t>
            </w:r>
            <w:r w:rsidRPr="00EF2A01">
              <w:rPr>
                <w:sz w:val="20"/>
                <w:szCs w:val="20"/>
              </w:rPr>
              <w:fldChar w:fldCharType="begin" w:fldLock="1"/>
            </w:r>
            <w:r>
              <w:rPr>
                <w:sz w:val="20"/>
                <w:szCs w:val="20"/>
              </w:rPr>
              <w:instrText>ADDIN CSL_CITATION { "citationItems" : [ { "id" : "ITEM-1", "itemData" : { "DOI" : "10.1212/WNL.38.6.900", "ISBN" : "0028-3878 (Print)\\r0028-3878 (Linking)", "ISSN" : "0028-3878", "PMID" : "3368071", "abstract" : "Enhanced cued recall provides a simple and clinically useful memory test for identifying dementia in the elderly. Because this test induces semantic processing and coordinates encoding and retrieval for maximum recall, genuine memory deficits due to impairment of specific memory processes can be distinguished from apparent memory deficits due to use of inefficient strategies or impairment of other cognitive processes. Since genuine memory deficits in the elderly are usually associated with dementia, their identification is highly predictive of clinical dementia. The present study validates the use of enhanced cued recall as a screening test for dementia in 70 aged subjects. All but one person with a pure amnesia were correctly classified. Enhanced cued recall correctly classified 97% of the 120 subjects in this and the previous study. Enhanced cued recall shows learning not revealed by free recall, providing more accurate measurement of memory, and distinguishes demented from nondemented elderly more accurately than either free recall or recognition.", "author" : [ { "dropping-particle" : "", "family" : "Grober", "given" : "Ellen", "non-dropping-particle" : "", "parse-names" : false, "suffix" : "" }, { "dropping-particle" : "", "family" : "Buschke", "given" : "H", "non-dropping-particle" : "", "parse-names" : false, "suffix" : "" }, { "dropping-particle" : "", "family" : "Crystal", "given" : "H", "non-dropping-particle" : "", "parse-names" : false, "suffix" : "" }, { "dropping-particle" : "", "family" : "Bang", "given" : "S", "non-dropping-particle" : "", "parse-names" : false, "suffix" : "" }, { "dropping-particle" : "", "family" : "Dresner", "given" : "R", "non-dropping-particle" : "", "parse-names" : false, "suffix" : "" } ], "container-title" : "Neurology", "id" : "ITEM-1", "issue" : "June", "issued" : { "date-parts" : [ [ "1988" ] ] }, "page" : "900-903", "title" : "Screening for dementia by memory testing.", "type" : "article-journal", "volume" : "38" }, "uris" : [ "http://www.mendeley.com/documents/?uuid=08a4e432-308f-4592-9f79-9e7d7968ddcb" ] } ], "mendeley" : { "formattedCitation" : "(30)", "plainTextFormattedCitation" : "(30)", "previouslyFormattedCitation" : "(30)" }, "properties" : {  }, "schema" : "https://github.com/citation-style-language/schema/raw/master/csl-citation.json" }</w:instrText>
            </w:r>
            <w:r w:rsidRPr="00EF2A01">
              <w:rPr>
                <w:sz w:val="20"/>
                <w:szCs w:val="20"/>
              </w:rPr>
              <w:fldChar w:fldCharType="separate"/>
            </w:r>
            <w:r w:rsidRPr="00A51BEC">
              <w:rPr>
                <w:noProof/>
                <w:sz w:val="20"/>
                <w:szCs w:val="20"/>
              </w:rPr>
              <w:t>(30)</w:t>
            </w:r>
            <w:r w:rsidRPr="00EF2A01">
              <w:rPr>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sz w:val="20"/>
                <w:szCs w:val="20"/>
              </w:rPr>
            </w:pPr>
            <w:r w:rsidRPr="00EF2A01">
              <w:rPr>
                <w:sz w:val="20"/>
                <w:szCs w:val="20"/>
              </w:rPr>
              <w:t>0-16 (&lt;14)</w:t>
            </w:r>
          </w:p>
        </w:tc>
        <w:tc>
          <w:tcPr>
            <w:tcW w:w="1912" w:type="dxa"/>
            <w:tcBorders>
              <w:top w:val="nil"/>
              <w:left w:val="nil"/>
              <w:bottom w:val="nil"/>
            </w:tcBorders>
          </w:tcPr>
          <w:p w:rsidR="00D53CB5" w:rsidRPr="004D778D"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Semantic fluency test </w:t>
            </w:r>
            <w:r w:rsidRPr="00EF2A01">
              <w:rPr>
                <w:sz w:val="20"/>
                <w:szCs w:val="20"/>
              </w:rPr>
              <w:fldChar w:fldCharType="begin" w:fldLock="1"/>
            </w:r>
            <w:r>
              <w:rPr>
                <w:sz w:val="20"/>
                <w:szCs w:val="20"/>
              </w:rPr>
              <w:instrText>ADDIN CSL_CITATION { "citationItems" : [ { "id" : "ITEM-1", "itemData" : { "author" : [ { "dropping-particle" : "", "family" : "Schmand", "given" : "B", "non-dropping-particle" : "", "parse-names" : false, "suffix" : "" }, { "dropping-particle" : "", "family" : "Houx", "given" : "P", "non-dropping-particle" : "", "parse-names" : false, "suffix" : "" }, { "dropping-particle" : "", "family" : "Koning", "given" : "I", "non-dropping-particle" : "de", "parse-names" : false, "suffix" : "" } ], "id" : "ITEM-1", "issued" : { "date-parts" : [ [ "2012" ] ] }, "publisher-place" : "Amsterdam", "title" : "The Stroop Colour Word test, the Trail Making test, the Rivermead Behavioural Memory test, Verbal fluency test. Dutch norms.", "type" : "article" }, "uris" : [ "http://www.mendeley.com/documents/?uuid=f562ec9f-c975-4ef8-a726-eb5e38a3e68b" ] } ], "mendeley" : { "formattedCitation" : "(28)", "plainTextFormattedCitation" : "(28)", "previouslyFormattedCitation" : "(28)" }, "properties" : {  }, "schema" : "https://github.com/citation-style-language/schema/raw/master/csl-citation.json" }</w:instrText>
            </w:r>
            <w:r w:rsidRPr="00EF2A01">
              <w:rPr>
                <w:sz w:val="20"/>
                <w:szCs w:val="20"/>
              </w:rPr>
              <w:fldChar w:fldCharType="separate"/>
            </w:r>
            <w:r w:rsidRPr="00A51BEC">
              <w:rPr>
                <w:noProof/>
                <w:sz w:val="20"/>
                <w:szCs w:val="20"/>
              </w:rPr>
              <w:t>(28)</w:t>
            </w:r>
            <w:r w:rsidRPr="00EF2A01">
              <w:rPr>
                <w:sz w:val="20"/>
                <w:szCs w:val="20"/>
              </w:rPr>
              <w:fldChar w:fldCharType="end"/>
            </w:r>
          </w:p>
          <w:p w:rsidR="00D53CB5" w:rsidRPr="00EF2A01" w:rsidRDefault="00D53CB5" w:rsidP="003F508D">
            <w:pPr>
              <w:rPr>
                <w:sz w:val="20"/>
                <w:szCs w:val="20"/>
              </w:rPr>
            </w:pP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76697A" w:rsidRDefault="00D53CB5" w:rsidP="003F508D">
            <w:pPr>
              <w:rPr>
                <w:sz w:val="20"/>
                <w:szCs w:val="20"/>
              </w:rPr>
            </w:pPr>
            <w:r w:rsidRPr="004D778D">
              <w:rPr>
                <w:sz w:val="20"/>
                <w:szCs w:val="20"/>
              </w:rPr>
              <w:t>- (&lt;5</w:t>
            </w:r>
            <w:r w:rsidRPr="004D778D">
              <w:rPr>
                <w:sz w:val="20"/>
                <w:szCs w:val="20"/>
                <w:vertAlign w:val="superscript"/>
              </w:rPr>
              <w:t>th</w:t>
            </w:r>
            <w:r w:rsidRPr="0076697A">
              <w:rPr>
                <w:sz w:val="20"/>
                <w:szCs w:val="20"/>
              </w:rPr>
              <w:t xml:space="preserve"> percentile)</w:t>
            </w:r>
          </w:p>
        </w:tc>
        <w:tc>
          <w:tcPr>
            <w:tcW w:w="1912" w:type="dxa"/>
            <w:tcBorders>
              <w:top w:val="nil"/>
              <w:left w:val="nil"/>
              <w:bottom w:val="nil"/>
            </w:tcBorders>
          </w:tcPr>
          <w:p w:rsidR="00D53CB5" w:rsidRPr="0076697A" w:rsidRDefault="00D53CB5" w:rsidP="003F508D">
            <w:pPr>
              <w:rPr>
                <w:i/>
                <w:sz w:val="20"/>
                <w:szCs w:val="20"/>
              </w:rPr>
            </w:pPr>
            <w:r w:rsidRPr="0076697A">
              <w:rPr>
                <w:i/>
                <w:sz w:val="20"/>
                <w:szCs w:val="20"/>
              </w:rPr>
              <w:t>Corrected for age and education level</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r w:rsidRPr="00EF2A01">
              <w:rPr>
                <w:sz w:val="20"/>
                <w:szCs w:val="20"/>
              </w:rPr>
              <w:t xml:space="preserve">Comorbidity </w:t>
            </w:r>
          </w:p>
        </w:tc>
        <w:tc>
          <w:tcPr>
            <w:tcW w:w="2355" w:type="dxa"/>
            <w:gridSpan w:val="2"/>
            <w:tcBorders>
              <w:top w:val="nil"/>
              <w:left w:val="nil"/>
              <w:bottom w:val="nil"/>
              <w:right w:val="nil"/>
            </w:tcBorders>
          </w:tcPr>
          <w:p w:rsidR="00D53CB5" w:rsidRPr="00EF2A01" w:rsidRDefault="00D53CB5" w:rsidP="003F508D">
            <w:pPr>
              <w:rPr>
                <w:rFonts w:cs="Segoe UI"/>
                <w:sz w:val="20"/>
                <w:szCs w:val="20"/>
              </w:rPr>
            </w:pPr>
            <w:r w:rsidRPr="00EF2A01">
              <w:rPr>
                <w:sz w:val="20"/>
                <w:szCs w:val="20"/>
              </w:rPr>
              <w:t xml:space="preserve">CIRS-G </w:t>
            </w:r>
            <w:r w:rsidRPr="00EF2A01">
              <w:rPr>
                <w:rFonts w:cs="Segoe UI"/>
                <w:sz w:val="20"/>
                <w:szCs w:val="20"/>
              </w:rPr>
              <w:fldChar w:fldCharType="begin" w:fldLock="1"/>
            </w:r>
            <w:r w:rsidRPr="0076697A">
              <w:rPr>
                <w:rFonts w:cs="Segoe UI"/>
                <w:sz w:val="20"/>
                <w:szCs w:val="20"/>
              </w:rPr>
              <w:instrText>ADDIN CSL_CITATION { "citationItems" : [ { "id" : "ITEM-1", "itemData" : { "DOI" : "10.1016/0165-1781(92)90005-N", "ISBN" : "0165-1781 (Print)\\r0165-1781 (Linking)", "ISSN" : "01651781", "PMID" : "1594710", "abstract" : "Reliable quantitative ratings of chronic medical illness burden have proved to be difficult in geropsychiatric practice and research. Thus, the purpose of the study was to demonstrate the feasibility and reliability of a modified version of the Cumulative Illness Rating Scale (CIRS; Linn et al., 1968) in providing quantitative ratings of chronic illness burden. The modified CIRS was operationalized with a manual of guidelines geared toward the geriatric patient and for clarity was designated the CIRS(G). A total of 141 elderly outpatient subjects (two medical clinic groups of 20 each, 45 recurrent depressed subjects, 21 spousally bereaved subjects, and 35 healthy controls) received comprehensive physical examinations, reviews of symptoms, and laboratory testing. These data were then used by nurse practitioners, physician's assistants, and geriatric psychiatrists to compute CIRS(G) ratings of chronic illness burden. As hypothesized, analysis of variance demonstrated significant differences among groups with respect to total medical illness burden, which was highest among medical clinic patients and lowest in control subjects. Good interrater reliability (i.e., intraclass correlations of 0.78 and 0.88 in a subsample of 10 outpatients and a separate group of 10 inpatients, respectively) was achieved for CIRS(G) total scores. Among medical clinic patients, a significant correlation was found, as expected, between CIRS(G) chronic illness burden and capability as quantified by the Older Americans Activities of Daily Living Scale; and between CIRS(G) scores and physicians' global estimates of medical burden. Finally, with repeated measures of illness burden approximately 1 year from symptom baseline, significant rises were detected, as expected. The current data suggest that the CIRS(G) can be successfully applied in medically and psychiatrically impaired elderly subjects, with good interrater reliability and face validity (credibility). \u00a9 1992.", "author" : [ { "dropping-particle" : "", "family" : "Miller", "given" : "Mark D.", "non-dropping-particle" : "", "parse-names" : false, "suffix" : "" }, { "dropping-particle" : "", "family" : "Paradis", "given" : "Cynthia F.", "non-dropping-particle" : "", "parse-names" : false, "suffix" : "" }, { "dropping-particle" : "", "family" : "Houck", "given" : "Patricia R.", "non-dropping-particle" : "", "parse-names" : false, "suffix" : "" }, { "dropping-particle" : "", "family" : "Mazumdar", "given" : "Sati", "non-dropping-particle" : "", "parse-names" : false, "suffix" : "" }, { "dropping-particle" : "", "family" : "Stack", "given" : "Jacqueline a.", "non-dropping-particle" : "", "parse-names" : false, "suffix" : "" }, { "dropping-particle" : "", "family" : "Rifai", "given" : "Hind a.", "non-dropping-particle" : "", "parse-names" : false, "suffix" : "" }, { "dropping-particle" : "", "family" : "Mulsant", "given" : "Benoit", "non-dropping-particle" : "", "parse-names" : false, "suffix" : "" }, { "dropping-particle" : "", "family" : "Reynolds", "given" : "Charles F.", "non-dropping-particle" : "", "parse-names" : false, "suffix" : "" } ], "container-title" : "Psychiatry Research", "id" : "ITEM-1", "issue" : "3", "issued" : { "date-parts" : [ [ "1992" ] ] }, "page" : "237-248", "title" : "Rating chronic medical illness burden in geropsychiatric practice and research: Application of the Cumulative Illness Rating Scale", "type" : "article-journal", "volume" : "41" }, "uris" : [ "http://www.mendeley.com/documents/?uuid=617a0000-f78d-44a5-ad46-eaab4305c535" ] } ], "mendeley" : { "formattedCitation" : "(20)", "plainTextFormattedCitation" : "(20)", "previouslyFormattedCitation" : "(20)" }, "properties" : {  }, "schema" : "https://github.com/citation-style-language/schema/raw/master/csl-citation.json" }</w:instrText>
            </w:r>
            <w:r w:rsidRPr="00EF2A01">
              <w:rPr>
                <w:rFonts w:cs="Segoe UI"/>
                <w:sz w:val="20"/>
                <w:szCs w:val="20"/>
              </w:rPr>
              <w:fldChar w:fldCharType="separate"/>
            </w:r>
            <w:r w:rsidRPr="00EF2A01">
              <w:rPr>
                <w:rFonts w:cs="Segoe UI"/>
                <w:noProof/>
                <w:sz w:val="20"/>
                <w:szCs w:val="20"/>
              </w:rPr>
              <w:t>(20)</w:t>
            </w:r>
            <w:r w:rsidRPr="00EF2A01">
              <w:rPr>
                <w:rFonts w:cs="Segoe UI"/>
                <w:sz w:val="20"/>
                <w:szCs w:val="20"/>
              </w:rPr>
              <w:fldChar w:fldCharType="end"/>
            </w:r>
          </w:p>
          <w:p w:rsidR="00D53CB5" w:rsidRPr="00EF2A01" w:rsidRDefault="00D53CB5" w:rsidP="003F508D">
            <w:pPr>
              <w:rPr>
                <w:rFonts w:cs="Segoe UI"/>
                <w:sz w:val="20"/>
                <w:szCs w:val="20"/>
              </w:rPr>
            </w:pPr>
            <w:r w:rsidRPr="00EF2A01">
              <w:rPr>
                <w:rFonts w:cs="Segoe UI"/>
                <w:sz w:val="20"/>
                <w:szCs w:val="20"/>
              </w:rPr>
              <w:t>- Severe</w:t>
            </w:r>
          </w:p>
          <w:p w:rsidR="00D53CB5" w:rsidRPr="00EF2A01" w:rsidRDefault="00D53CB5" w:rsidP="003F508D">
            <w:pPr>
              <w:rPr>
                <w:sz w:val="20"/>
                <w:szCs w:val="20"/>
              </w:rPr>
            </w:pPr>
          </w:p>
        </w:tc>
        <w:tc>
          <w:tcPr>
            <w:tcW w:w="1343" w:type="dxa"/>
            <w:tcBorders>
              <w:top w:val="nil"/>
              <w:left w:val="nil"/>
              <w:bottom w:val="nil"/>
              <w:right w:val="nil"/>
            </w:tcBorders>
          </w:tcPr>
          <w:p w:rsidR="00D53CB5" w:rsidRPr="004D778D" w:rsidRDefault="00D53CB5" w:rsidP="003F508D">
            <w:pPr>
              <w:rPr>
                <w:sz w:val="20"/>
                <w:szCs w:val="20"/>
              </w:rPr>
            </w:pPr>
            <w:r w:rsidRPr="004D778D">
              <w:rPr>
                <w:sz w:val="20"/>
                <w:szCs w:val="20"/>
              </w:rPr>
              <w:t>Patient</w:t>
            </w:r>
          </w:p>
        </w:tc>
        <w:tc>
          <w:tcPr>
            <w:tcW w:w="2102" w:type="dxa"/>
            <w:tcBorders>
              <w:top w:val="nil"/>
              <w:left w:val="nil"/>
              <w:bottom w:val="nil"/>
              <w:right w:val="nil"/>
            </w:tcBorders>
          </w:tcPr>
          <w:p w:rsidR="00D53CB5" w:rsidRPr="0076697A" w:rsidRDefault="00D53CB5" w:rsidP="003F508D">
            <w:pPr>
              <w:rPr>
                <w:sz w:val="20"/>
                <w:szCs w:val="20"/>
              </w:rPr>
            </w:pPr>
            <w:r w:rsidRPr="0076697A">
              <w:rPr>
                <w:rFonts w:cs="Segoe UI"/>
                <w:sz w:val="20"/>
                <w:szCs w:val="20"/>
              </w:rPr>
              <w:t xml:space="preserve">≥ </w:t>
            </w:r>
            <w:r w:rsidRPr="0076697A">
              <w:rPr>
                <w:sz w:val="20"/>
                <w:szCs w:val="20"/>
              </w:rPr>
              <w:t xml:space="preserve">2x score 3 or </w:t>
            </w:r>
            <w:r w:rsidRPr="0076697A">
              <w:rPr>
                <w:rFonts w:cs="Segoe UI"/>
                <w:sz w:val="20"/>
                <w:szCs w:val="20"/>
              </w:rPr>
              <w:t>≥</w:t>
            </w:r>
            <w:r w:rsidRPr="0076697A">
              <w:rPr>
                <w:sz w:val="20"/>
                <w:szCs w:val="20"/>
              </w:rPr>
              <w:t>1x score 4</w:t>
            </w:r>
          </w:p>
        </w:tc>
        <w:tc>
          <w:tcPr>
            <w:tcW w:w="1912" w:type="dxa"/>
            <w:tcBorders>
              <w:top w:val="nil"/>
              <w:left w:val="nil"/>
              <w:bottom w:val="nil"/>
            </w:tcBorders>
          </w:tcPr>
          <w:p w:rsidR="00D53CB5" w:rsidRPr="0076697A" w:rsidRDefault="00D53CB5" w:rsidP="003F508D">
            <w:pPr>
              <w:rPr>
                <w:sz w:val="20"/>
                <w:szCs w:val="20"/>
              </w:rPr>
            </w:pPr>
            <w:r w:rsidRPr="0076697A">
              <w:rPr>
                <w:rFonts w:cs="Segoe UI"/>
                <w:i/>
                <w:sz w:val="20"/>
                <w:szCs w:val="20"/>
              </w:rPr>
              <w:t>Renal comorbidity excluded</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p w:rsidR="00D53CB5" w:rsidRPr="00EF2A01" w:rsidRDefault="00D53CB5" w:rsidP="003F508D">
            <w:pPr>
              <w:rPr>
                <w:sz w:val="20"/>
                <w:szCs w:val="20"/>
              </w:rPr>
            </w:pPr>
            <w:r w:rsidRPr="00EF2A01">
              <w:rPr>
                <w:sz w:val="20"/>
                <w:szCs w:val="20"/>
              </w:rPr>
              <w:t>Functional status</w:t>
            </w:r>
          </w:p>
        </w:tc>
        <w:tc>
          <w:tcPr>
            <w:tcW w:w="2355" w:type="dxa"/>
            <w:gridSpan w:val="2"/>
            <w:tcBorders>
              <w:top w:val="nil"/>
              <w:left w:val="nil"/>
              <w:bottom w:val="nil"/>
              <w:right w:val="nil"/>
            </w:tcBorders>
          </w:tcPr>
          <w:p w:rsidR="00D53CB5" w:rsidRPr="00EF2A01" w:rsidRDefault="00D53CB5" w:rsidP="003F508D">
            <w:pPr>
              <w:rPr>
                <w:sz w:val="20"/>
                <w:szCs w:val="20"/>
              </w:rPr>
            </w:pPr>
          </w:p>
          <w:p w:rsidR="00D53CB5" w:rsidRPr="00EF2A01" w:rsidRDefault="00D53CB5" w:rsidP="003F508D">
            <w:pPr>
              <w:rPr>
                <w:sz w:val="20"/>
                <w:szCs w:val="20"/>
              </w:rPr>
            </w:pPr>
            <w:r w:rsidRPr="004D778D">
              <w:rPr>
                <w:sz w:val="20"/>
                <w:szCs w:val="20"/>
              </w:rPr>
              <w:t>KATZ-6 (ADL)</w:t>
            </w:r>
            <w:r w:rsidRPr="0076697A">
              <w:rPr>
                <w:sz w:val="20"/>
                <w:szCs w:val="20"/>
              </w:rPr>
              <w:t xml:space="preserve"> </w:t>
            </w:r>
            <w:r w:rsidRPr="00773223">
              <w:rPr>
                <w:rFonts w:cs="Segoe UI"/>
                <w:sz w:val="20"/>
                <w:szCs w:val="20"/>
              </w:rPr>
              <w:fldChar w:fldCharType="begin" w:fldLock="1"/>
            </w:r>
            <w:r w:rsidRPr="00773223">
              <w:rPr>
                <w:rFonts w:cs="Segoe UI"/>
                <w:sz w:val="20"/>
                <w:szCs w:val="20"/>
              </w:rPr>
              <w:instrText>ADDIN CSL_CITATION { "citationItems" : [ { "id" : "ITEM-1", "itemData" : { "ISSN" : "0098-7484 (Print)", "PMID" : "14044222", "author" : [ { "dropping-particle" : "", "family" : "Katz", "given" : "S", "non-dropping-particle" : "", "parse-names" : false, "suffix" : "" }, { "dropping-particle" : "", "family" : "Ford", "given" : "A.B", "non-dropping-particle" : "", "parse-names" : false, "suffix" : "" }, { "dropping-particle" : "", "family" : "Moskowitz", "given" : "R.W.", "non-dropping-particle" : "", "parse-names" : false, "suffix" : "" }, { "dropping-particle" : "", "family" : "Jackson", "given" : "B.A.", "non-dropping-particle" : "", "parse-names" : false, "suffix" : "" }, { "dropping-particle" : "", "family" : "Jaffe", "given" : "M.W.", "non-dropping-particle" : "", "parse-names" : false, "suffix" : "" } ], "container-title" : "JAMA", "id" : "ITEM-1", "issued" : { "date-parts" : [ [ "1963", "9" ] ] }, "language" : "eng", "page" : "914-919", "publisher-place" : "United States", "title" : "Studies of illness in the aged. The index of ADL: a standardized measure of biological and psychosocial function.", "type" : "article-journal", "volume" : "185" }, "uris" : [ "http://www.mendeley.com/documents/?uuid=b06aab5f-9c4e-4c83-bd0d-4dc722779da2" ] } ], "mendeley" : { "formattedCitation" : "(21)", "plainTextFormattedCitation" : "(21)", "previouslyFormattedCitation" : "(21)" }, "properties" : {  }, "schema" : "https://github.com/citation-style-language/schema/raw/master/csl-citation.json" }</w:instrText>
            </w:r>
            <w:r w:rsidRPr="00773223">
              <w:rPr>
                <w:rFonts w:cs="Segoe UI"/>
                <w:sz w:val="20"/>
                <w:szCs w:val="20"/>
              </w:rPr>
              <w:fldChar w:fldCharType="separate"/>
            </w:r>
            <w:r w:rsidRPr="00773223">
              <w:rPr>
                <w:rFonts w:cs="Segoe UI"/>
                <w:noProof/>
                <w:sz w:val="20"/>
                <w:szCs w:val="20"/>
              </w:rPr>
              <w:t>(21)</w:t>
            </w:r>
            <w:r w:rsidRPr="00773223">
              <w:rPr>
                <w:rFonts w:cs="Segoe UI"/>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p>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4D778D" w:rsidRDefault="00D53CB5" w:rsidP="003F508D">
            <w:pPr>
              <w:rPr>
                <w:sz w:val="20"/>
                <w:szCs w:val="20"/>
              </w:rPr>
            </w:pPr>
          </w:p>
          <w:p w:rsidR="00D53CB5" w:rsidRPr="0076697A" w:rsidRDefault="00D53CB5" w:rsidP="003F508D">
            <w:pPr>
              <w:rPr>
                <w:sz w:val="20"/>
                <w:szCs w:val="20"/>
              </w:rPr>
            </w:pPr>
            <w:r w:rsidRPr="0076697A">
              <w:rPr>
                <w:sz w:val="20"/>
                <w:szCs w:val="20"/>
              </w:rPr>
              <w:t>0-6 (</w:t>
            </w:r>
            <w:r w:rsidRPr="0076697A">
              <w:rPr>
                <w:rFonts w:cs="Segoe UI"/>
                <w:sz w:val="20"/>
                <w:szCs w:val="20"/>
              </w:rPr>
              <w:t>≥</w:t>
            </w:r>
            <w:r w:rsidRPr="0076697A">
              <w:rPr>
                <w:sz w:val="20"/>
                <w:szCs w:val="20"/>
              </w:rPr>
              <w:t>1)</w:t>
            </w:r>
          </w:p>
        </w:tc>
        <w:tc>
          <w:tcPr>
            <w:tcW w:w="1912" w:type="dxa"/>
            <w:tcBorders>
              <w:top w:val="nil"/>
              <w:left w:val="nil"/>
              <w:bottom w:val="nil"/>
            </w:tcBorders>
          </w:tcPr>
          <w:p w:rsidR="00D53CB5" w:rsidRPr="0076697A"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LiADL (IADL) </w:t>
            </w:r>
            <w:r w:rsidRPr="00773223">
              <w:rPr>
                <w:rFonts w:cs="Segoe UI"/>
                <w:sz w:val="20"/>
                <w:szCs w:val="20"/>
              </w:rPr>
              <w:fldChar w:fldCharType="begin" w:fldLock="1"/>
            </w:r>
            <w:r w:rsidRPr="00773223">
              <w:rPr>
                <w:rFonts w:cs="Segoe UI"/>
                <w:sz w:val="20"/>
                <w:szCs w:val="20"/>
              </w:rPr>
              <w:instrText>ADDIN CSL_CITATION { "citationItems" : [ { "id" : "ITEM-1", "itemData" : { "ISSN" : "0016-9013 (Print)", "PMID" : "5349366", "author" : [ { "dropping-particle" : "", "family" : "Lawton", "given" : "M P", "non-dropping-particle" : "", "parse-names" : false, "suffix" : "" }, { "dropping-particle" : "", "family" : "Brody", "given" : "E M", "non-dropping-particle" : "", "parse-names" : false, "suffix" : "" } ], "container-title" : "The Gerontologist", "id" : "ITEM-1", "issue" : "3", "issued" : { "date-parts" : [ [ "1969" ] ] }, "language" : "eng", "page" : "179-186", "publisher-place" : "United States", "title" : "Assessment of older people: self-maintaining and instrumental activities of daily living.", "type" : "article-journal", "volume" : "9" }, "uris" : [ "http://www.mendeley.com/documents/?uuid=13fdf1ce-cd94-4052-829d-e26a89844655" ] } ], "mendeley" : { "formattedCitation" : "(22)", "plainTextFormattedCitation" : "(22)", "previouslyFormattedCitation" : "(22)" }, "properties" : {  }, "schema" : "https://github.com/citation-style-language/schema/raw/master/csl-citation.json" }</w:instrText>
            </w:r>
            <w:r w:rsidRPr="00773223">
              <w:rPr>
                <w:rFonts w:cs="Segoe UI"/>
                <w:sz w:val="20"/>
                <w:szCs w:val="20"/>
              </w:rPr>
              <w:fldChar w:fldCharType="separate"/>
            </w:r>
            <w:r w:rsidRPr="00773223">
              <w:rPr>
                <w:rFonts w:cs="Segoe UI"/>
                <w:noProof/>
                <w:sz w:val="20"/>
                <w:szCs w:val="20"/>
              </w:rPr>
              <w:t>(22)</w:t>
            </w:r>
            <w:r w:rsidRPr="00773223">
              <w:rPr>
                <w:rFonts w:cs="Segoe UI"/>
                <w:sz w:val="20"/>
                <w:szCs w:val="20"/>
              </w:rPr>
              <w:fldChar w:fldCharType="end"/>
            </w:r>
          </w:p>
          <w:p w:rsidR="00D53CB5" w:rsidRPr="00EF2A01" w:rsidRDefault="00D53CB5" w:rsidP="003F508D">
            <w:pPr>
              <w:rPr>
                <w:sz w:val="20"/>
                <w:szCs w:val="20"/>
              </w:rPr>
            </w:pP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Patient </w:t>
            </w:r>
          </w:p>
        </w:tc>
        <w:tc>
          <w:tcPr>
            <w:tcW w:w="2102" w:type="dxa"/>
            <w:tcBorders>
              <w:top w:val="nil"/>
              <w:left w:val="nil"/>
              <w:bottom w:val="nil"/>
              <w:right w:val="nil"/>
            </w:tcBorders>
          </w:tcPr>
          <w:p w:rsidR="00D53CB5" w:rsidRPr="0076697A" w:rsidRDefault="00D53CB5" w:rsidP="003F508D">
            <w:pPr>
              <w:rPr>
                <w:sz w:val="20"/>
                <w:szCs w:val="20"/>
              </w:rPr>
            </w:pPr>
            <w:r w:rsidRPr="004D778D">
              <w:rPr>
                <w:sz w:val="20"/>
                <w:szCs w:val="20"/>
              </w:rPr>
              <w:t>0-7 (</w:t>
            </w:r>
            <w:r w:rsidRPr="004D778D">
              <w:rPr>
                <w:rFonts w:cs="Segoe UI"/>
                <w:sz w:val="20"/>
                <w:szCs w:val="20"/>
              </w:rPr>
              <w:t>≥</w:t>
            </w:r>
            <w:r w:rsidRPr="0076697A">
              <w:rPr>
                <w:sz w:val="20"/>
                <w:szCs w:val="20"/>
              </w:rPr>
              <w:t>1)</w:t>
            </w:r>
          </w:p>
        </w:tc>
        <w:tc>
          <w:tcPr>
            <w:tcW w:w="1912" w:type="dxa"/>
            <w:tcBorders>
              <w:top w:val="nil"/>
              <w:left w:val="nil"/>
              <w:bottom w:val="nil"/>
            </w:tcBorders>
          </w:tcPr>
          <w:p w:rsidR="00D53CB5" w:rsidRPr="0076697A" w:rsidRDefault="00D53CB5" w:rsidP="003F508D">
            <w:pPr>
              <w:rPr>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r w:rsidRPr="00EF2A01">
              <w:rPr>
                <w:sz w:val="20"/>
                <w:szCs w:val="20"/>
              </w:rPr>
              <w:t>Mobility</w:t>
            </w:r>
          </w:p>
        </w:tc>
        <w:tc>
          <w:tcPr>
            <w:tcW w:w="2355" w:type="dxa"/>
            <w:gridSpan w:val="2"/>
            <w:tcBorders>
              <w:top w:val="nil"/>
              <w:left w:val="nil"/>
              <w:bottom w:val="nil"/>
              <w:right w:val="nil"/>
            </w:tcBorders>
          </w:tcPr>
          <w:p w:rsidR="00D53CB5" w:rsidRPr="00EF2A01" w:rsidRDefault="00D53CB5" w:rsidP="003F508D">
            <w:pPr>
              <w:rPr>
                <w:rFonts w:cs="Segoe UI"/>
                <w:sz w:val="20"/>
                <w:szCs w:val="20"/>
              </w:rPr>
            </w:pPr>
            <w:r w:rsidRPr="00EF2A01">
              <w:rPr>
                <w:sz w:val="20"/>
                <w:szCs w:val="20"/>
              </w:rPr>
              <w:t xml:space="preserve">TUG </w:t>
            </w:r>
            <w:r w:rsidRPr="00EF2A01">
              <w:rPr>
                <w:rFonts w:cs="Segoe UI"/>
                <w:sz w:val="20"/>
                <w:szCs w:val="20"/>
              </w:rPr>
              <w:fldChar w:fldCharType="begin" w:fldLock="1"/>
            </w:r>
            <w:r>
              <w:rPr>
                <w:rFonts w:cs="Segoe UI"/>
                <w:sz w:val="20"/>
                <w:szCs w:val="20"/>
              </w:rPr>
              <w:instrText>ADDIN CSL_CITATION { "citationItems" : [ { "id" : "ITEM-1", "itemData" : { "ISSN" : "0002-8614 (Print)", "PMID" : "1991946", "abstract" : "This study evaluated a modified, timed version of the \"Get-Up and Go\" Test (Mathias et al, 1986) in 60 patients referred to a Geriatric Day Hospital (mean age 79.5 years). The patient is observed and timed while he rises from an arm chair, walks 3 meters, turns, walks back, and sits down again. The results indicate that the time score is (1) reliable (inter-rater and intra-rater); (2) correlates well with log-transformed scores on the Berg Balance Scale (r = -0.81), gait speed (r = -0.61) and Barthel Index of ADL (r = -0.78); and (3) appears to predict the patient's ability to go outside alone safely. These data suggest that the timed \"Up &amp; Go\" test is a reliable and valid test for quantifying functional mobility that may also be useful in following clinical change over time. The test is quick, requires no special equipment or training, and is easily included as part of the routine medical examination.", "author" : [ { "dropping-particle" : "", "family" : "Podsiadlo", "given" : "D", "non-dropping-particle" : "", "parse-names" : false, "suffix" : "" }, { "dropping-particle" : "", "family" : "Richardson", "given" : "S", "non-dropping-particle" : "", "parse-names" : false, "suffix" : "" } ], "container-title" : "Journal of the American Geriatrics Society", "id" : "ITEM-1", "issue" : "2", "issued" : { "date-parts" : [ [ "1991", "2" ] ] }, "language" : "eng", "page" : "142-148", "publisher-place" : "United States", "title" : "The timed \"Up &amp; Go\": a test of basic functional mobility for frail elderly persons.", "type" : "article-journal", "volume" : "39" }, "uris" : [ "http://www.mendeley.com/documents/?uuid=be9a93a3-0a2a-468f-9692-3fbe2ba263cf" ] } ], "mendeley" : { "formattedCitation" : "(26)", "plainTextFormattedCitation" : "(26)", "previouslyFormattedCitation" : "(26)" }, "properties" : {  }, "schema" : "https://github.com/citation-style-language/schema/raw/master/csl-citation.json" }</w:instrText>
            </w:r>
            <w:r w:rsidRPr="00EF2A01">
              <w:rPr>
                <w:rFonts w:cs="Segoe UI"/>
                <w:sz w:val="20"/>
                <w:szCs w:val="20"/>
              </w:rPr>
              <w:fldChar w:fldCharType="separate"/>
            </w:r>
            <w:r w:rsidRPr="00A51BEC">
              <w:rPr>
                <w:rFonts w:cs="Segoe UI"/>
                <w:noProof/>
                <w:sz w:val="20"/>
                <w:szCs w:val="20"/>
              </w:rPr>
              <w:t>(26)</w:t>
            </w:r>
            <w:r w:rsidRPr="00EF2A01">
              <w:rPr>
                <w:rFonts w:cs="Segoe UI"/>
                <w:sz w:val="20"/>
                <w:szCs w:val="20"/>
              </w:rPr>
              <w:fldChar w:fldCharType="end"/>
            </w:r>
          </w:p>
          <w:p w:rsidR="00D53CB5" w:rsidRPr="00EF2A01" w:rsidRDefault="00D53CB5" w:rsidP="003F508D">
            <w:pPr>
              <w:rPr>
                <w:rFonts w:cs="Segoe UI"/>
                <w:sz w:val="20"/>
                <w:szCs w:val="20"/>
              </w:rPr>
            </w:pPr>
            <w:r w:rsidRPr="00EF2A01">
              <w:rPr>
                <w:rFonts w:cs="Segoe UI"/>
                <w:sz w:val="20"/>
                <w:szCs w:val="20"/>
              </w:rPr>
              <w:t>- Mildly impaired</w:t>
            </w:r>
          </w:p>
          <w:p w:rsidR="00D53CB5" w:rsidRPr="004D778D" w:rsidRDefault="00D53CB5" w:rsidP="003F508D">
            <w:pPr>
              <w:rPr>
                <w:sz w:val="20"/>
                <w:szCs w:val="20"/>
              </w:rPr>
            </w:pPr>
            <w:r w:rsidRPr="00EF2A01">
              <w:rPr>
                <w:rFonts w:cs="Segoe UI"/>
                <w:sz w:val="20"/>
                <w:szCs w:val="20"/>
              </w:rPr>
              <w:t>- Severely impaired</w:t>
            </w:r>
          </w:p>
        </w:tc>
        <w:tc>
          <w:tcPr>
            <w:tcW w:w="1343" w:type="dxa"/>
            <w:tcBorders>
              <w:top w:val="nil"/>
              <w:left w:val="nil"/>
              <w:bottom w:val="nil"/>
              <w:right w:val="nil"/>
            </w:tcBorders>
          </w:tcPr>
          <w:p w:rsidR="00D53CB5" w:rsidRPr="0076697A" w:rsidRDefault="00D53CB5" w:rsidP="003F508D">
            <w:pPr>
              <w:rPr>
                <w:sz w:val="20"/>
                <w:szCs w:val="20"/>
              </w:rPr>
            </w:pPr>
            <w:r w:rsidRPr="0076697A">
              <w:rPr>
                <w:sz w:val="20"/>
                <w:szCs w:val="20"/>
              </w:rPr>
              <w:t>Patient</w:t>
            </w:r>
          </w:p>
        </w:tc>
        <w:tc>
          <w:tcPr>
            <w:tcW w:w="2102" w:type="dxa"/>
            <w:tcBorders>
              <w:top w:val="nil"/>
              <w:left w:val="nil"/>
              <w:bottom w:val="nil"/>
              <w:right w:val="nil"/>
            </w:tcBorders>
          </w:tcPr>
          <w:p w:rsidR="00D53CB5" w:rsidRPr="0076697A" w:rsidRDefault="00D53CB5" w:rsidP="003F508D">
            <w:pPr>
              <w:rPr>
                <w:sz w:val="20"/>
                <w:szCs w:val="20"/>
              </w:rPr>
            </w:pPr>
            <w:r w:rsidRPr="0076697A">
              <w:rPr>
                <w:sz w:val="20"/>
                <w:szCs w:val="20"/>
              </w:rPr>
              <w:t xml:space="preserve">- </w:t>
            </w:r>
          </w:p>
          <w:p w:rsidR="00D53CB5" w:rsidRPr="0076697A" w:rsidRDefault="00D53CB5" w:rsidP="003F508D">
            <w:pPr>
              <w:rPr>
                <w:sz w:val="20"/>
                <w:szCs w:val="20"/>
              </w:rPr>
            </w:pPr>
            <w:r w:rsidRPr="0076697A">
              <w:rPr>
                <w:sz w:val="20"/>
                <w:szCs w:val="20"/>
              </w:rPr>
              <w:t>1</w:t>
            </w:r>
            <w:r w:rsidR="00D64D3E">
              <w:rPr>
                <w:sz w:val="20"/>
                <w:szCs w:val="20"/>
              </w:rPr>
              <w:t>0-20 seconds</w:t>
            </w:r>
          </w:p>
          <w:p w:rsidR="00D53CB5" w:rsidRPr="0076697A" w:rsidRDefault="00D53CB5" w:rsidP="003F508D">
            <w:pPr>
              <w:rPr>
                <w:sz w:val="20"/>
                <w:szCs w:val="20"/>
              </w:rPr>
            </w:pPr>
            <w:r w:rsidRPr="0076697A">
              <w:rPr>
                <w:sz w:val="20"/>
                <w:szCs w:val="20"/>
              </w:rPr>
              <w:t>&gt;20 seconds</w:t>
            </w:r>
            <w:bookmarkStart w:id="0" w:name="_GoBack"/>
            <w:bookmarkEnd w:id="0"/>
          </w:p>
        </w:tc>
        <w:tc>
          <w:tcPr>
            <w:tcW w:w="1912" w:type="dxa"/>
            <w:tcBorders>
              <w:top w:val="nil"/>
              <w:left w:val="nil"/>
              <w:bottom w:val="nil"/>
            </w:tcBorders>
          </w:tcPr>
          <w:p w:rsidR="00D53CB5" w:rsidRPr="0076697A" w:rsidRDefault="00D53CB5" w:rsidP="003F508D">
            <w:pPr>
              <w:rPr>
                <w:rFonts w:cs="Segoe UI"/>
                <w:i/>
                <w:sz w:val="20"/>
                <w:szCs w:val="20"/>
              </w:rPr>
            </w:pPr>
            <w:r w:rsidRPr="0076697A">
              <w:rPr>
                <w:rFonts w:cs="Segoe UI"/>
                <w:i/>
                <w:sz w:val="20"/>
                <w:szCs w:val="20"/>
              </w:rPr>
              <w:t>- If patients were immobile the TUG was scored as severely impaired.</w:t>
            </w:r>
          </w:p>
          <w:p w:rsidR="00D53CB5" w:rsidRPr="0076697A" w:rsidRDefault="00D53CB5" w:rsidP="003F508D">
            <w:pPr>
              <w:rPr>
                <w:sz w:val="20"/>
                <w:szCs w:val="20"/>
              </w:rPr>
            </w:pPr>
            <w:r w:rsidRPr="0076697A">
              <w:rPr>
                <w:i/>
                <w:sz w:val="20"/>
                <w:szCs w:val="20"/>
              </w:rPr>
              <w:t>- Average of three measurements</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r w:rsidRPr="00EF2A01">
              <w:rPr>
                <w:sz w:val="20"/>
                <w:szCs w:val="20"/>
              </w:rPr>
              <w:t>Mood</w:t>
            </w: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GDS </w:t>
            </w:r>
            <w:r w:rsidRPr="00773223">
              <w:rPr>
                <w:sz w:val="20"/>
                <w:szCs w:val="20"/>
              </w:rPr>
              <w:fldChar w:fldCharType="begin" w:fldLock="1"/>
            </w:r>
            <w:r w:rsidRPr="00773223">
              <w:rPr>
                <w:sz w:val="20"/>
                <w:szCs w:val="20"/>
              </w:rPr>
              <w:instrText>ADDIN CSL_CITATION { "citationItems" : [ { "id" : "ITEM-1", "itemData" : { "DOI" : "10.1300/J018v05n01_09", "ISSN" : "0731-7115", "abstract" : "No abstract available for this article.", "author" : [ { "dropping-particle" : "", "family" : "Yesavage", "given" : "Jerome A", "non-dropping-particle" : "", "parse-names" : false, "suffix" : "" }, { "dropping-particle" : "", "family" : "Sheikh", "given" : "Javaid I", "non-dropping-particle" : "", "parse-names" : false, "suffix" : "" } ], "container-title" : "Clinical Gerontologist", "id" : "ITEM-1", "issue" : "1-2", "issued" : { "date-parts" : [ [ "1986", "11", "18" ] ] }, "note" : "doi: 10.1300/J018v05n01_09", "page" : "165-173", "publisher" : "Routledge", "title" : "9/Geriatric Depression Scale (GDS)", "type" : "article-journal", "volume" : "5" }, "uris" : [ "http://www.mendeley.com/documents/?uuid=e9e8f44c-bf22-4096-9f72-d248fc95a6e8" ] }, { "id" : "ITEM-2", "itemData" : { "DOI" : "10.1097/JGP.0b013e318186bd67.Screening", "ISSN" : "1064-7481", "author" : [ { "dropping-particle" : "", "family" : "Marc", "given" : "Linda G.", "non-dropping-particle" : "", "parse-names" : false, "suffix" : "" }, { "dropping-particle" : "", "family" : "Raue", "given" : "Patrick J.", "non-dropping-particle" : "", "parse-names" : false, "suffix" : "" }, { "dropping-particle" : "", "family" : "Bruce", "given" : "Martha L.", "non-dropping-particle" : "", "parse-names" : false, "suffix" : "" } ], "container-title" : "Am J Geriatric Psychiatry", "id" : "ITEM-2", "issue" : "11", "issued" : { "date-parts" : [ [ "2008" ] ] }, "page" : "914-921", "title" : "Screening Performance of the Geriatric Depression Scale (GDS-15) in a Diverse Elderly Home Care Population", "type" : "article-journal", "volume" : "16" }, "uris" : [ "http://www.mendeley.com/documents/?uuid=3d762ff5-0c7e-4366-ae16-54a633d56494" ] } ], "mendeley" : { "formattedCitation" : "(23,24)", "plainTextFormattedCitation" : "(23,24)", "previouslyFormattedCitation" : "(23,24)" }, "properties" : {  }, "schema" : "https://github.com/citation-style-language/schema/raw/master/csl-citation.json" }</w:instrText>
            </w:r>
            <w:r w:rsidRPr="00773223">
              <w:rPr>
                <w:sz w:val="20"/>
                <w:szCs w:val="20"/>
              </w:rPr>
              <w:fldChar w:fldCharType="separate"/>
            </w:r>
            <w:r w:rsidRPr="00773223">
              <w:rPr>
                <w:noProof/>
                <w:sz w:val="20"/>
                <w:szCs w:val="20"/>
              </w:rPr>
              <w:t>(23,24)</w:t>
            </w:r>
            <w:r w:rsidRPr="00773223">
              <w:rPr>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Patient </w:t>
            </w:r>
          </w:p>
        </w:tc>
        <w:tc>
          <w:tcPr>
            <w:tcW w:w="2102" w:type="dxa"/>
            <w:tcBorders>
              <w:top w:val="nil"/>
              <w:left w:val="nil"/>
              <w:bottom w:val="nil"/>
              <w:right w:val="nil"/>
            </w:tcBorders>
          </w:tcPr>
          <w:p w:rsidR="00D53CB5" w:rsidRPr="004D778D" w:rsidRDefault="00D53CB5" w:rsidP="003F508D">
            <w:pPr>
              <w:rPr>
                <w:sz w:val="20"/>
                <w:szCs w:val="20"/>
              </w:rPr>
            </w:pPr>
            <w:r w:rsidRPr="00EF2A01">
              <w:rPr>
                <w:sz w:val="20"/>
                <w:szCs w:val="20"/>
              </w:rPr>
              <w:t>0-15 (</w:t>
            </w:r>
            <w:r w:rsidRPr="004D778D">
              <w:rPr>
                <w:rFonts w:cs="Segoe UI"/>
                <w:sz w:val="20"/>
                <w:szCs w:val="20"/>
              </w:rPr>
              <w:t>≥</w:t>
            </w:r>
            <w:r w:rsidRPr="004D778D">
              <w:rPr>
                <w:sz w:val="20"/>
                <w:szCs w:val="20"/>
              </w:rPr>
              <w:t>5)</w:t>
            </w:r>
          </w:p>
        </w:tc>
        <w:tc>
          <w:tcPr>
            <w:tcW w:w="1912" w:type="dxa"/>
            <w:tcBorders>
              <w:top w:val="nil"/>
              <w:left w:val="nil"/>
              <w:bottom w:val="nil"/>
            </w:tcBorders>
          </w:tcPr>
          <w:p w:rsidR="00D53CB5" w:rsidRPr="0076697A" w:rsidRDefault="00D53CB5" w:rsidP="003F508D">
            <w:pPr>
              <w:rPr>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p>
        </w:tc>
        <w:tc>
          <w:tcPr>
            <w:tcW w:w="1343" w:type="dxa"/>
            <w:tcBorders>
              <w:top w:val="nil"/>
              <w:left w:val="nil"/>
              <w:bottom w:val="nil"/>
              <w:right w:val="nil"/>
            </w:tcBorders>
          </w:tcPr>
          <w:p w:rsidR="00D53CB5" w:rsidRPr="00EF2A01" w:rsidRDefault="00D53CB5" w:rsidP="003F508D">
            <w:pPr>
              <w:rPr>
                <w:sz w:val="20"/>
                <w:szCs w:val="20"/>
              </w:rPr>
            </w:pPr>
          </w:p>
        </w:tc>
        <w:tc>
          <w:tcPr>
            <w:tcW w:w="2102" w:type="dxa"/>
            <w:tcBorders>
              <w:top w:val="nil"/>
              <w:left w:val="nil"/>
              <w:bottom w:val="nil"/>
              <w:right w:val="nil"/>
            </w:tcBorders>
          </w:tcPr>
          <w:p w:rsidR="00D53CB5" w:rsidRPr="004D778D" w:rsidRDefault="00D53CB5" w:rsidP="003F508D">
            <w:pPr>
              <w:rPr>
                <w:sz w:val="20"/>
                <w:szCs w:val="20"/>
              </w:rPr>
            </w:pPr>
          </w:p>
        </w:tc>
        <w:tc>
          <w:tcPr>
            <w:tcW w:w="1912" w:type="dxa"/>
            <w:tcBorders>
              <w:top w:val="nil"/>
              <w:left w:val="nil"/>
              <w:bottom w:val="nil"/>
            </w:tcBorders>
          </w:tcPr>
          <w:p w:rsidR="00D53CB5" w:rsidRPr="0076697A" w:rsidRDefault="00D53CB5" w:rsidP="003F508D">
            <w:pPr>
              <w:rPr>
                <w: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r w:rsidRPr="00EF2A01">
              <w:rPr>
                <w:sz w:val="20"/>
                <w:szCs w:val="20"/>
              </w:rPr>
              <w:t>Nutritional status</w:t>
            </w:r>
          </w:p>
        </w:tc>
        <w:tc>
          <w:tcPr>
            <w:tcW w:w="2355" w:type="dxa"/>
            <w:gridSpan w:val="2"/>
            <w:tcBorders>
              <w:top w:val="nil"/>
              <w:left w:val="nil"/>
              <w:bottom w:val="nil"/>
              <w:right w:val="nil"/>
            </w:tcBorders>
          </w:tcPr>
          <w:p w:rsidR="00D53CB5" w:rsidRPr="00EF2A01" w:rsidRDefault="00D53CB5" w:rsidP="003F508D">
            <w:pPr>
              <w:rPr>
                <w:rFonts w:cs="Segoe UI"/>
                <w:sz w:val="20"/>
                <w:szCs w:val="20"/>
              </w:rPr>
            </w:pPr>
            <w:r w:rsidRPr="00EF2A01">
              <w:rPr>
                <w:sz w:val="20"/>
                <w:szCs w:val="20"/>
              </w:rPr>
              <w:t xml:space="preserve">MNA </w:t>
            </w:r>
            <w:r w:rsidRPr="00EF2A01">
              <w:rPr>
                <w:rFonts w:cs="Segoe UI"/>
                <w:sz w:val="20"/>
                <w:szCs w:val="20"/>
              </w:rPr>
              <w:fldChar w:fldCharType="begin" w:fldLock="1"/>
            </w:r>
            <w:r w:rsidRPr="0076697A">
              <w:rPr>
                <w:rFonts w:cs="Segoe UI"/>
                <w:sz w:val="20"/>
                <w:szCs w:val="20"/>
              </w:rPr>
              <w:instrText>ADDIN CSL_CITATION { "citationItems" : [ { "id" : "ITEM-1", "itemData" : { "DOI" : "10.1159/000062967", "ISBN" : "1422-7584 (Print)\\r1422-7584 (Linking)", "ISSN" : "1422-7584", "PMID" : "11490593", "abstract" : "The Mini Nutritional Assessment (MNA) has recently been designed and validated to provide a single, rapid assessment of nutritional status in elderly patients in outpatient clinics, hospitals, and nursing homes. It has been translated into several languages and validated in many clinics around the world. The MNA test is composed of simple measurements and brief questions that can be completed in about 10 min. Discriminant analysis was used to compare the findings of the MNA with the nutritional status determined by physicians, using the standard extensive nutritional assessment including complete anthropometric, clinical biochemistry, and dietary parameters. The sum of the MNA score distinguishes between elderly patients with: 1) adequate nutritional status, MNA &gt; or = 24; 2) protein-calorie malnutrition, MNA &lt; 17; 3) at risk of malnutrition, MNA between 17 and 23.5. With this scoring, sensitivity was found to be 96%, specificity 98%, and predictive value 97%. The MNA scale was also found to be predictive of mortality and hospital cost. Most important it is possible to identify people at risk for malnutrition, scores between 17 and 23.5, before severe changes in weight or albumin levels occur. These individuals are more likely to have a decrease in caloric intake that can be easily corrected by nutritional intervention.", "author" : [ { "dropping-particle" : "", "family" : "Guigoz", "given" : "Y", "non-dropping-particle" : "", "parse-names" : false, "suffix" : "" }, { "dropping-particle" : "", "family" : "Vellas", "given" : "B", "non-dropping-particle" : "", "parse-names" : false, "suffix" : "" } ], "container-title" : "Nestle Nutrition workshop series. Clinical &amp; performance programme", "id" : "ITEM-1", "issue" : "2", "issued" : { "date-parts" : [ [ "1999" ] ] }, "page" : "3-11; discussion 11-12", "title" : "The Mini Nutritional Assessment (MNA) for grading the nutritional state of elderly patients: presentation of the MNA, history and validation.", "type" : "article-journal", "volume" : "1" }, "uris" : [ "http://www.mendeley.com/documents/?uuid=b6c76c3e-3eed-48d1-8a7e-243c63ee8662" ] } ], "mendeley" : { "formattedCitation" : "(25)", "plainTextFormattedCitation" : "(25)", "previouslyFormattedCitation" : "(25)" }, "properties" : {  }, "schema" : "https://github.com/citation-style-language/schema/raw/master/csl-citation.json" }</w:instrText>
            </w:r>
            <w:r w:rsidRPr="00EF2A01">
              <w:rPr>
                <w:rFonts w:cs="Segoe UI"/>
                <w:sz w:val="20"/>
                <w:szCs w:val="20"/>
              </w:rPr>
              <w:fldChar w:fldCharType="separate"/>
            </w:r>
            <w:r w:rsidRPr="00EF2A01">
              <w:rPr>
                <w:rFonts w:cs="Segoe UI"/>
                <w:noProof/>
                <w:sz w:val="20"/>
                <w:szCs w:val="20"/>
              </w:rPr>
              <w:t>(25)</w:t>
            </w:r>
            <w:r w:rsidRPr="00EF2A01">
              <w:rPr>
                <w:rFonts w:cs="Segoe UI"/>
                <w:sz w:val="20"/>
                <w:szCs w:val="20"/>
              </w:rPr>
              <w:fldChar w:fldCharType="end"/>
            </w:r>
          </w:p>
          <w:p w:rsidR="00D53CB5" w:rsidRPr="00EF2A01" w:rsidRDefault="00D53CB5" w:rsidP="003F508D">
            <w:pPr>
              <w:rPr>
                <w:rFonts w:cs="Segoe UI"/>
                <w:sz w:val="20"/>
                <w:szCs w:val="20"/>
              </w:rPr>
            </w:pPr>
            <w:r w:rsidRPr="00EF2A01">
              <w:rPr>
                <w:rFonts w:cs="Segoe UI"/>
                <w:sz w:val="20"/>
                <w:szCs w:val="20"/>
              </w:rPr>
              <w:t>- At risk for malnutrition</w:t>
            </w:r>
          </w:p>
          <w:p w:rsidR="00D53CB5" w:rsidRPr="004D778D" w:rsidRDefault="00D53CB5" w:rsidP="003F508D">
            <w:pPr>
              <w:rPr>
                <w:sz w:val="20"/>
                <w:szCs w:val="20"/>
              </w:rPr>
            </w:pPr>
            <w:r w:rsidRPr="00EF2A01">
              <w:rPr>
                <w:rFonts w:cs="Segoe UI"/>
                <w:sz w:val="20"/>
                <w:szCs w:val="20"/>
              </w:rPr>
              <w:t>- Malnourished</w:t>
            </w:r>
          </w:p>
        </w:tc>
        <w:tc>
          <w:tcPr>
            <w:tcW w:w="1343" w:type="dxa"/>
            <w:tcBorders>
              <w:top w:val="nil"/>
              <w:left w:val="nil"/>
              <w:bottom w:val="nil"/>
              <w:right w:val="nil"/>
            </w:tcBorders>
          </w:tcPr>
          <w:p w:rsidR="00D53CB5" w:rsidRPr="0076697A" w:rsidRDefault="00D53CB5" w:rsidP="003F508D">
            <w:pPr>
              <w:rPr>
                <w:sz w:val="20"/>
                <w:szCs w:val="20"/>
              </w:rPr>
            </w:pPr>
            <w:r w:rsidRPr="0076697A">
              <w:rPr>
                <w:sz w:val="20"/>
                <w:szCs w:val="20"/>
              </w:rPr>
              <w:t>Patient</w:t>
            </w:r>
          </w:p>
        </w:tc>
        <w:tc>
          <w:tcPr>
            <w:tcW w:w="2102" w:type="dxa"/>
            <w:tcBorders>
              <w:top w:val="nil"/>
              <w:left w:val="nil"/>
              <w:bottom w:val="nil"/>
              <w:right w:val="nil"/>
            </w:tcBorders>
          </w:tcPr>
          <w:p w:rsidR="00D53CB5" w:rsidRPr="0076697A" w:rsidRDefault="00D53CB5" w:rsidP="003F508D">
            <w:pPr>
              <w:rPr>
                <w:rFonts w:cs="Segoe UI"/>
                <w:sz w:val="20"/>
                <w:szCs w:val="20"/>
              </w:rPr>
            </w:pPr>
            <w:r w:rsidRPr="0076697A">
              <w:rPr>
                <w:rFonts w:cs="Segoe UI"/>
                <w:sz w:val="20"/>
                <w:szCs w:val="20"/>
              </w:rPr>
              <w:t xml:space="preserve">0-30 </w:t>
            </w:r>
          </w:p>
          <w:p w:rsidR="00D53CB5" w:rsidRPr="0076697A" w:rsidRDefault="00D53CB5" w:rsidP="003F508D">
            <w:pPr>
              <w:rPr>
                <w:rFonts w:cs="Segoe UI"/>
                <w:sz w:val="20"/>
                <w:szCs w:val="20"/>
              </w:rPr>
            </w:pPr>
            <w:r w:rsidRPr="0076697A">
              <w:rPr>
                <w:rFonts w:cs="Segoe UI"/>
                <w:sz w:val="20"/>
                <w:szCs w:val="20"/>
              </w:rPr>
              <w:t>17-23.5</w:t>
            </w:r>
          </w:p>
          <w:p w:rsidR="00D53CB5" w:rsidRPr="0076697A" w:rsidRDefault="00D53CB5" w:rsidP="003F508D">
            <w:pPr>
              <w:rPr>
                <w:rFonts w:cs="Segoe UI"/>
                <w:sz w:val="20"/>
                <w:szCs w:val="20"/>
              </w:rPr>
            </w:pPr>
            <w:r w:rsidRPr="0076697A">
              <w:rPr>
                <w:rFonts w:cs="Segoe UI"/>
                <w:sz w:val="20"/>
                <w:szCs w:val="20"/>
              </w:rPr>
              <w:t>&lt;17</w:t>
            </w: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p w:rsidR="00D53CB5" w:rsidRPr="00EF2A01" w:rsidRDefault="00D53CB5" w:rsidP="003F508D">
            <w:pPr>
              <w:rPr>
                <w:sz w:val="20"/>
                <w:szCs w:val="20"/>
              </w:rPr>
            </w:pPr>
            <w:r w:rsidRPr="00EF2A01">
              <w:rPr>
                <w:sz w:val="20"/>
                <w:szCs w:val="20"/>
              </w:rPr>
              <w:t xml:space="preserve">Frailty </w:t>
            </w:r>
          </w:p>
        </w:tc>
        <w:tc>
          <w:tcPr>
            <w:tcW w:w="2355" w:type="dxa"/>
            <w:gridSpan w:val="2"/>
            <w:tcBorders>
              <w:top w:val="nil"/>
              <w:left w:val="nil"/>
              <w:bottom w:val="nil"/>
              <w:right w:val="nil"/>
            </w:tcBorders>
          </w:tcPr>
          <w:p w:rsidR="00D53CB5" w:rsidRPr="00EF2A01" w:rsidRDefault="00D53CB5" w:rsidP="003F508D">
            <w:pPr>
              <w:rPr>
                <w:sz w:val="20"/>
                <w:szCs w:val="20"/>
              </w:rPr>
            </w:pPr>
          </w:p>
          <w:p w:rsidR="00D53CB5" w:rsidRPr="004D778D" w:rsidRDefault="00D53CB5" w:rsidP="003F508D">
            <w:pPr>
              <w:rPr>
                <w:sz w:val="20"/>
                <w:szCs w:val="20"/>
              </w:rPr>
            </w:pPr>
            <w:r w:rsidRPr="004D778D">
              <w:rPr>
                <w:sz w:val="20"/>
                <w:szCs w:val="20"/>
              </w:rPr>
              <w:t>Geriatric assessment</w:t>
            </w:r>
          </w:p>
          <w:p w:rsidR="00D53CB5" w:rsidRPr="0076697A" w:rsidRDefault="00D53CB5" w:rsidP="003F508D">
            <w:pPr>
              <w:rPr>
                <w:sz w:val="20"/>
                <w:szCs w:val="20"/>
              </w:rPr>
            </w:pPr>
          </w:p>
        </w:tc>
        <w:tc>
          <w:tcPr>
            <w:tcW w:w="1343" w:type="dxa"/>
            <w:tcBorders>
              <w:top w:val="nil"/>
              <w:left w:val="nil"/>
              <w:bottom w:val="nil"/>
              <w:right w:val="nil"/>
            </w:tcBorders>
          </w:tcPr>
          <w:p w:rsidR="00D53CB5" w:rsidRPr="0076697A" w:rsidRDefault="00D53CB5" w:rsidP="003F508D">
            <w:pPr>
              <w:rPr>
                <w:sz w:val="20"/>
                <w:szCs w:val="20"/>
              </w:rPr>
            </w:pPr>
          </w:p>
          <w:p w:rsidR="00D53CB5" w:rsidRPr="0076697A" w:rsidRDefault="00D53CB5" w:rsidP="003F508D">
            <w:pPr>
              <w:rPr>
                <w:sz w:val="20"/>
                <w:szCs w:val="20"/>
              </w:rPr>
            </w:pPr>
            <w:r w:rsidRPr="0076697A">
              <w:rPr>
                <w:sz w:val="20"/>
                <w:szCs w:val="20"/>
              </w:rPr>
              <w:t>Patient</w:t>
            </w:r>
          </w:p>
        </w:tc>
        <w:tc>
          <w:tcPr>
            <w:tcW w:w="2102" w:type="dxa"/>
            <w:tcBorders>
              <w:top w:val="nil"/>
              <w:left w:val="nil"/>
              <w:bottom w:val="nil"/>
              <w:right w:val="nil"/>
            </w:tcBorders>
          </w:tcPr>
          <w:p w:rsidR="00D53CB5" w:rsidRPr="0076697A" w:rsidRDefault="00D53CB5" w:rsidP="003F508D">
            <w:pPr>
              <w:rPr>
                <w:rFonts w:cs="Segoe UI"/>
                <w:sz w:val="20"/>
                <w:szCs w:val="20"/>
              </w:rPr>
            </w:pPr>
          </w:p>
          <w:p w:rsidR="00D53CB5" w:rsidRPr="0076697A" w:rsidRDefault="00D53CB5" w:rsidP="003F508D">
            <w:pPr>
              <w:rPr>
                <w:rFonts w:cs="Segoe UI"/>
                <w:sz w:val="20"/>
                <w:szCs w:val="20"/>
              </w:rPr>
            </w:pPr>
            <w:r w:rsidRPr="0076697A">
              <w:rPr>
                <w:rFonts w:cs="Segoe UI"/>
                <w:sz w:val="20"/>
                <w:szCs w:val="20"/>
              </w:rPr>
              <w:t>0-7 (≥</w:t>
            </w:r>
            <w:r w:rsidRPr="0076697A">
              <w:rPr>
                <w:sz w:val="20"/>
                <w:szCs w:val="20"/>
              </w:rPr>
              <w:t>2 Geriatric impairments*)</w:t>
            </w:r>
          </w:p>
        </w:tc>
        <w:tc>
          <w:tcPr>
            <w:tcW w:w="1912" w:type="dxa"/>
            <w:tcBorders>
              <w:top w:val="nil"/>
              <w:left w:val="nil"/>
              <w:bottom w:val="nil"/>
            </w:tcBorders>
          </w:tcPr>
          <w:p w:rsidR="00D53CB5" w:rsidRPr="0076697A" w:rsidRDefault="00D53CB5" w:rsidP="003F508D">
            <w:pPr>
              <w:rPr>
                <w:rFonts w:cs="Segoe UI"/>
                <w: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Fried frailty index </w:t>
            </w:r>
            <w:r w:rsidRPr="00773223">
              <w:rPr>
                <w:rFonts w:cs="Segoe UI"/>
                <w:sz w:val="20"/>
                <w:szCs w:val="20"/>
              </w:rPr>
              <w:fldChar w:fldCharType="begin" w:fldLock="1"/>
            </w:r>
            <w:r w:rsidRPr="00773223">
              <w:rPr>
                <w:rFonts w:cs="Segoe UI"/>
                <w:sz w:val="20"/>
                <w:szCs w:val="20"/>
              </w:rPr>
              <w:instrText>ADDIN CSL_CITATION { "citationItems" : [ { "id" : "ITEM-1", "itemData" : { "DOI" : "10.1093/gerona/56.3.M146", "ISBN" : "1079-5006", "ISSN" : "1079-5006", "PMID" : "11253156", "abstract" : "Background.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 "author" : [ { "dropping-particle" : "", "family" : "Fried", "given" : "L.P.", "non-dropping-particle" : "", "parse-names" : false, "suffix" : "" }, { "dropping-particle" : "", "family" : "Tangen", "given" : "C.M.", "non-dropping-particle" : "", "parse-names" : false, "suffix" : "" }, { "dropping-particle" : "", "family" : "Walston", "given" : "J.", "non-dropping-particle" : "", "parse-names" : false, "suffix" : "" }, { "dropping-particle" : "", "family" : "Newman", "given" : "A.B.", "non-dropping-particle" : "", "parse-names" : false, "suffix" : "" }, { "dropping-particle" : "", "family" : "Hirsch", "given" : "C.", "non-dropping-particle" : "", "parse-names" : false, "suffix" : "" }, { "dropping-particle" : "", "family" : "Gottdiener", "given" : "J.", "non-dropping-particle" : "", "parse-names" : false, "suffix" : "" }, { "dropping-particle" : "", "family" : "Seeman", "given" : "T.", "non-dropping-particle" : "", "parse-names" : false, "suffix" : "" }, { "dropping-particle" : "", "family" : "Tracy", "given" : "R.", "non-dropping-particle" : "", "parse-names" : false, "suffix" : "" }, { "dropping-particle" : "", "family" : "Kop", "given" : "W.J.", "non-dropping-particle" : "", "parse-names" : false, "suffix" : "" }, { "dropping-particle" : "", "family" : "Burke", "given" : "G.", "non-dropping-particle" : "", "parse-names" : false, "suffix" : "" }, { "dropping-particle" : "", "family" : "Mcburnie", "given" : "M.", "non-dropping-particle" : "", "parse-names" : false, "suffix" : "" } ], "container-title" : "Journal of Gerontology: MEDICAL SCIENCES America", "id" : "ITEM-1", "issue" : "3", "issued" : { "date-parts" : [ [ "2001" ] ] }, "page" : "146-156", "title" : "Frailty in Older Adults: Evidence for a Phenotype", "type" : "article-journal", "volume" : "56" }, "uris" : [ "http://www.mendeley.com/documents/?uuid=f1a5b3f4-f53f-4a61-992a-7f3d72182140" ] } ], "mendeley" : { "formattedCitation" : "(6)", "plainTextFormattedCitation" : "(6)", "previouslyFormattedCitation" : "(6)" }, "properties" : {  }, "schema" : "https://github.com/citation-style-language/schema/raw/master/csl-citation.json" }</w:instrText>
            </w:r>
            <w:r w:rsidRPr="00773223">
              <w:rPr>
                <w:rFonts w:cs="Segoe UI"/>
                <w:sz w:val="20"/>
                <w:szCs w:val="20"/>
              </w:rPr>
              <w:fldChar w:fldCharType="separate"/>
            </w:r>
            <w:r w:rsidRPr="00773223">
              <w:rPr>
                <w:rFonts w:cs="Segoe UI"/>
                <w:noProof/>
                <w:sz w:val="20"/>
                <w:szCs w:val="20"/>
              </w:rPr>
              <w:t>(6)</w:t>
            </w:r>
            <w:r w:rsidRPr="00773223">
              <w:rPr>
                <w:rFonts w:cs="Segoe UI"/>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rFonts w:cs="Segoe UI"/>
                <w:sz w:val="20"/>
                <w:szCs w:val="20"/>
              </w:rPr>
            </w:pPr>
            <w:r w:rsidRPr="00EF2A01">
              <w:rPr>
                <w:rFonts w:cs="Segoe UI"/>
                <w:sz w:val="20"/>
                <w:szCs w:val="20"/>
              </w:rPr>
              <w:t>0-5 (</w:t>
            </w:r>
            <w:r w:rsidRPr="00773223">
              <w:rPr>
                <w:rFonts w:cs="Segoe UI"/>
                <w:sz w:val="20"/>
                <w:szCs w:val="20"/>
              </w:rPr>
              <w:t>≥3)</w:t>
            </w:r>
          </w:p>
        </w:tc>
        <w:tc>
          <w:tcPr>
            <w:tcW w:w="1912" w:type="dxa"/>
            <w:tcBorders>
              <w:top w:val="nil"/>
              <w:left w:val="nil"/>
              <w:bottom w:val="nil"/>
            </w:tcBorders>
          </w:tcPr>
          <w:p w:rsidR="00D53CB5" w:rsidRPr="00EF2A01" w:rsidRDefault="00D53CB5" w:rsidP="003F508D">
            <w:pPr>
              <w:rPr>
                <w:rFonts w:cs="Segoe UI"/>
                <w: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- 4 meter walking test</w:t>
            </w:r>
          </w:p>
        </w:tc>
        <w:tc>
          <w:tcPr>
            <w:tcW w:w="1343" w:type="dxa"/>
            <w:tcBorders>
              <w:top w:val="nil"/>
              <w:left w:val="nil"/>
              <w:bottom w:val="nil"/>
              <w:right w:val="nil"/>
            </w:tcBorders>
          </w:tcPr>
          <w:p w:rsidR="00D53CB5" w:rsidRPr="004D778D" w:rsidRDefault="00D53CB5" w:rsidP="003F508D">
            <w:pPr>
              <w:rPr>
                <w:sz w:val="20"/>
                <w:szCs w:val="20"/>
              </w:rPr>
            </w:pPr>
            <w:r w:rsidRPr="00EF2A01">
              <w:rPr>
                <w:sz w:val="20"/>
                <w:szCs w:val="20"/>
              </w:rPr>
              <w:t xml:space="preserve">Patient </w:t>
            </w:r>
          </w:p>
        </w:tc>
        <w:tc>
          <w:tcPr>
            <w:tcW w:w="2102" w:type="dxa"/>
            <w:tcBorders>
              <w:top w:val="nil"/>
              <w:left w:val="nil"/>
              <w:bottom w:val="nil"/>
              <w:right w:val="nil"/>
            </w:tcBorders>
          </w:tcPr>
          <w:p w:rsidR="00D53CB5" w:rsidRPr="0076697A" w:rsidRDefault="00D53CB5" w:rsidP="003F508D">
            <w:pPr>
              <w:rPr>
                <w:rFonts w:cs="Segoe UI"/>
                <w:sz w:val="20"/>
                <w:szCs w:val="20"/>
              </w:rPr>
            </w:pPr>
            <w:r w:rsidRPr="0076697A">
              <w:rPr>
                <w:rFonts w:cs="Segoe UI"/>
                <w:sz w:val="20"/>
                <w:szCs w:val="20"/>
              </w:rPr>
              <w:t>- (&gt;6 seconds)</w:t>
            </w:r>
          </w:p>
        </w:tc>
        <w:tc>
          <w:tcPr>
            <w:tcW w:w="1912" w:type="dxa"/>
            <w:tcBorders>
              <w:top w:val="nil"/>
              <w:left w:val="nil"/>
              <w:bottom w:val="nil"/>
            </w:tcBorders>
          </w:tcPr>
          <w:p w:rsidR="00D53CB5" w:rsidRPr="0076697A" w:rsidRDefault="00D53CB5" w:rsidP="003F508D">
            <w:pPr>
              <w:rPr>
                <w:rFonts w:cs="Segoe UI"/>
                <w: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 Handgrip strength </w:t>
            </w:r>
            <w:r w:rsidRPr="00773223">
              <w:rPr>
                <w:sz w:val="20"/>
                <w:szCs w:val="20"/>
              </w:rPr>
              <w:fldChar w:fldCharType="begin" w:fldLock="1"/>
            </w:r>
            <w:r>
              <w:rPr>
                <w:sz w:val="20"/>
                <w:szCs w:val="20"/>
              </w:rPr>
              <w:instrText>ADDIN CSL_CITATION { "citationItems" : [ { "id" : "ITEM-1", "itemData" : { "id" : "ITEM-1", "issued" : { "date-parts" : [ [ "0" ] ] }, "title" : "Electronic hand dynamometer, instructions for use", "type" : "article" }, "uris" : [ "http://www.mendeley.com/documents/?uuid=1ef44138-b401-4ae5-816a-80b4dcbb071e" ] } ], "mendeley" : { "formattedCitation" : "(51)", "plainTextFormattedCitation" : "(51)", "previouslyFormattedCitation" : "(51)" }, "properties" : {  }, "schema" : "https://github.com/citation-style-language/schema/raw/master/csl-citation.json" }</w:instrText>
            </w:r>
            <w:r w:rsidRPr="00773223">
              <w:rPr>
                <w:sz w:val="20"/>
                <w:szCs w:val="20"/>
              </w:rPr>
              <w:fldChar w:fldCharType="separate"/>
            </w:r>
            <w:r w:rsidRPr="00771687">
              <w:rPr>
                <w:noProof/>
                <w:sz w:val="20"/>
                <w:szCs w:val="20"/>
              </w:rPr>
              <w:t>(51)</w:t>
            </w:r>
            <w:r w:rsidRPr="00773223">
              <w:rPr>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773223" w:rsidRDefault="00D53CB5" w:rsidP="003F508D">
            <w:pPr>
              <w:rPr>
                <w:rFonts w:cs="Segoe UI"/>
                <w:sz w:val="20"/>
                <w:szCs w:val="20"/>
                <w:u w:val="single"/>
              </w:rPr>
            </w:pPr>
            <w:r w:rsidRPr="00773223">
              <w:rPr>
                <w:rFonts w:cs="Segoe UI"/>
                <w:sz w:val="20"/>
                <w:szCs w:val="20"/>
                <w:u w:val="single"/>
              </w:rPr>
              <w:t xml:space="preserve">Men </w:t>
            </w:r>
          </w:p>
          <w:p w:rsidR="00D53CB5" w:rsidRPr="00773223" w:rsidRDefault="00D53CB5" w:rsidP="003F508D">
            <w:pPr>
              <w:rPr>
                <w:sz w:val="20"/>
                <w:szCs w:val="20"/>
              </w:rPr>
            </w:pPr>
            <w:r w:rsidRPr="00773223">
              <w:rPr>
                <w:sz w:val="20"/>
                <w:szCs w:val="20"/>
              </w:rPr>
              <w:t>≥70 years: 21.</w:t>
            </w:r>
            <w:r>
              <w:rPr>
                <w:sz w:val="20"/>
                <w:szCs w:val="20"/>
              </w:rPr>
              <w:t>3</w:t>
            </w:r>
            <w:r w:rsidRPr="00773223">
              <w:rPr>
                <w:sz w:val="20"/>
                <w:szCs w:val="20"/>
              </w:rPr>
              <w:t xml:space="preserve">kg </w:t>
            </w:r>
          </w:p>
          <w:p w:rsidR="00D53CB5" w:rsidRPr="00773223" w:rsidRDefault="00D53CB5" w:rsidP="003F508D">
            <w:pPr>
              <w:rPr>
                <w:sz w:val="20"/>
                <w:szCs w:val="20"/>
              </w:rPr>
            </w:pPr>
            <w:r w:rsidRPr="00773223">
              <w:rPr>
                <w:sz w:val="20"/>
                <w:szCs w:val="20"/>
              </w:rPr>
              <w:t>&lt;70 years: 28.2kg</w:t>
            </w:r>
          </w:p>
          <w:p w:rsidR="00D53CB5" w:rsidRPr="00773223" w:rsidRDefault="00D53CB5" w:rsidP="003F508D">
            <w:pPr>
              <w:rPr>
                <w:sz w:val="20"/>
                <w:szCs w:val="20"/>
                <w:u w:val="single"/>
              </w:rPr>
            </w:pPr>
            <w:r w:rsidRPr="00773223">
              <w:rPr>
                <w:sz w:val="20"/>
                <w:szCs w:val="20"/>
                <w:u w:val="single"/>
              </w:rPr>
              <w:t xml:space="preserve">Women </w:t>
            </w:r>
          </w:p>
          <w:p w:rsidR="00D53CB5" w:rsidRPr="00773223" w:rsidRDefault="00D53CB5" w:rsidP="003F508D">
            <w:pPr>
              <w:rPr>
                <w:sz w:val="20"/>
                <w:szCs w:val="20"/>
              </w:rPr>
            </w:pPr>
            <w:r w:rsidRPr="00773223">
              <w:rPr>
                <w:sz w:val="20"/>
                <w:szCs w:val="20"/>
              </w:rPr>
              <w:t>≥70 years: 14.7kg</w:t>
            </w:r>
          </w:p>
          <w:p w:rsidR="00D53CB5" w:rsidRPr="00EF2A01" w:rsidRDefault="00D53CB5" w:rsidP="003F508D">
            <w:pPr>
              <w:rPr>
                <w:sz w:val="20"/>
                <w:szCs w:val="20"/>
              </w:rPr>
            </w:pPr>
            <w:r w:rsidRPr="00773223">
              <w:rPr>
                <w:sz w:val="20"/>
                <w:szCs w:val="20"/>
              </w:rPr>
              <w:t>&lt;70 years: 15.4kg</w:t>
            </w:r>
          </w:p>
        </w:tc>
        <w:tc>
          <w:tcPr>
            <w:tcW w:w="1912" w:type="dxa"/>
            <w:tcBorders>
              <w:top w:val="nil"/>
              <w:left w:val="nil"/>
              <w:bottom w:val="nil"/>
            </w:tcBorders>
          </w:tcPr>
          <w:p w:rsidR="00D53CB5" w:rsidRPr="00EF2A01" w:rsidRDefault="00D53CB5" w:rsidP="003F508D">
            <w:pPr>
              <w:rPr>
                <w:rFonts w:cs="Segoe UI"/>
                <w:i/>
                <w:sz w:val="20"/>
                <w:szCs w:val="20"/>
              </w:rPr>
            </w:pPr>
          </w:p>
        </w:tc>
      </w:tr>
      <w:tr w:rsidR="00D53CB5" w:rsidRPr="005D2FE7" w:rsidTr="003F508D">
        <w:trPr>
          <w:trHeight w:val="439"/>
        </w:trPr>
        <w:tc>
          <w:tcPr>
            <w:tcW w:w="1864" w:type="dxa"/>
            <w:tcBorders>
              <w:top w:val="nil"/>
              <w:bottom w:val="nil"/>
              <w:right w:val="nil"/>
            </w:tcBorders>
          </w:tcPr>
          <w:p w:rsidR="00D53CB5" w:rsidRPr="00EF2A01" w:rsidRDefault="00D53CB5" w:rsidP="003F508D">
            <w:pPr>
              <w:rPr>
                <w:sz w:val="20"/>
                <w:szCs w:val="20"/>
              </w:rPr>
            </w:pPr>
          </w:p>
        </w:tc>
        <w:tc>
          <w:tcPr>
            <w:tcW w:w="2355"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 xml:space="preserve">GFI </w:t>
            </w:r>
            <w:r w:rsidRPr="00773223">
              <w:rPr>
                <w:rFonts w:cs="Segoe UI"/>
                <w:sz w:val="20"/>
                <w:szCs w:val="20"/>
              </w:rPr>
              <w:fldChar w:fldCharType="begin" w:fldLock="1"/>
            </w:r>
            <w:r>
              <w:rPr>
                <w:rFonts w:cs="Segoe UI"/>
                <w:sz w:val="20"/>
                <w:szCs w:val="20"/>
              </w:rPr>
              <w:instrText>ADDIN CSL_CITATION { "citationItems" : [ { "id" : "ITEM-1", "itemData" : { "DOI" : "10.1016/j.jamda.2012.04.007", "ISBN" : "1525-8610\\n1538-9375", "ISSN" : "15258610", "PMID" : "22579590", "abstract" : "Objectives: To enable prevention of poor outcome in elderly people, a valid instrument is required to detect individuals at high risk. The concept of frailty is a better predictor than age alone. The Groningen Frailty Indicator (GFI) has been developed to identify frailty. We assessed feasibility, reliability, and construct validity of the self-assessment version of the GFI. Design: Cross-sectional. Setting: Community-based. Participants: Home-dwelling and institutionalized elderly persons were included in the study (n = 353) who met the following inclusion criteria: persons 65 years and older who were able to fill out questionnaires. Measurements: The feasibility of the GFI was assessed by determining the proportion of missing values per item. The internal consistency reliability of the GFI was established by calculating the KR-20. Mann-Whitney and Kruskal-Wallis tests were applied to assess discrimination between specific subgroups (known group validity). Convergent and discriminant validity was assessed using Spearman Rank correlations between GFI and diseases and disorders, case complexity, and health care needs (INTERMED), life satisfaction (Cantril Ladder of Life), activities of daily living (Katz), quality of life (EQ-5D), and mental health (SF-36). Finally, we used multivariate regression analyses to evaluate the cutoff score of the GFI (&lt;4 versus \u22654). Results: A total of 296 (84%) of the participants completed all items of the GFI; the internal consistency was 0.68. The GFI yielded statistically significant GFI scores for subgroups (known group validity). The correlations for the convergent (range 0.45 to 0.61) and discriminant validity (range 0.08 to 0.50) were also as hypothesized. In contrast with nonfrail participants, frail older persons had higher levels of case complexity, disability, and lower quality of life and life satisfaction. Conclusions: This study supports the feasibility, reliability, and validity of the self-assessment version of the GFI in home-dwelling and institutionalized elderly people. \u00a9 2012 American Medical Directors Association.", "author" : [ { "dropping-particle" : "", "family" : "Peters", "given" : "Lilian L.", "non-dropping-particle" : "", "parse-names" : false, "suffix" : "" }, { "dropping-particle" : "", "family" : "Boter", "given" : "Han", "non-dropping-particle" : "", "parse-names" : false, "suffix" : "" }, { "dropping-particle" : "", "family" : "Buskens", "given" : "Erik", "non-dropping-particle" : "", "parse-names" : false, "suffix" : "" }, { "dropping-particle" : "", "family" : "Slaets", "given" : "Joris P.J.", "non-dropping-particle" : "", "parse-names" : false, "suffix" : "" } ], "container-title" : "Journal of the American Medical Directors Association", "id" : "ITEM-1", "issue" : "6", "issued" : { "date-parts" : [ [ "2012" ] ] }, "page" : "546-551", "publisher" : "Elsevier", "title" : "Measurement Properties of the Groningen Frailty Indicator in Home-Dwelling and Institutionalized Elderly People", "type" : "article-journal", "volume" : "13" }, "uris" : [ "http://www.mendeley.com/documents/?uuid=1fa54bc8-cf70-44d0-ac2d-b776508aea20" ] } ], "mendeley" : { "formattedCitation" : "(37)", "plainTextFormattedCitation" : "(37)", "previouslyFormattedCitation" : "(37)" }, "properties" : {  }, "schema" : "https://github.com/citation-style-language/schema/raw/master/csl-citation.json" }</w:instrText>
            </w:r>
            <w:r w:rsidRPr="00773223">
              <w:rPr>
                <w:rFonts w:cs="Segoe UI"/>
                <w:sz w:val="20"/>
                <w:szCs w:val="20"/>
              </w:rPr>
              <w:fldChar w:fldCharType="separate"/>
            </w:r>
            <w:r w:rsidRPr="002764D8">
              <w:rPr>
                <w:rFonts w:cs="Segoe UI"/>
                <w:noProof/>
                <w:sz w:val="20"/>
                <w:szCs w:val="20"/>
              </w:rPr>
              <w:t>(37)</w:t>
            </w:r>
            <w:r w:rsidRPr="00773223">
              <w:rPr>
                <w:rFonts w:cs="Segoe UI"/>
                <w:sz w:val="20"/>
                <w:szCs w:val="20"/>
              </w:rPr>
              <w:fldChar w:fldCharType="end"/>
            </w:r>
          </w:p>
        </w:tc>
        <w:tc>
          <w:tcPr>
            <w:tcW w:w="1343" w:type="dxa"/>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rFonts w:cs="Segoe UI"/>
                <w:sz w:val="20"/>
                <w:szCs w:val="20"/>
              </w:rPr>
            </w:pPr>
            <w:r w:rsidRPr="00EF2A01">
              <w:rPr>
                <w:rFonts w:cs="Segoe UI"/>
                <w:sz w:val="20"/>
                <w:szCs w:val="20"/>
              </w:rPr>
              <w:t>0-15 (</w:t>
            </w:r>
            <w:r w:rsidRPr="00773223">
              <w:rPr>
                <w:rFonts w:cs="Segoe UI"/>
                <w:sz w:val="20"/>
                <w:szCs w:val="20"/>
              </w:rPr>
              <w:t>≥4)</w:t>
            </w:r>
          </w:p>
        </w:tc>
        <w:tc>
          <w:tcPr>
            <w:tcW w:w="1912" w:type="dxa"/>
            <w:tcBorders>
              <w:top w:val="nil"/>
              <w:left w:val="nil"/>
              <w:bottom w:val="nil"/>
            </w:tcBorders>
          </w:tcPr>
          <w:p w:rsidR="00D53CB5" w:rsidRPr="00EF2A01" w:rsidRDefault="00D53CB5" w:rsidP="003F508D">
            <w:pPr>
              <w:rPr>
                <w:rFonts w:cs="Segoe UI"/>
                <w:i/>
                <w:sz w:val="20"/>
                <w:szCs w:val="20"/>
              </w:rPr>
            </w:pPr>
          </w:p>
        </w:tc>
      </w:tr>
      <w:tr w:rsidR="00D53CB5" w:rsidRPr="005D2FE7" w:rsidTr="003F508D">
        <w:tc>
          <w:tcPr>
            <w:tcW w:w="7664" w:type="dxa"/>
            <w:gridSpan w:val="5"/>
            <w:tcBorders>
              <w:top w:val="single" w:sz="4" w:space="0" w:color="auto"/>
              <w:left w:val="nil"/>
              <w:bottom w:val="single" w:sz="4" w:space="0" w:color="auto"/>
              <w:right w:val="nil"/>
            </w:tcBorders>
            <w:shd w:val="clear" w:color="auto" w:fill="FFFFFF" w:themeFill="background1"/>
          </w:tcPr>
          <w:p w:rsidR="00D53CB5" w:rsidRPr="00EF2A01" w:rsidRDefault="00D53CB5" w:rsidP="003F508D">
            <w:pPr>
              <w:rPr>
                <w:b/>
                <w:sz w:val="20"/>
                <w:szCs w:val="20"/>
              </w:rPr>
            </w:pPr>
            <w:r w:rsidRPr="00EF2A01">
              <w:rPr>
                <w:b/>
                <w:sz w:val="20"/>
                <w:szCs w:val="20"/>
              </w:rPr>
              <w:t>Other</w:t>
            </w:r>
          </w:p>
        </w:tc>
        <w:tc>
          <w:tcPr>
            <w:tcW w:w="1912" w:type="dxa"/>
            <w:tcBorders>
              <w:top w:val="single" w:sz="4" w:space="0" w:color="auto"/>
              <w:left w:val="nil"/>
              <w:bottom w:val="single" w:sz="4" w:space="0" w:color="auto"/>
              <w:right w:val="nil"/>
            </w:tcBorders>
            <w:shd w:val="clear" w:color="auto" w:fill="FFFFFF" w:themeFill="background1"/>
          </w:tcPr>
          <w:p w:rsidR="00D53CB5" w:rsidRPr="00EF2A01" w:rsidRDefault="00D53CB5" w:rsidP="003F508D">
            <w:pPr>
              <w:rPr>
                <w:b/>
                <w:sz w:val="20"/>
                <w:szCs w:val="20"/>
              </w:rPr>
            </w:pPr>
          </w:p>
        </w:tc>
      </w:tr>
      <w:tr w:rsidR="00D53CB5" w:rsidRPr="005D2FE7" w:rsidTr="003F508D">
        <w:tc>
          <w:tcPr>
            <w:tcW w:w="9576" w:type="dxa"/>
            <w:gridSpan w:val="6"/>
            <w:tcBorders>
              <w:top w:val="nil"/>
              <w:bottom w:val="nil"/>
            </w:tcBorders>
          </w:tcPr>
          <w:p w:rsidR="00D53CB5" w:rsidRPr="00EF2A01" w:rsidRDefault="00D53CB5" w:rsidP="003F508D">
            <w:pPr>
              <w:rPr>
                <w:rFonts w:cs="Segoe UI"/>
                <w:sz w:val="20"/>
                <w:szCs w:val="20"/>
              </w:rPr>
            </w:pPr>
            <w:r w:rsidRPr="00EF2A01">
              <w:rPr>
                <w:sz w:val="20"/>
                <w:szCs w:val="20"/>
              </w:rPr>
              <w:t>Additional subjective cognitive tests</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NPI </w:t>
            </w:r>
            <w:r w:rsidRPr="00773223">
              <w:rPr>
                <w:sz w:val="20"/>
                <w:szCs w:val="20"/>
              </w:rPr>
              <w:fldChar w:fldCharType="begin" w:fldLock="1"/>
            </w:r>
            <w:r>
              <w:rPr>
                <w:sz w:val="20"/>
                <w:szCs w:val="20"/>
              </w:rPr>
              <w:instrText>ADDIN CSL_CITATION { "citationItems" : [ { "id" : "ITEM-1", "itemData" : { "ISSN" : "0028-3878 (Print)", "PMID" : "7991117", "abstract" : "We developed a new instrument, the Neuropsychiatric Inventory (NPI), to assess 10 behavioral disturbances occurring in dementia patients: delusions, hallucinations, dysphoria, anxiety, agitation/aggression, euphoria, disinhibition, irritability/lability, apathy, and aberrant motor activity. The NPI uses a screening strategy to minimize administration time, examining and scoring only those behavioral domains with positive responses to screening questions. Both the frequency and the severity of each behavior are determined. Information for the NPI is obtained from a caregiver familiar with the patient's behavior. Studies reported here demonstrate the content and concurrent validity as well as between-rater, test-retest, and internal consistency reliability; the instrument is both valid and reliable. The NPI has the advantages of evaluating a wider range of psychopathology than existing instruments, soliciting information that may distinguish among different etiologies of dementia, differentiating between severity and frequency of behavioral changes, and minimizing administration time.", "author" : [ { "dropping-particle" : "", "family" : "Cummings", "given" : "J L", "non-dropping-particle" : "", "parse-names" : false, "suffix" : "" }, { "dropping-particle" : "", "family" : "Mega", "given" : "M", "non-dropping-particle" : "", "parse-names" : false, "suffix" : "" }, { "dropping-particle" : "", "family" : "Gray", "given" : "K", "non-dropping-particle" : "", "parse-names" : false, "suffix" : "" }, { "dropping-particle" : "", "family" : "Rosenberg-Thompson", "given" : "S", "non-dropping-particle" : "", "parse-names" : false, "suffix" : "" }, { "dropping-particle" : "", "family" : "Carusi", "given" : "D A", "non-dropping-particle" : "", "parse-names" : false, "suffix" : "" }, { "dropping-particle" : "", "family" : "Gornbein", "given" : "J", "non-dropping-particle" : "", "parse-names" : false, "suffix" : "" } ], "container-title" : "Neurology", "id" : "ITEM-1", "issue" : "12", "issued" : { "date-parts" : [ [ "1994", "12" ] ] }, "language" : "eng", "page" : "2308-2314", "publisher-place" : "United States", "title" : "The Neuropsychiatric Inventory: comprehensive assessment of psychopathology in dementia.", "type" : "article-journal", "volume" : "44" }, "uris" : [ "http://www.mendeley.com/documents/?uuid=088db57f-1416-48fc-9b90-f3b4146badfe" ] } ], "mendeley" : { "formattedCitation" : "(32)", "plainTextFormattedCitation" : "(32)", "previouslyFormattedCitation" : "(32)" }, "properties" : {  }, "schema" : "https://github.com/citation-style-language/schema/raw/master/csl-citation.json" }</w:instrText>
            </w:r>
            <w:r w:rsidRPr="00773223">
              <w:rPr>
                <w:sz w:val="20"/>
                <w:szCs w:val="20"/>
              </w:rPr>
              <w:fldChar w:fldCharType="separate"/>
            </w:r>
            <w:r w:rsidRPr="002764D8">
              <w:rPr>
                <w:noProof/>
                <w:sz w:val="20"/>
                <w:szCs w:val="20"/>
              </w:rPr>
              <w:t>(32)</w:t>
            </w:r>
            <w:r w:rsidRPr="00773223">
              <w:rPr>
                <w:sz w:val="20"/>
                <w:szCs w:val="20"/>
              </w:rPr>
              <w:fldChar w:fldCharType="end"/>
            </w: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Caregiver</w:t>
            </w:r>
          </w:p>
        </w:tc>
        <w:tc>
          <w:tcPr>
            <w:tcW w:w="2102" w:type="dxa"/>
            <w:tcBorders>
              <w:top w:val="nil"/>
              <w:left w:val="nil"/>
              <w:bottom w:val="nil"/>
              <w:right w:val="nil"/>
            </w:tcBorders>
          </w:tcPr>
          <w:p w:rsidR="00D53CB5" w:rsidRPr="0076697A" w:rsidRDefault="00D53CB5" w:rsidP="003F508D">
            <w:pPr>
              <w:rPr>
                <w:rFonts w:cs="Segoe UI"/>
                <w:sz w:val="20"/>
                <w:szCs w:val="20"/>
              </w:rPr>
            </w:pPr>
            <w:r w:rsidRPr="00EF2A01">
              <w:rPr>
                <w:sz w:val="20"/>
                <w:szCs w:val="20"/>
              </w:rPr>
              <w:t>0-12 (</w:t>
            </w:r>
            <w:r w:rsidRPr="004D778D">
              <w:rPr>
                <w:rFonts w:cs="Segoe UI"/>
                <w:sz w:val="20"/>
                <w:szCs w:val="20"/>
              </w:rPr>
              <w:t>≥</w:t>
            </w:r>
            <w:r w:rsidRPr="004D778D">
              <w:rPr>
                <w:sz w:val="20"/>
                <w:szCs w:val="20"/>
              </w:rPr>
              <w:t>1 yes)</w:t>
            </w: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IDDD </w:t>
            </w:r>
            <w:r w:rsidRPr="00773223">
              <w:rPr>
                <w:sz w:val="20"/>
                <w:szCs w:val="20"/>
              </w:rPr>
              <w:fldChar w:fldCharType="begin" w:fldLock="1"/>
            </w:r>
            <w:r>
              <w:rPr>
                <w:sz w:val="20"/>
                <w:szCs w:val="20"/>
              </w:rPr>
              <w:instrText>ADDIN CSL_CITATION { "citationItems" : [ { "id" : "ITEM-1", "itemData" : { "DOI" : "10.1017/S1041610297004845", "ISBN" : "1041-6102", "ISSN" : "1041-6102", "PMID" : "9447438", "abstract" : "Inability to perform activities of daily life is inherent to dementia and an essential component of its severity. Examination of this disability is crucial for diagnosis, management of the patient and family, and evaluation of treatment effects. To examine everyday disability in community-dwelling patients with mild dementia, we developed the Interview for Deterioration in Daily living Activities in Dementia (1DDD)at thememoryclinic of the Academic Medicalcenter at Amsterdam. The IDDD is a caregiver-based measure, which consists of 20 concretely worded items, reflecting the initiative to perform and actual performance of self-care and more complex activities. The original version of the IDDD (1988) was an interview measure, but since 1990 a paper-and-pencil version has been used, which has good construct validity and test-retest reliability, as well as good responsiveness to deterioration over 6 months. In the present study, we examined interobserver agreement among 25 caregiver pairs, which consisted of primary and secondary caregivers. Although the reliability of caregiver reports is often questioned, we found substantial to almost perfect agreement at subscale level and acceptableagreement for most of the items. We conclude that the paper-and-pencil version of the IDDD is a suitable instrument for the description and discrimination of disability among patients with mild dementia still living at home. The IDDD may also be a useful method to incorporate in clinical trials and longitudinal studies. Behavioral changes a r e inherent to dementia (American Psychiatric Asso-ciation, 1994) and a n essentialcomponent of its severity (Gilley et al.,", "author" : [ { "dropping-particle" : "", "family" : "Teunisse", "given" : "Saskia", "non-dropping-particle" : "", "parse-names" : false, "suffix" : "" }, { "dropping-particle" : "", "family" : "Derix", "given" : "Mayke M a", "non-dropping-particle" : "", "parse-names" : false, "suffix" : "" } ], "container-title" : "International Psychogeriatrics International Psychogeriatric Association Functional and Global Evaluations", "id" : "ITEM-1", "issue" : "1", "issued" : { "date-parts" : [ [ "1997" ] ] }, "page" : "155-162", "publisher" : "Universiteitsbibliotheek Utrecht", "title" : "The Interview for Deterioration in Daily Living Activities in Dementia: Agreement Between Primary and Secondary Caregivers", "type" : "article-journal", "volume" : "9" }, "uris" : [ "http://www.mendeley.com/documents/?uuid=fbb645df-1ad0-4a1e-97ff-d979804212d0" ] } ], "mendeley" : { "formattedCitation" : "(33)", "plainTextFormattedCitation" : "(33)", "previouslyFormattedCitation" : "(33)" }, "properties" : {  }, "schema" : "https://github.com/citation-style-language/schema/raw/master/csl-citation.json" }</w:instrText>
            </w:r>
            <w:r w:rsidRPr="00773223">
              <w:rPr>
                <w:sz w:val="20"/>
                <w:szCs w:val="20"/>
              </w:rPr>
              <w:fldChar w:fldCharType="separate"/>
            </w:r>
            <w:r w:rsidRPr="002764D8">
              <w:rPr>
                <w:noProof/>
                <w:sz w:val="20"/>
                <w:szCs w:val="20"/>
              </w:rPr>
              <w:t>(33)</w:t>
            </w:r>
            <w:r w:rsidRPr="00773223">
              <w:rPr>
                <w:sz w:val="20"/>
                <w:szCs w:val="20"/>
              </w:rPr>
              <w:fldChar w:fldCharType="end"/>
            </w: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Caregiver</w:t>
            </w:r>
          </w:p>
        </w:tc>
        <w:tc>
          <w:tcPr>
            <w:tcW w:w="2102" w:type="dxa"/>
            <w:tcBorders>
              <w:top w:val="nil"/>
              <w:left w:val="nil"/>
              <w:bottom w:val="nil"/>
              <w:right w:val="nil"/>
            </w:tcBorders>
          </w:tcPr>
          <w:p w:rsidR="00D53CB5" w:rsidRPr="0076697A" w:rsidRDefault="00D53CB5" w:rsidP="003F508D">
            <w:pPr>
              <w:rPr>
                <w:rFonts w:cs="Segoe UI"/>
                <w:sz w:val="20"/>
                <w:szCs w:val="20"/>
              </w:rPr>
            </w:pPr>
            <w:r w:rsidRPr="00EF2A01">
              <w:rPr>
                <w:sz w:val="20"/>
                <w:szCs w:val="20"/>
              </w:rPr>
              <w:t>0-33 (</w:t>
            </w:r>
            <w:r w:rsidRPr="004D778D">
              <w:rPr>
                <w:rFonts w:cs="Segoe UI"/>
                <w:sz w:val="20"/>
                <w:szCs w:val="20"/>
              </w:rPr>
              <w:t>≥</w:t>
            </w:r>
            <w:r w:rsidRPr="004D778D">
              <w:rPr>
                <w:sz w:val="20"/>
                <w:szCs w:val="20"/>
              </w:rPr>
              <w:t>1 yes)</w:t>
            </w: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IQCODE</w:t>
            </w:r>
            <w:r w:rsidRPr="00EF2A01">
              <w:rPr>
                <w:sz w:val="20"/>
                <w:szCs w:val="20"/>
              </w:rPr>
              <w:fldChar w:fldCharType="begin" w:fldLock="1"/>
            </w:r>
            <w:r>
              <w:rPr>
                <w:sz w:val="20"/>
                <w:szCs w:val="20"/>
              </w:rPr>
              <w:instrText>ADDIN CSL_CITATION { "citationItems" : [ { "id" : "ITEM-1", "itemData" : { "DOI" : "10.1002/9780470669600.ch28", "ISBN" : "9780470747230", "ISSN" : "10416102", "PMID" : "19296552", "abstract" : "Background and aims: The IQCODE is widely used as a screening test for dementia, particularly where the subject is unable to undergo direct cognitive testing or for screening in populations with low levels of education and literacy. This review draws together research on the psychometric properties and validity of the IQCODE.", "author" : [ { "dropping-particle" : "", "family" : "Cherbuin", "given" : "Nicolas", "non-dropping-particle" : "", "parse-names" : false, "suffix" : "" }, { "dropping-particle" : "", "family" : "Francis Jorm", "given" : "Anthony", "non-dropping-particle" : "", "parse-names" : false, "suffix" : "" } ], "container-title" : "Principles and Practice of Geriatric Psychiatry: Third Edition", "id" : "ITEM-1", "issued" : { "date-parts" : [ [ "2010" ] ] }, "page" : "147-151", "title" : "The Informant Questionnaire on Cognitive Decline in the Elderly (IQCODE)", "type" : "article-journal" }, "uris" : [ "http://www.mendeley.com/documents/?uuid=7cc89b1c-d187-459c-86de-1a5e36553cd3" ] } ], "mendeley" : { "formattedCitation" : "(52)", "plainTextFormattedCitation" : "(52)", "previouslyFormattedCitation" : "(52)" }, "properties" : {  }, "schema" : "https://github.com/citation-style-language/schema/raw/master/csl-citation.json" }</w:instrText>
            </w:r>
            <w:r w:rsidRPr="00EF2A01">
              <w:rPr>
                <w:sz w:val="20"/>
                <w:szCs w:val="20"/>
              </w:rPr>
              <w:fldChar w:fldCharType="separate"/>
            </w:r>
            <w:r w:rsidRPr="00771687">
              <w:rPr>
                <w:noProof/>
                <w:sz w:val="20"/>
                <w:szCs w:val="20"/>
              </w:rPr>
              <w:t>(52)</w:t>
            </w:r>
            <w:r w:rsidRPr="00EF2A01">
              <w:rPr>
                <w:sz w:val="20"/>
                <w:szCs w:val="20"/>
              </w:rPr>
              <w:fldChar w:fldCharType="end"/>
            </w:r>
          </w:p>
          <w:p w:rsidR="00D53CB5" w:rsidRPr="00EF2A01" w:rsidRDefault="00D53CB5" w:rsidP="003F508D">
            <w:pPr>
              <w:rPr>
                <w:sz w:val="20"/>
                <w:szCs w:val="20"/>
              </w:rPr>
            </w:pP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Caregiver</w:t>
            </w:r>
          </w:p>
        </w:tc>
        <w:tc>
          <w:tcPr>
            <w:tcW w:w="2102" w:type="dxa"/>
            <w:tcBorders>
              <w:top w:val="nil"/>
              <w:left w:val="nil"/>
              <w:bottom w:val="nil"/>
              <w:right w:val="nil"/>
            </w:tcBorders>
          </w:tcPr>
          <w:p w:rsidR="00D53CB5" w:rsidRPr="0076697A" w:rsidRDefault="00D53CB5" w:rsidP="003F508D">
            <w:pPr>
              <w:rPr>
                <w:sz w:val="20"/>
                <w:szCs w:val="20"/>
              </w:rPr>
            </w:pPr>
            <w:r w:rsidRPr="004D778D">
              <w:rPr>
                <w:sz w:val="20"/>
                <w:szCs w:val="20"/>
              </w:rPr>
              <w:t xml:space="preserve">0-5 (mean </w:t>
            </w:r>
            <w:r w:rsidRPr="0076697A">
              <w:rPr>
                <w:rFonts w:cs="Segoe UI"/>
                <w:sz w:val="20"/>
                <w:szCs w:val="20"/>
              </w:rPr>
              <w:t>≥3.38</w:t>
            </w:r>
            <w:r w:rsidRPr="0076697A">
              <w:rPr>
                <w:sz w:val="20"/>
                <w:szCs w:val="20"/>
              </w:rPr>
              <w:t xml:space="preserve">) </w:t>
            </w: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c>
          <w:tcPr>
            <w:tcW w:w="9576" w:type="dxa"/>
            <w:gridSpan w:val="6"/>
            <w:tcBorders>
              <w:top w:val="nil"/>
              <w:bottom w:val="nil"/>
            </w:tcBorders>
          </w:tcPr>
          <w:p w:rsidR="00D53CB5" w:rsidRPr="00EF2A01" w:rsidRDefault="00D53CB5" w:rsidP="003F508D">
            <w:pPr>
              <w:rPr>
                <w:rFonts w:cs="Segoe UI"/>
                <w:sz w:val="20"/>
                <w:szCs w:val="20"/>
              </w:rPr>
            </w:pPr>
            <w:r w:rsidRPr="00EF2A01">
              <w:rPr>
                <w:sz w:val="20"/>
                <w:szCs w:val="20"/>
              </w:rPr>
              <w:t>Additional mobility tests</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Falls </w:t>
            </w: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76697A" w:rsidRDefault="00D53CB5" w:rsidP="003F508D">
            <w:pPr>
              <w:rPr>
                <w:sz w:val="20"/>
                <w:szCs w:val="20"/>
              </w:rPr>
            </w:pPr>
            <w:r w:rsidRPr="004D778D">
              <w:rPr>
                <w:rFonts w:cs="Segoe UI"/>
                <w:sz w:val="20"/>
                <w:szCs w:val="20"/>
              </w:rPr>
              <w:t>≥</w:t>
            </w:r>
            <w:r w:rsidRPr="0076697A">
              <w:rPr>
                <w:sz w:val="20"/>
                <w:szCs w:val="20"/>
              </w:rPr>
              <w:t>1 in previous 6 months</w:t>
            </w: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FTBS </w:t>
            </w:r>
            <w:r w:rsidRPr="00EF2A01">
              <w:rPr>
                <w:rFonts w:cs="Segoe UI"/>
                <w:sz w:val="20"/>
                <w:szCs w:val="20"/>
              </w:rPr>
              <w:fldChar w:fldCharType="begin" w:fldLock="1"/>
            </w:r>
            <w:r>
              <w:rPr>
                <w:rFonts w:cs="Segoe UI"/>
                <w:sz w:val="20"/>
                <w:szCs w:val="20"/>
              </w:rPr>
              <w:instrText>ADDIN CSL_CITATION { "citationItems" : [ { "id" : "ITEM-1", "itemData" : { "ISSN" : "1079-5006 (Print)", "PMID" : "7583799", "abstract" : "BACKGROUND: Two simple balance scales comprising three or four familiar tests of  static balance were developed, and their validity and reliability are described. The scales were such that the relative difficulties of the basic tests were taken into consideration. METHODS: Using FICSIT data, Fisher's method was used to construct scales combining ability to maintain balance in parallel, semi-tandem, tandem, and one-legged stances. Reliability was inferred from the stability of the measure over 3-4 months. Construct validity was assessed by cross-sectional correlations. RESULTS: Test-retest reliability (over 3-4 months) was good (r = .66). Validity of the FICSIT-3 scale was suggested by its low correlation with age, its moderate to high correlations with physical function measures, and three balance assessment systems. The FICSIT-4 scale discriminated balance over a wide range of health status; the three-test scale had a substantial ceiling effect in community samples. CONCLUSION: A balance scale was developed that appears to have acceptable reliability, validity, and discriminant ability.", "author" : [ { "dropping-particle" : "", "family" : "Rossiter-Fornoff", "given" : "J E", "non-dropping-particle" : "", "parse-names" : false, "suffix" : "" }, { "dropping-particle" : "", "family" : "Wolf", "given" : "S L", "non-dropping-particle" : "", "parse-names" : false, "suffix" : "" }, { "dropping-particle" : "", "family" : "Wolfson", "given" : "L I", "non-dropping-particle" : "", "parse-names" : false, "suffix" : "" }, { "dropping-particle" : "", "family" : "Buchner", "given" : "D M", "non-dropping-particle" : "", "parse-names" : false, "suffix" : "" } ], "container-title" : "The journals of gerontology. Series A, Biological sciences and medical sciences", "id" : "ITEM-1", "issue" : "6", "issued" : { "date-parts" : [ [ "1995", "11" ] ] }, "language" : "eng", "page" : "M291-7", "publisher-place" : "United States", "title" : "A cross-sectional validation study of the FICSIT common data base static balance  measures. Frailty and Injuries: Cooperative Studies of Intervention Techniques.", "type" : "article-journal", "volume" : "50" }, "uris" : [ "http://www.mendeley.com/documents/?uuid=b729b82b-bbb6-4ba5-a249-978b97305c54" ] } ], "mendeley" : { "formattedCitation" : "(53)", "plainTextFormattedCitation" : "(53)", "previouslyFormattedCitation" : "(53)" }, "properties" : {  }, "schema" : "https://github.com/citation-style-language/schema/raw/master/csl-citation.json" }</w:instrText>
            </w:r>
            <w:r w:rsidRPr="00EF2A01">
              <w:rPr>
                <w:rFonts w:cs="Segoe UI"/>
                <w:sz w:val="20"/>
                <w:szCs w:val="20"/>
              </w:rPr>
              <w:fldChar w:fldCharType="separate"/>
            </w:r>
            <w:r w:rsidRPr="00771687">
              <w:rPr>
                <w:rFonts w:cs="Segoe UI"/>
                <w:noProof/>
                <w:sz w:val="20"/>
                <w:szCs w:val="20"/>
              </w:rPr>
              <w:t>(53)</w:t>
            </w:r>
            <w:r w:rsidRPr="00EF2A01">
              <w:rPr>
                <w:rFonts w:cs="Segoe UI"/>
                <w:sz w:val="20"/>
                <w:szCs w:val="20"/>
              </w:rPr>
              <w:fldChar w:fldCharType="end"/>
            </w: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76697A" w:rsidRDefault="00D53CB5" w:rsidP="003F508D">
            <w:pPr>
              <w:rPr>
                <w:sz w:val="20"/>
                <w:szCs w:val="20"/>
              </w:rPr>
            </w:pPr>
            <w:r w:rsidRPr="00EF2A01">
              <w:rPr>
                <w:sz w:val="20"/>
                <w:szCs w:val="20"/>
              </w:rPr>
              <w:t>0-4 (</w:t>
            </w:r>
            <w:r w:rsidRPr="004D778D">
              <w:rPr>
                <w:rFonts w:cs="Segoe UI"/>
                <w:sz w:val="20"/>
                <w:szCs w:val="20"/>
              </w:rPr>
              <w:t>≥</w:t>
            </w:r>
            <w:r w:rsidRPr="0076697A">
              <w:rPr>
                <w:sz w:val="20"/>
                <w:szCs w:val="20"/>
              </w:rPr>
              <w:t>1)</w:t>
            </w:r>
          </w:p>
        </w:tc>
        <w:tc>
          <w:tcPr>
            <w:tcW w:w="1912" w:type="dxa"/>
            <w:tcBorders>
              <w:top w:val="nil"/>
              <w:left w:val="nil"/>
              <w:bottom w:val="nil"/>
            </w:tcBorders>
          </w:tcPr>
          <w:p w:rsidR="00D53CB5" w:rsidRPr="0076697A" w:rsidRDefault="00D53CB5" w:rsidP="003F508D">
            <w:pPr>
              <w:rPr>
                <w:rFonts w:cs="Segoe UI"/>
                <w:sz w:val="20"/>
                <w:szCs w:val="20"/>
              </w:rPr>
            </w:pPr>
            <w:r w:rsidRPr="0076697A">
              <w:rPr>
                <w:rFonts w:cs="Segoe UI"/>
                <w:i/>
                <w:sz w:val="20"/>
                <w:szCs w:val="20"/>
              </w:rPr>
              <w:t>If patients were immobile the TUG was scored as severely impaired.</w:t>
            </w:r>
          </w:p>
        </w:tc>
      </w:tr>
      <w:tr w:rsidR="00D53CB5" w:rsidRPr="005D2FE7" w:rsidTr="003F508D">
        <w:tc>
          <w:tcPr>
            <w:tcW w:w="9576" w:type="dxa"/>
            <w:gridSpan w:val="6"/>
            <w:tcBorders>
              <w:top w:val="nil"/>
              <w:bottom w:val="nil"/>
            </w:tcBorders>
          </w:tcPr>
          <w:p w:rsidR="00D53CB5" w:rsidRPr="00EF2A01" w:rsidRDefault="00D53CB5" w:rsidP="003F508D">
            <w:pPr>
              <w:rPr>
                <w:rFonts w:cs="Segoe UI"/>
                <w:sz w:val="20"/>
                <w:szCs w:val="20"/>
              </w:rPr>
            </w:pPr>
            <w:r w:rsidRPr="00EF2A01">
              <w:rPr>
                <w:sz w:val="20"/>
                <w:szCs w:val="20"/>
              </w:rPr>
              <w:t>Health related quality of life</w:t>
            </w: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r w:rsidRPr="00EF2A01">
              <w:rPr>
                <w:sz w:val="20"/>
                <w:szCs w:val="20"/>
              </w:rPr>
              <w:t xml:space="preserve">EuroQol-5D </w:t>
            </w:r>
            <w:r w:rsidRPr="00773223">
              <w:rPr>
                <w:rFonts w:cs="Segoe UI"/>
                <w:sz w:val="20"/>
                <w:szCs w:val="20"/>
              </w:rPr>
              <w:fldChar w:fldCharType="begin" w:fldLock="1"/>
            </w:r>
            <w:r>
              <w:rPr>
                <w:rFonts w:cs="Segoe UI"/>
                <w:sz w:val="20"/>
                <w:szCs w:val="20"/>
              </w:rPr>
              <w:instrText>ADDIN CSL_CITATION { "citationItems" : [ { "id" : "ITEM-1", "itemData" : { "author" : [ { "dropping-particle" : "", "family" : "Oppe", "given" : "Mark", "non-dropping-particle" : "", "parse-names" : false, "suffix" : "" } ], "id" : "ITEM-1", "issue" : "April", "issued" : { "date-parts" : [ [ "2015" ] ] }, "title" : "EQ-5D-3L User Guide", "type" : "article-journal" }, "uris" : [ "http://www.mendeley.com/documents/?uuid=5a97eff6-a5d0-4ad2-816e-9952da77444e", "http://www.mendeley.com/documents/?uuid=ba3fa346-6736-4448-84bf-ba90909c31f9" ] } ], "mendeley" : { "formattedCitation" : "(36)", "plainTextFormattedCitation" : "(36)", "previouslyFormattedCitation" : "(36)" }, "properties" : {  }, "schema" : "https://github.com/citation-style-language/schema/raw/master/csl-citation.json" }</w:instrText>
            </w:r>
            <w:r w:rsidRPr="00773223">
              <w:rPr>
                <w:rFonts w:cs="Segoe UI"/>
                <w:sz w:val="20"/>
                <w:szCs w:val="20"/>
              </w:rPr>
              <w:fldChar w:fldCharType="separate"/>
            </w:r>
            <w:r w:rsidRPr="002764D8">
              <w:rPr>
                <w:rFonts w:cs="Segoe UI"/>
                <w:noProof/>
                <w:sz w:val="20"/>
                <w:szCs w:val="20"/>
              </w:rPr>
              <w:t>(36)</w:t>
            </w:r>
            <w:r w:rsidRPr="00773223">
              <w:rPr>
                <w:rFonts w:cs="Segoe UI"/>
                <w:sz w:val="20"/>
                <w:szCs w:val="20"/>
              </w:rPr>
              <w:fldChar w:fldCharType="end"/>
            </w:r>
          </w:p>
        </w:tc>
        <w:tc>
          <w:tcPr>
            <w:tcW w:w="1734" w:type="dxa"/>
            <w:gridSpan w:val="2"/>
            <w:tcBorders>
              <w:top w:val="nil"/>
              <w:left w:val="nil"/>
              <w:bottom w:val="nil"/>
              <w:right w:val="nil"/>
            </w:tcBorders>
          </w:tcPr>
          <w:p w:rsidR="00D53CB5" w:rsidRPr="00EF2A01" w:rsidRDefault="00D53CB5" w:rsidP="003F508D">
            <w:pPr>
              <w:rPr>
                <w:sz w:val="20"/>
                <w:szCs w:val="20"/>
              </w:rPr>
            </w:pPr>
            <w:r w:rsidRPr="00EF2A01">
              <w:rPr>
                <w:sz w:val="20"/>
                <w:szCs w:val="20"/>
              </w:rPr>
              <w:t>Patient</w:t>
            </w:r>
          </w:p>
        </w:tc>
        <w:tc>
          <w:tcPr>
            <w:tcW w:w="2102" w:type="dxa"/>
            <w:tcBorders>
              <w:top w:val="nil"/>
              <w:left w:val="nil"/>
              <w:bottom w:val="nil"/>
              <w:right w:val="nil"/>
            </w:tcBorders>
          </w:tcPr>
          <w:p w:rsidR="00D53CB5" w:rsidRPr="00EF2A01" w:rsidRDefault="00D53CB5" w:rsidP="003F508D">
            <w:pPr>
              <w:rPr>
                <w:rFonts w:cs="Segoe UI"/>
                <w:sz w:val="20"/>
                <w:szCs w:val="20"/>
              </w:rPr>
            </w:pPr>
            <w:r w:rsidRPr="00EF2A01">
              <w:rPr>
                <w:rFonts w:cs="Segoe UI"/>
                <w:sz w:val="20"/>
                <w:szCs w:val="20"/>
              </w:rPr>
              <w:t>0-5 (≥1)</w:t>
            </w:r>
          </w:p>
        </w:tc>
        <w:tc>
          <w:tcPr>
            <w:tcW w:w="1912" w:type="dxa"/>
            <w:tcBorders>
              <w:top w:val="nil"/>
              <w:left w:val="nil"/>
              <w:bottom w:val="nil"/>
            </w:tcBorders>
          </w:tcPr>
          <w:p w:rsidR="00D53CB5" w:rsidRPr="004D778D" w:rsidRDefault="00D53CB5" w:rsidP="003F508D">
            <w:pPr>
              <w:rPr>
                <w:rFonts w:cs="Segoe UI"/>
                <w:sz w:val="20"/>
                <w:szCs w:val="20"/>
              </w:rPr>
            </w:pPr>
          </w:p>
        </w:tc>
      </w:tr>
      <w:tr w:rsidR="00D53CB5" w:rsidRPr="005D2FE7" w:rsidTr="003F508D">
        <w:tc>
          <w:tcPr>
            <w:tcW w:w="1864" w:type="dxa"/>
            <w:tcBorders>
              <w:top w:val="nil"/>
              <w:bottom w:val="nil"/>
              <w:right w:val="nil"/>
            </w:tcBorders>
          </w:tcPr>
          <w:p w:rsidR="00D53CB5" w:rsidRPr="00EF2A01" w:rsidRDefault="00D53CB5" w:rsidP="003F508D">
            <w:pPr>
              <w:rPr>
                <w:sz w:val="20"/>
                <w:szCs w:val="20"/>
              </w:rPr>
            </w:pPr>
          </w:p>
        </w:tc>
        <w:tc>
          <w:tcPr>
            <w:tcW w:w="1964" w:type="dxa"/>
            <w:tcBorders>
              <w:top w:val="nil"/>
              <w:left w:val="nil"/>
              <w:bottom w:val="nil"/>
              <w:right w:val="nil"/>
            </w:tcBorders>
          </w:tcPr>
          <w:p w:rsidR="00D53CB5" w:rsidRPr="00EF2A01" w:rsidRDefault="00D53CB5" w:rsidP="003F508D">
            <w:pPr>
              <w:rPr>
                <w:sz w:val="20"/>
                <w:szCs w:val="20"/>
              </w:rPr>
            </w:pPr>
          </w:p>
        </w:tc>
        <w:tc>
          <w:tcPr>
            <w:tcW w:w="1734" w:type="dxa"/>
            <w:gridSpan w:val="2"/>
            <w:tcBorders>
              <w:top w:val="nil"/>
              <w:left w:val="nil"/>
              <w:bottom w:val="nil"/>
              <w:right w:val="nil"/>
            </w:tcBorders>
          </w:tcPr>
          <w:p w:rsidR="00D53CB5" w:rsidRPr="00EF2A01" w:rsidRDefault="00D53CB5" w:rsidP="003F508D">
            <w:pPr>
              <w:rPr>
                <w:sz w:val="20"/>
                <w:szCs w:val="20"/>
              </w:rPr>
            </w:pPr>
          </w:p>
        </w:tc>
        <w:tc>
          <w:tcPr>
            <w:tcW w:w="2102" w:type="dxa"/>
            <w:tcBorders>
              <w:top w:val="nil"/>
              <w:left w:val="nil"/>
              <w:bottom w:val="nil"/>
              <w:right w:val="nil"/>
            </w:tcBorders>
          </w:tcPr>
          <w:p w:rsidR="00D53CB5" w:rsidRPr="004D778D" w:rsidRDefault="00D53CB5" w:rsidP="003F508D">
            <w:pPr>
              <w:rPr>
                <w:rFonts w:cs="Segoe UI"/>
                <w:sz w:val="20"/>
                <w:szCs w:val="20"/>
              </w:rPr>
            </w:pPr>
          </w:p>
        </w:tc>
        <w:tc>
          <w:tcPr>
            <w:tcW w:w="1912" w:type="dxa"/>
            <w:tcBorders>
              <w:top w:val="nil"/>
              <w:left w:val="nil"/>
              <w:bottom w:val="nil"/>
            </w:tcBorders>
          </w:tcPr>
          <w:p w:rsidR="00D53CB5" w:rsidRPr="0076697A" w:rsidRDefault="00D53CB5" w:rsidP="003F508D">
            <w:pPr>
              <w:rPr>
                <w:rFonts w:cs="Segoe UI"/>
                <w:sz w:val="20"/>
                <w:szCs w:val="20"/>
              </w:rPr>
            </w:pPr>
          </w:p>
        </w:tc>
      </w:tr>
      <w:tr w:rsidR="00D53CB5" w:rsidRPr="005D2FE7" w:rsidTr="003F508D">
        <w:tc>
          <w:tcPr>
            <w:tcW w:w="1864" w:type="dxa"/>
            <w:tcBorders>
              <w:top w:val="nil"/>
              <w:bottom w:val="single" w:sz="4" w:space="0" w:color="auto"/>
              <w:right w:val="nil"/>
            </w:tcBorders>
          </w:tcPr>
          <w:p w:rsidR="00D53CB5" w:rsidRPr="00EF2A01" w:rsidRDefault="00D53CB5" w:rsidP="003F508D">
            <w:pPr>
              <w:rPr>
                <w:sz w:val="20"/>
                <w:szCs w:val="20"/>
              </w:rPr>
            </w:pPr>
            <w:r w:rsidRPr="00EF2A01">
              <w:rPr>
                <w:sz w:val="20"/>
                <w:szCs w:val="20"/>
              </w:rPr>
              <w:t>Caregiver burden</w:t>
            </w:r>
          </w:p>
        </w:tc>
        <w:tc>
          <w:tcPr>
            <w:tcW w:w="1964" w:type="dxa"/>
            <w:tcBorders>
              <w:top w:val="nil"/>
              <w:left w:val="nil"/>
              <w:bottom w:val="single" w:sz="4" w:space="0" w:color="auto"/>
              <w:right w:val="nil"/>
            </w:tcBorders>
          </w:tcPr>
          <w:p w:rsidR="00D53CB5" w:rsidRPr="00EF2A01" w:rsidRDefault="00D53CB5" w:rsidP="003F508D">
            <w:pPr>
              <w:rPr>
                <w:sz w:val="20"/>
                <w:szCs w:val="20"/>
              </w:rPr>
            </w:pPr>
            <w:r w:rsidRPr="00EF2A01">
              <w:rPr>
                <w:sz w:val="20"/>
                <w:szCs w:val="20"/>
              </w:rPr>
              <w:t xml:space="preserve">EDIZ </w:t>
            </w:r>
            <w:r w:rsidRPr="00773223">
              <w:rPr>
                <w:rFonts w:cs="Segoe UI"/>
                <w:sz w:val="20"/>
                <w:szCs w:val="20"/>
              </w:rPr>
              <w:fldChar w:fldCharType="begin" w:fldLock="1"/>
            </w:r>
            <w:r>
              <w:rPr>
                <w:rFonts w:cs="Segoe UI"/>
                <w:sz w:val="20"/>
                <w:szCs w:val="20"/>
              </w:rPr>
              <w:instrText>ADDIN CSL_CITATION { "citationItems" : [ { "id" : "ITEM-1", "itemData" : { "author" : [ { "dropping-particle" : "", "family" : "Pot", "given" : "A.M.", "non-dropping-particle" : "", "parse-names" : false, "suffix" : "" }, { "dropping-particle" : "", "family" : "Dyck", "given" : "R.", "non-dropping-particle" : "van", "parse-names" : false, "suffix" : "" }, { "dropping-particle" : "", "family" : "Deeg", "given" : "D.J.H.", "non-dropping-particle" : "", "parse-names" : false, "suffix" : "" } ], "container-title" : "Tijdschrift voor Gerontologie en Geriatrie", "id" : "ITEM-1", "issued" : { "date-parts" : [ [ "1995" ] ] }, "page" : "214-219", "title" : "[Perceived stress caused by informal caregiving. Construction of a scale]", "type" : "article-journal", "volume" : "26" }, "uris" : [ "http://www.mendeley.com/documents/?uuid=4d0944cb-952b-45f3-9b00-0c96b39d920e" ] } ], "mendeley" : { "formattedCitation" : "(34)", "plainTextFormattedCitation" : "(34)", "previouslyFormattedCitation" : "(34)" }, "properties" : {  }, "schema" : "https://github.com/citation-style-language/schema/raw/master/csl-citation.json" }</w:instrText>
            </w:r>
            <w:r w:rsidRPr="00773223">
              <w:rPr>
                <w:rFonts w:cs="Segoe UI"/>
                <w:sz w:val="20"/>
                <w:szCs w:val="20"/>
              </w:rPr>
              <w:fldChar w:fldCharType="separate"/>
            </w:r>
            <w:r w:rsidRPr="002764D8">
              <w:rPr>
                <w:rFonts w:cs="Segoe UI"/>
                <w:noProof/>
                <w:sz w:val="20"/>
                <w:szCs w:val="20"/>
              </w:rPr>
              <w:t>(34)</w:t>
            </w:r>
            <w:r w:rsidRPr="00773223">
              <w:rPr>
                <w:rFonts w:cs="Segoe UI"/>
                <w:sz w:val="20"/>
                <w:szCs w:val="20"/>
              </w:rPr>
              <w:fldChar w:fldCharType="end"/>
            </w:r>
            <w:r>
              <w:rPr>
                <w:rFonts w:cs="Segoe UI"/>
                <w:sz w:val="20"/>
                <w:szCs w:val="20"/>
              </w:rPr>
              <w:t>**</w:t>
            </w:r>
          </w:p>
        </w:tc>
        <w:tc>
          <w:tcPr>
            <w:tcW w:w="1734" w:type="dxa"/>
            <w:gridSpan w:val="2"/>
            <w:tcBorders>
              <w:top w:val="nil"/>
              <w:left w:val="nil"/>
              <w:bottom w:val="single" w:sz="4" w:space="0" w:color="auto"/>
              <w:right w:val="nil"/>
            </w:tcBorders>
          </w:tcPr>
          <w:p w:rsidR="00D53CB5" w:rsidRPr="00EF2A01" w:rsidRDefault="00D53CB5" w:rsidP="003F508D">
            <w:pPr>
              <w:rPr>
                <w:sz w:val="20"/>
                <w:szCs w:val="20"/>
              </w:rPr>
            </w:pPr>
            <w:r w:rsidRPr="00EF2A01">
              <w:rPr>
                <w:sz w:val="20"/>
                <w:szCs w:val="20"/>
              </w:rPr>
              <w:t>Caregiver</w:t>
            </w:r>
          </w:p>
        </w:tc>
        <w:tc>
          <w:tcPr>
            <w:tcW w:w="2102" w:type="dxa"/>
            <w:tcBorders>
              <w:top w:val="nil"/>
              <w:left w:val="nil"/>
              <w:bottom w:val="single" w:sz="4" w:space="0" w:color="auto"/>
              <w:right w:val="nil"/>
            </w:tcBorders>
          </w:tcPr>
          <w:p w:rsidR="00D53CB5" w:rsidRPr="00EF2A01" w:rsidRDefault="00D53CB5" w:rsidP="003F508D">
            <w:pPr>
              <w:rPr>
                <w:rFonts w:cs="Segoe UI"/>
                <w:sz w:val="20"/>
                <w:szCs w:val="20"/>
              </w:rPr>
            </w:pPr>
            <w:r w:rsidRPr="00EF2A01">
              <w:rPr>
                <w:rFonts w:cs="Segoe UI"/>
                <w:sz w:val="20"/>
                <w:szCs w:val="20"/>
              </w:rPr>
              <w:t>0-9 (≥4 moderate burden</w:t>
            </w:r>
            <w:r>
              <w:rPr>
                <w:rFonts w:cs="Segoe UI"/>
                <w:sz w:val="20"/>
                <w:szCs w:val="20"/>
              </w:rPr>
              <w:t xml:space="preserve">, </w:t>
            </w:r>
            <w:r w:rsidRPr="00EF2A01">
              <w:rPr>
                <w:rFonts w:cs="Segoe UI"/>
                <w:sz w:val="20"/>
                <w:szCs w:val="20"/>
              </w:rPr>
              <w:t>(≥7 high burden)</w:t>
            </w:r>
          </w:p>
        </w:tc>
        <w:tc>
          <w:tcPr>
            <w:tcW w:w="1912" w:type="dxa"/>
            <w:tcBorders>
              <w:top w:val="nil"/>
              <w:left w:val="nil"/>
              <w:bottom w:val="single" w:sz="4" w:space="0" w:color="auto"/>
            </w:tcBorders>
          </w:tcPr>
          <w:p w:rsidR="00D53CB5" w:rsidRPr="00773223" w:rsidRDefault="00D53CB5" w:rsidP="003F508D">
            <w:pPr>
              <w:rPr>
                <w:rFonts w:cs="Segoe UI"/>
                <w:i/>
                <w:sz w:val="20"/>
                <w:szCs w:val="20"/>
              </w:rPr>
            </w:pPr>
          </w:p>
        </w:tc>
      </w:tr>
      <w:tr w:rsidR="00D53CB5" w:rsidRPr="005D2FE7" w:rsidTr="003F508D">
        <w:tc>
          <w:tcPr>
            <w:tcW w:w="9576" w:type="dxa"/>
            <w:gridSpan w:val="6"/>
          </w:tcPr>
          <w:p w:rsidR="00D53CB5" w:rsidRPr="0076697A" w:rsidRDefault="00D53CB5" w:rsidP="003F508D">
            <w:pPr>
              <w:rPr>
                <w:sz w:val="20"/>
                <w:szCs w:val="20"/>
              </w:rPr>
            </w:pPr>
            <w:r w:rsidRPr="00EF2A01">
              <w:rPr>
                <w:rFonts w:cs="Segoe UI"/>
                <w:sz w:val="20"/>
                <w:szCs w:val="20"/>
              </w:rPr>
              <w:t xml:space="preserve">MMSE, mini mental state examination; ECR, enhanced cued recall; </w:t>
            </w:r>
            <w:r w:rsidRPr="00EF2A01">
              <w:rPr>
                <w:sz w:val="20"/>
                <w:szCs w:val="20"/>
              </w:rPr>
              <w:t xml:space="preserve">CIRS-G, Cumulative illness rating scale for geriatrics; ADL, activities of daily living, IADL, instrumental activities of daily living; LiADL, Lawton instrumental activities of daily living scale; TUG, timed up and go test; GDS, geriatric depression scale; MNA, mininutritional assessment; </w:t>
            </w:r>
            <w:r w:rsidRPr="004D778D">
              <w:rPr>
                <w:sz w:val="20"/>
                <w:szCs w:val="20"/>
              </w:rPr>
              <w:t xml:space="preserve">GFI, Groningen Frailty Index; </w:t>
            </w:r>
            <w:r w:rsidRPr="0076697A">
              <w:rPr>
                <w:sz w:val="20"/>
                <w:szCs w:val="20"/>
              </w:rPr>
              <w:t xml:space="preserve">NPI, neuropsychological inventory; IDDD, interview of deterioration in daily life dementia; </w:t>
            </w:r>
            <w:r w:rsidRPr="0076697A">
              <w:rPr>
                <w:rFonts w:cs="Segoe UI"/>
                <w:sz w:val="20"/>
                <w:szCs w:val="20"/>
              </w:rPr>
              <w:t xml:space="preserve">IQCODE, </w:t>
            </w:r>
            <w:r w:rsidRPr="0076697A">
              <w:rPr>
                <w:sz w:val="20"/>
                <w:szCs w:val="20"/>
              </w:rPr>
              <w:t>informant questionnaire on cognitive decline; FTBS, Four test balance scale; EDIZ, ‘Ervaren druk door informele zorg’.</w:t>
            </w:r>
          </w:p>
          <w:p w:rsidR="00D53CB5" w:rsidRPr="0076697A" w:rsidRDefault="00D53CB5" w:rsidP="003F508D">
            <w:pPr>
              <w:rPr>
                <w:rFonts w:cs="Segoe UI"/>
                <w:sz w:val="20"/>
                <w:szCs w:val="20"/>
              </w:rPr>
            </w:pPr>
          </w:p>
          <w:p w:rsidR="00D53CB5" w:rsidRDefault="00D53CB5" w:rsidP="003F508D">
            <w:pPr>
              <w:rPr>
                <w:rFonts w:cs="Segoe UI"/>
                <w:sz w:val="20"/>
                <w:szCs w:val="20"/>
              </w:rPr>
            </w:pPr>
            <w:r w:rsidRPr="0076697A">
              <w:rPr>
                <w:rFonts w:cs="Segoe UI"/>
                <w:sz w:val="20"/>
                <w:szCs w:val="20"/>
              </w:rPr>
              <w:t xml:space="preserve">* Impairment in cognition, comorbidity, ADL, IADL, mobility, mood or nutrition. </w:t>
            </w:r>
          </w:p>
          <w:p w:rsidR="00D53CB5" w:rsidRPr="00EF2A01" w:rsidRDefault="00D53CB5" w:rsidP="003F508D">
            <w:pPr>
              <w:rPr>
                <w:rFonts w:cs="Segoe UI"/>
                <w:sz w:val="20"/>
                <w:szCs w:val="20"/>
              </w:rPr>
            </w:pPr>
            <w:r>
              <w:rPr>
                <w:rFonts w:cs="Segoe UI"/>
                <w:sz w:val="20"/>
                <w:szCs w:val="20"/>
              </w:rPr>
              <w:t xml:space="preserve">** </w:t>
            </w:r>
            <w:r w:rsidRPr="00EF2A01">
              <w:rPr>
                <w:rFonts w:cs="Segoe UI"/>
                <w:sz w:val="20"/>
                <w:szCs w:val="20"/>
              </w:rPr>
              <w:t>The EDIZ scores were dichotomized and summed subsequently. Scores 1 and 2 were recorded into 0 (not perceiving pressure) and scores 3, 4 and 5 were recorded into 1 (perceiving pressure).</w:t>
            </w:r>
          </w:p>
        </w:tc>
      </w:tr>
    </w:tbl>
    <w:p w:rsidR="00D53CB5" w:rsidRDefault="00D53CB5" w:rsidP="00397E09">
      <w:pPr>
        <w:rPr>
          <w:b/>
        </w:rPr>
      </w:pPr>
    </w:p>
    <w:p w:rsidR="00D53CB5" w:rsidRDefault="00D53CB5">
      <w:pPr>
        <w:rPr>
          <w:b/>
        </w:rPr>
      </w:pPr>
      <w:r>
        <w:rPr>
          <w:b/>
        </w:rPr>
        <w:br w:type="page"/>
      </w:r>
      <w:r>
        <w:rPr>
          <w:b/>
        </w:rPr>
        <w:lastRenderedPageBreak/>
        <w:t>Appendix 2</w:t>
      </w:r>
      <w:r w:rsidR="008501BA">
        <w:rPr>
          <w:b/>
        </w:rPr>
        <w:t xml:space="preserve"> (online only)</w:t>
      </w:r>
      <w:r>
        <w:rPr>
          <w:b/>
        </w:rPr>
        <w:t>: Flow chart recruitment</w:t>
      </w:r>
    </w:p>
    <w:p w:rsidR="00D53CB5" w:rsidRDefault="00D53CB5" w:rsidP="00D53CB5">
      <w:r>
        <w:rPr>
          <w:noProof/>
          <w:lang w:val="nl-NL" w:eastAsia="nl-NL"/>
        </w:rPr>
        <mc:AlternateContent>
          <mc:Choice Requires="wps">
            <w:drawing>
              <wp:anchor distT="0" distB="0" distL="114300" distR="114300" simplePos="0" relativeHeight="251659264" behindDoc="0" locked="0" layoutInCell="1" allowOverlap="1" wp14:anchorId="5C6BFA11" wp14:editId="3565546A">
                <wp:simplePos x="0" y="0"/>
                <wp:positionH relativeFrom="margin">
                  <wp:posOffset>1824355</wp:posOffset>
                </wp:positionH>
                <wp:positionV relativeFrom="paragraph">
                  <wp:posOffset>231140</wp:posOffset>
                </wp:positionV>
                <wp:extent cx="1828800" cy="5715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18288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B5" w:rsidRPr="00CD100E" w:rsidRDefault="00D53CB5" w:rsidP="00D53CB5">
                            <w:pPr>
                              <w:spacing w:after="0"/>
                              <w:jc w:val="center"/>
                              <w:rPr>
                                <w:lang w:val="nl-NL"/>
                              </w:rPr>
                            </w:pPr>
                            <w:r>
                              <w:rPr>
                                <w:lang w:val="nl-NL"/>
                              </w:rPr>
                              <w:t>Screening by treating nephrologists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6BFA11" id="_x0000_t202" coordsize="21600,21600" o:spt="202" path="m,l,21600r21600,l21600,xe">
                <v:stroke joinstyle="miter"/>
                <v:path gradientshapeok="t" o:connecttype="rect"/>
              </v:shapetype>
              <v:shape id="Tekstvak 1" o:spid="_x0000_s1026" type="#_x0000_t202" style="position:absolute;margin-left:143.65pt;margin-top:18.2pt;width:2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" fillcolor="white [3201]" strokeweight=".5pt">
                <v:textbox>
                  <w:txbxContent>
                    <w:p w:rsidR="00D53CB5" w:rsidRPr="00CD100E" w:rsidRDefault="00D53CB5" w:rsidP="00D53CB5">
                      <w:pPr>
                        <w:spacing w:after="0"/>
                        <w:jc w:val="center"/>
                        <w:rPr>
                          <w:lang w:val="nl-NL"/>
                        </w:rPr>
                      </w:pPr>
                      <w:r>
                        <w:rPr>
                          <w:lang w:val="nl-NL"/>
                        </w:rPr>
                        <w:t>Screening by treating nephrologists</w:t>
                      </w:r>
                    </w:p>
                  </w:txbxContent>
                </v:textbox>
                <w10:wrap anchorx="margin"/>
              </v:shape>
            </w:pict>
          </mc:Fallback>
        </mc:AlternateContent>
      </w:r>
      <w:r>
        <w:rPr>
          <w:noProof/>
          <w:lang w:val="nl-NL" w:eastAsia="nl-NL"/>
        </w:rPr>
        <mc:AlternateContent>
          <mc:Choice Requires="wps">
            <w:drawing>
              <wp:anchor distT="0" distB="0" distL="114300" distR="114300" simplePos="0" relativeHeight="251668480" behindDoc="0" locked="0" layoutInCell="1" allowOverlap="1" wp14:anchorId="0B64321D" wp14:editId="1DE34094">
                <wp:simplePos x="0" y="0"/>
                <wp:positionH relativeFrom="column">
                  <wp:posOffset>1828800</wp:posOffset>
                </wp:positionH>
                <wp:positionV relativeFrom="paragraph">
                  <wp:posOffset>4748648</wp:posOffset>
                </wp:positionV>
                <wp:extent cx="1828800" cy="568842"/>
                <wp:effectExtent l="0" t="0" r="19050" b="22225"/>
                <wp:wrapNone/>
                <wp:docPr id="12" name="Tekstvak 12"/>
                <wp:cNvGraphicFramePr/>
                <a:graphic xmlns:a="http://schemas.openxmlformats.org/drawingml/2006/main">
                  <a:graphicData uri="http://schemas.microsoft.com/office/word/2010/wordprocessingShape">
                    <wps:wsp>
                      <wps:cNvSpPr txBox="1"/>
                      <wps:spPr>
                        <a:xfrm>
                          <a:off x="0" y="0"/>
                          <a:ext cx="1828800" cy="56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B5" w:rsidRPr="00485E1B" w:rsidRDefault="00D53CB5" w:rsidP="00D53CB5">
                            <w:pPr>
                              <w:jc w:val="center"/>
                            </w:pPr>
                            <w:r w:rsidRPr="00485E1B">
                              <w:t>Consented and available for data collection (n=</w:t>
                            </w:r>
                            <w:r>
                              <w:t>285</w:t>
                            </w:r>
                            <w:r w:rsidRPr="00485E1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4321D" id="Tekstvak 12" o:spid="_x0000_s1027" type="#_x0000_t202" style="position:absolute;margin-left:2in;margin-top:373.9pt;width:2in;height:4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" fillcolor="white [3201]" strokeweight=".5pt">
                <v:textbox>
                  <w:txbxContent>
                    <w:p w:rsidR="00D53CB5" w:rsidRPr="00485E1B" w:rsidRDefault="00D53CB5" w:rsidP="00D53CB5">
                      <w:pPr>
                        <w:jc w:val="center"/>
                      </w:pPr>
                      <w:r w:rsidRPr="00485E1B">
                        <w:t>Consented and available for data collection (n=</w:t>
                      </w:r>
                      <w:r>
                        <w:t>285</w:t>
                      </w:r>
                      <w:r w:rsidRPr="00485E1B">
                        <w:t>)</w:t>
                      </w:r>
                    </w:p>
                  </w:txbxContent>
                </v:textbox>
              </v:shape>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32313087" wp14:editId="241F7ED1">
                <wp:simplePos x="0" y="0"/>
                <wp:positionH relativeFrom="column">
                  <wp:posOffset>2743200</wp:posOffset>
                </wp:positionH>
                <wp:positionV relativeFrom="paragraph">
                  <wp:posOffset>2855595</wp:posOffset>
                </wp:positionV>
                <wp:extent cx="0" cy="1889760"/>
                <wp:effectExtent l="0" t="0" r="19050" b="15240"/>
                <wp:wrapNone/>
                <wp:docPr id="9" name="Rechte verbindingslijn 9"/>
                <wp:cNvGraphicFramePr/>
                <a:graphic xmlns:a="http://schemas.openxmlformats.org/drawingml/2006/main">
                  <a:graphicData uri="http://schemas.microsoft.com/office/word/2010/wordprocessingShape">
                    <wps:wsp>
                      <wps:cNvCnPr/>
                      <wps:spPr>
                        <a:xfrm>
                          <a:off x="0" y="0"/>
                          <a:ext cx="0" cy="1889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3CC920" id="Rechte verbindingslijn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224.85pt" to="3in,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" strokecolor="black [3040]"/>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6750CE3F" wp14:editId="22053B2D">
                <wp:simplePos x="0" y="0"/>
                <wp:positionH relativeFrom="column">
                  <wp:posOffset>2746375</wp:posOffset>
                </wp:positionH>
                <wp:positionV relativeFrom="paragraph">
                  <wp:posOffset>3373755</wp:posOffset>
                </wp:positionV>
                <wp:extent cx="10287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A44DB" id="Rechte verbindingslijn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25pt,265.65pt" to="297.25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" strokecolor="black [3040]"/>
            </w:pict>
          </mc:Fallback>
        </mc:AlternateContent>
      </w:r>
      <w:r>
        <w:rPr>
          <w:noProof/>
          <w:lang w:val="nl-NL" w:eastAsia="nl-NL"/>
        </w:rPr>
        <mc:AlternateContent>
          <mc:Choice Requires="wps">
            <w:drawing>
              <wp:anchor distT="0" distB="0" distL="114300" distR="114300" simplePos="0" relativeHeight="251664384" behindDoc="0" locked="0" layoutInCell="1" allowOverlap="1" wp14:anchorId="3DBC0397" wp14:editId="70E29450">
                <wp:simplePos x="0" y="0"/>
                <wp:positionH relativeFrom="column">
                  <wp:posOffset>1828800</wp:posOffset>
                </wp:positionH>
                <wp:positionV relativeFrom="paragraph">
                  <wp:posOffset>2395796</wp:posOffset>
                </wp:positionV>
                <wp:extent cx="1828800" cy="4572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B5" w:rsidRPr="00D86EE3" w:rsidRDefault="00D53CB5" w:rsidP="00D53CB5">
                            <w:pPr>
                              <w:jc w:val="center"/>
                              <w:rPr>
                                <w:lang w:val="nl-NL"/>
                              </w:rPr>
                            </w:pPr>
                            <w:r>
                              <w:rPr>
                                <w:lang w:val="nl-NL"/>
                              </w:rPr>
                              <w:t>Eligible (n=242)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C0397" id="Tekstvak 8" o:spid="_x0000_s1028" type="#_x0000_t202" style="position:absolute;margin-left:2in;margin-top:188.65pt;width:2in;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" fillcolor="white [3201]" strokeweight=".5pt">
                <v:textbox>
                  <w:txbxContent>
                    <w:p w:rsidR="00D53CB5" w:rsidRPr="00D86EE3" w:rsidRDefault="00D53CB5" w:rsidP="00D53CB5">
                      <w:pPr>
                        <w:jc w:val="center"/>
                        <w:rPr>
                          <w:lang w:val="nl-NL"/>
                        </w:rPr>
                      </w:pPr>
                      <w:r>
                        <w:rPr>
                          <w:lang w:val="nl-NL"/>
                        </w:rPr>
                        <w:t>Eligible (n=242)</w:t>
                      </w:r>
                    </w:p>
                  </w:txbxContent>
                </v:textbox>
              </v:shape>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3F60C6CF" wp14:editId="7EB7D5E0">
                <wp:simplePos x="0" y="0"/>
                <wp:positionH relativeFrom="column">
                  <wp:posOffset>2743200</wp:posOffset>
                </wp:positionH>
                <wp:positionV relativeFrom="paragraph">
                  <wp:posOffset>1714500</wp:posOffset>
                </wp:positionV>
                <wp:extent cx="102870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4C0EF" id="Rechte verbindingslijn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in,135pt" to="29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" strokecolor="black [3040]"/>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6D94FB0B" wp14:editId="076FBAD4">
                <wp:simplePos x="0" y="0"/>
                <wp:positionH relativeFrom="column">
                  <wp:posOffset>2743200</wp:posOffset>
                </wp:positionH>
                <wp:positionV relativeFrom="paragraph">
                  <wp:posOffset>805416</wp:posOffset>
                </wp:positionV>
                <wp:extent cx="0" cy="1594884"/>
                <wp:effectExtent l="0" t="0" r="19050" b="24765"/>
                <wp:wrapNone/>
                <wp:docPr id="5" name="Rechte verbindingslijn 5"/>
                <wp:cNvGraphicFramePr/>
                <a:graphic xmlns:a="http://schemas.openxmlformats.org/drawingml/2006/main">
                  <a:graphicData uri="http://schemas.microsoft.com/office/word/2010/wordprocessingShape">
                    <wps:wsp>
                      <wps:cNvCnPr/>
                      <wps:spPr>
                        <a:xfrm>
                          <a:off x="0" y="0"/>
                          <a:ext cx="0" cy="15948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BEB80" id="Rechte verbindingslijn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63.4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" strokecolor="black [3040]"/>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645F04CC" wp14:editId="2C47DF47">
                <wp:simplePos x="0" y="0"/>
                <wp:positionH relativeFrom="column">
                  <wp:posOffset>2628900</wp:posOffset>
                </wp:positionH>
                <wp:positionV relativeFrom="paragraph">
                  <wp:posOffset>805416</wp:posOffset>
                </wp:positionV>
                <wp:extent cx="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D12AB"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63.4pt" to="2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" strokecolor="#4579b8 [3044]"/>
            </w:pict>
          </mc:Fallback>
        </mc:AlternateContent>
      </w:r>
    </w:p>
    <w:p w:rsidR="00397E09" w:rsidRPr="00D53CB5" w:rsidRDefault="00D53CB5" w:rsidP="00397E09">
      <w:r>
        <w:rPr>
          <w:noProof/>
          <w:lang w:val="nl-NL" w:eastAsia="nl-NL"/>
        </w:rPr>
        <mc:AlternateContent>
          <mc:Choice Requires="wps">
            <w:drawing>
              <wp:anchor distT="0" distB="0" distL="114300" distR="114300" simplePos="0" relativeHeight="251663360" behindDoc="0" locked="0" layoutInCell="1" allowOverlap="1" wp14:anchorId="5C4D601D" wp14:editId="1F6D10A7">
                <wp:simplePos x="0" y="0"/>
                <wp:positionH relativeFrom="column">
                  <wp:posOffset>3774440</wp:posOffset>
                </wp:positionH>
                <wp:positionV relativeFrom="paragraph">
                  <wp:posOffset>690245</wp:posOffset>
                </wp:positionV>
                <wp:extent cx="2275205" cy="829310"/>
                <wp:effectExtent l="0" t="0" r="10795" b="27940"/>
                <wp:wrapNone/>
                <wp:docPr id="7" name="Tekstvak 7"/>
                <wp:cNvGraphicFramePr/>
                <a:graphic xmlns:a="http://schemas.openxmlformats.org/drawingml/2006/main">
                  <a:graphicData uri="http://schemas.microsoft.com/office/word/2010/wordprocessingShape">
                    <wps:wsp>
                      <wps:cNvSpPr txBox="1"/>
                      <wps:spPr>
                        <a:xfrm>
                          <a:off x="0" y="0"/>
                          <a:ext cx="2275205"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B5" w:rsidRPr="00D86EE3" w:rsidRDefault="00D53CB5" w:rsidP="00D53CB5">
                            <w:pPr>
                              <w:spacing w:after="0"/>
                              <w:rPr>
                                <w:b/>
                              </w:rPr>
                            </w:pPr>
                            <w:r w:rsidRPr="00D86EE3">
                              <w:rPr>
                                <w:b/>
                              </w:rPr>
                              <w:t>Exclusion</w:t>
                            </w:r>
                          </w:p>
                          <w:p w:rsidR="00D53CB5" w:rsidRPr="00CD100E" w:rsidRDefault="00D53CB5" w:rsidP="00D53CB5">
                            <w:pPr>
                              <w:spacing w:after="0"/>
                            </w:pPr>
                            <w:r w:rsidRPr="00CD100E">
                              <w:t>Communication problems (n=3)</w:t>
                            </w:r>
                          </w:p>
                          <w:p w:rsidR="00D53CB5" w:rsidRPr="00CD100E" w:rsidRDefault="00D53CB5" w:rsidP="00D53CB5">
                            <w:pPr>
                              <w:spacing w:after="0"/>
                            </w:pPr>
                            <w:r w:rsidRPr="00CD100E">
                              <w:t>Died before inclusion (n=3)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601D" id="Tekstvak 7" o:spid="_x0000_s1029" type="#_x0000_t202" style="position:absolute;margin-left:297.2pt;margin-top:54.35pt;width:179.15pt;height: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" fillcolor="white [3201]" strokeweight=".5pt">
                <v:textbox>
                  <w:txbxContent>
                    <w:p w:rsidR="00D53CB5" w:rsidRPr="00D86EE3" w:rsidRDefault="00D53CB5" w:rsidP="00D53CB5">
                      <w:pPr>
                        <w:spacing w:after="0"/>
                        <w:rPr>
                          <w:b/>
                        </w:rPr>
                      </w:pPr>
                      <w:r w:rsidRPr="00D86EE3">
                        <w:rPr>
                          <w:b/>
                        </w:rPr>
                        <w:t>Exclusion</w:t>
                      </w:r>
                    </w:p>
                    <w:p w:rsidR="00D53CB5" w:rsidRPr="00CD100E" w:rsidRDefault="00D53CB5" w:rsidP="00D53CB5">
                      <w:pPr>
                        <w:spacing w:after="0"/>
                      </w:pPr>
                      <w:r w:rsidRPr="00CD100E">
                        <w:t>Communication problems (n=3)</w:t>
                      </w:r>
                    </w:p>
                    <w:p w:rsidR="00D53CB5" w:rsidRPr="00CD100E" w:rsidRDefault="00D53CB5" w:rsidP="00D53CB5">
                      <w:pPr>
                        <w:spacing w:after="0"/>
                      </w:pPr>
                      <w:r w:rsidRPr="00CD100E">
                        <w:t>Died before inclusion (n=3)</w:t>
                      </w:r>
                    </w:p>
                  </w:txbxContent>
                </v:textbox>
              </v:shap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3624A186" wp14:editId="365556C4">
                <wp:simplePos x="0" y="0"/>
                <wp:positionH relativeFrom="column">
                  <wp:posOffset>3774558</wp:posOffset>
                </wp:positionH>
                <wp:positionV relativeFrom="paragraph">
                  <wp:posOffset>2582958</wp:posOffset>
                </wp:positionV>
                <wp:extent cx="2275368" cy="1169035"/>
                <wp:effectExtent l="0" t="0" r="10795" b="12065"/>
                <wp:wrapNone/>
                <wp:docPr id="11" name="Tekstvak 11"/>
                <wp:cNvGraphicFramePr/>
                <a:graphic xmlns:a="http://schemas.openxmlformats.org/drawingml/2006/main">
                  <a:graphicData uri="http://schemas.microsoft.com/office/word/2010/wordprocessingShape">
                    <wps:wsp>
                      <wps:cNvSpPr txBox="1"/>
                      <wps:spPr>
                        <a:xfrm>
                          <a:off x="0" y="0"/>
                          <a:ext cx="2275368" cy="1169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B5" w:rsidRPr="00D86EE3" w:rsidRDefault="00D53CB5" w:rsidP="00D53CB5">
                            <w:pPr>
                              <w:spacing w:after="0"/>
                              <w:rPr>
                                <w:b/>
                              </w:rPr>
                            </w:pPr>
                            <w:r w:rsidRPr="00D86EE3">
                              <w:rPr>
                                <w:b/>
                              </w:rPr>
                              <w:t>Refused</w:t>
                            </w:r>
                          </w:p>
                          <w:p w:rsidR="00D53CB5" w:rsidRPr="00D86EE3" w:rsidRDefault="00D53CB5" w:rsidP="00D53CB5">
                            <w:pPr>
                              <w:spacing w:after="0"/>
                            </w:pPr>
                            <w:r w:rsidRPr="00D86EE3">
                              <w:t>Patient felt not fit enough (n=31)</w:t>
                            </w:r>
                          </w:p>
                          <w:p w:rsidR="00D53CB5" w:rsidRDefault="00D53CB5" w:rsidP="00D53CB5">
                            <w:pPr>
                              <w:spacing w:after="0"/>
                            </w:pPr>
                            <w:r>
                              <w:t>Family disagrees (n=3)</w:t>
                            </w:r>
                          </w:p>
                          <w:p w:rsidR="00D53CB5" w:rsidRPr="00D86EE3" w:rsidRDefault="00D53CB5" w:rsidP="00D53CB5">
                            <w:pPr>
                              <w:spacing w:after="0"/>
                            </w:pPr>
                            <w:r>
                              <w:t>Unknown reason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A186" id="Tekstvak 11" o:spid="_x0000_s1030" type="#_x0000_t202" style="position:absolute;margin-left:297.2pt;margin-top:203.4pt;width:179.15pt;height:9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" fillcolor="white [3201]" strokeweight=".5pt">
                <v:textbox>
                  <w:txbxContent>
                    <w:p w:rsidR="00D53CB5" w:rsidRPr="00D86EE3" w:rsidRDefault="00D53CB5" w:rsidP="00D53CB5">
                      <w:pPr>
                        <w:spacing w:after="0"/>
                        <w:rPr>
                          <w:b/>
                        </w:rPr>
                      </w:pPr>
                      <w:r w:rsidRPr="00D86EE3">
                        <w:rPr>
                          <w:b/>
                        </w:rPr>
                        <w:t>Refused</w:t>
                      </w:r>
                    </w:p>
                    <w:p w:rsidR="00D53CB5" w:rsidRPr="00D86EE3" w:rsidRDefault="00D53CB5" w:rsidP="00D53CB5">
                      <w:pPr>
                        <w:spacing w:after="0"/>
                      </w:pPr>
                      <w:r w:rsidRPr="00D86EE3">
                        <w:t>Patient felt not fit enough (n=31)</w:t>
                      </w:r>
                    </w:p>
                    <w:p w:rsidR="00D53CB5" w:rsidRDefault="00D53CB5" w:rsidP="00D53CB5">
                      <w:pPr>
                        <w:spacing w:after="0"/>
                      </w:pPr>
                      <w:r>
                        <w:t>Family disagrees (n=3)</w:t>
                      </w:r>
                    </w:p>
                    <w:p w:rsidR="00D53CB5" w:rsidRPr="00D86EE3" w:rsidRDefault="00D53CB5" w:rsidP="00D53CB5">
                      <w:pPr>
                        <w:spacing w:after="0"/>
                      </w:pPr>
                      <w:r>
                        <w:t>Unknown reason (n=2)</w:t>
                      </w:r>
                    </w:p>
                  </w:txbxContent>
                </v:textbox>
              </v:shape>
            </w:pict>
          </mc:Fallback>
        </mc:AlternateContent>
      </w:r>
      <w:r>
        <w:br w:type="page"/>
      </w:r>
      <w:r>
        <w:rPr>
          <w:b/>
        </w:rPr>
        <w:lastRenderedPageBreak/>
        <w:t>Appendix 3</w:t>
      </w:r>
      <w:r w:rsidR="008501BA">
        <w:rPr>
          <w:b/>
        </w:rPr>
        <w:t xml:space="preserve"> (online only)</w:t>
      </w:r>
      <w:r>
        <w:rPr>
          <w:b/>
        </w:rPr>
        <w:t xml:space="preserve">: </w:t>
      </w:r>
      <w:r w:rsidR="00397E09">
        <w:rPr>
          <w:b/>
        </w:rPr>
        <w:t xml:space="preserve">Geriatric impairments per age group </w:t>
      </w:r>
    </w:p>
    <w:tbl>
      <w:tblPr>
        <w:tblStyle w:val="Tabellenraster"/>
        <w:tblW w:w="0" w:type="auto"/>
        <w:tblLook w:val="04A0" w:firstRow="1" w:lastRow="0" w:firstColumn="1" w:lastColumn="0" w:noHBand="0" w:noVBand="1"/>
      </w:tblPr>
      <w:tblGrid>
        <w:gridCol w:w="2660"/>
        <w:gridCol w:w="1984"/>
        <w:gridCol w:w="1701"/>
        <w:gridCol w:w="1701"/>
        <w:gridCol w:w="1454"/>
      </w:tblGrid>
      <w:tr w:rsidR="00397E09" w:rsidTr="007A1931">
        <w:tc>
          <w:tcPr>
            <w:tcW w:w="9500" w:type="dxa"/>
            <w:gridSpan w:val="5"/>
            <w:tcBorders>
              <w:bottom w:val="single" w:sz="4" w:space="0" w:color="auto"/>
            </w:tcBorders>
          </w:tcPr>
          <w:p w:rsidR="00397E09" w:rsidRPr="00773223" w:rsidRDefault="00397E09" w:rsidP="007A1931">
            <w:pPr>
              <w:rPr>
                <w:b/>
              </w:rPr>
            </w:pPr>
            <w:r w:rsidRPr="00773223">
              <w:rPr>
                <w:b/>
              </w:rPr>
              <w:t xml:space="preserve">Table 5. Geriatric impairments per age category in the group initiating dialysis </w:t>
            </w:r>
          </w:p>
        </w:tc>
      </w:tr>
      <w:tr w:rsidR="00397E09" w:rsidTr="007A1931">
        <w:tc>
          <w:tcPr>
            <w:tcW w:w="2660" w:type="dxa"/>
            <w:tcBorders>
              <w:bottom w:val="nil"/>
              <w:right w:val="nil"/>
            </w:tcBorders>
            <w:shd w:val="clear" w:color="auto" w:fill="F2F2F2" w:themeFill="background1" w:themeFillShade="F2"/>
          </w:tcPr>
          <w:p w:rsidR="00397E09" w:rsidRPr="0068612E" w:rsidRDefault="00397E09" w:rsidP="007A1931"/>
        </w:tc>
        <w:tc>
          <w:tcPr>
            <w:tcW w:w="5386" w:type="dxa"/>
            <w:gridSpan w:val="3"/>
            <w:tcBorders>
              <w:left w:val="nil"/>
              <w:bottom w:val="nil"/>
              <w:right w:val="nil"/>
            </w:tcBorders>
            <w:shd w:val="clear" w:color="auto" w:fill="F2F2F2" w:themeFill="background1" w:themeFillShade="F2"/>
          </w:tcPr>
          <w:p w:rsidR="00397E09" w:rsidRPr="00773223" w:rsidRDefault="00397E09" w:rsidP="007A1931">
            <w:pPr>
              <w:rPr>
                <w:rFonts w:cs="Segoe UI"/>
              </w:rPr>
            </w:pPr>
            <w:r w:rsidRPr="00773223">
              <w:rPr>
                <w:rFonts w:cs="Segoe UI"/>
              </w:rPr>
              <w:t>Age category</w:t>
            </w:r>
            <w:r>
              <w:rPr>
                <w:rFonts w:cs="Segoe UI"/>
              </w:rPr>
              <w:t xml:space="preserve"> (in years)</w:t>
            </w:r>
          </w:p>
        </w:tc>
        <w:tc>
          <w:tcPr>
            <w:tcW w:w="1454" w:type="dxa"/>
            <w:tcBorders>
              <w:left w:val="nil"/>
              <w:bottom w:val="nil"/>
            </w:tcBorders>
            <w:shd w:val="clear" w:color="auto" w:fill="F2F2F2" w:themeFill="background1" w:themeFillShade="F2"/>
          </w:tcPr>
          <w:p w:rsidR="00397E09" w:rsidRPr="00773223" w:rsidRDefault="00397E09" w:rsidP="007A1931"/>
        </w:tc>
      </w:tr>
      <w:tr w:rsidR="00397E09" w:rsidTr="007A1931">
        <w:tc>
          <w:tcPr>
            <w:tcW w:w="2660" w:type="dxa"/>
            <w:tcBorders>
              <w:top w:val="nil"/>
              <w:bottom w:val="single" w:sz="4" w:space="0" w:color="auto"/>
              <w:right w:val="nil"/>
            </w:tcBorders>
            <w:shd w:val="clear" w:color="auto" w:fill="F2F2F2" w:themeFill="background1" w:themeFillShade="F2"/>
          </w:tcPr>
          <w:p w:rsidR="00397E09" w:rsidRPr="0068612E" w:rsidRDefault="00397E09" w:rsidP="007A1931"/>
        </w:tc>
        <w:tc>
          <w:tcPr>
            <w:tcW w:w="1984"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t>65-74 (n=94)</w:t>
            </w:r>
          </w:p>
        </w:tc>
        <w:tc>
          <w:tcPr>
            <w:tcW w:w="1701"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t>75-84 (n=82)</w:t>
            </w:r>
          </w:p>
        </w:tc>
        <w:tc>
          <w:tcPr>
            <w:tcW w:w="1701"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rPr>
                <w:rFonts w:cs="Segoe UI"/>
              </w:rPr>
              <w:t>≥</w:t>
            </w:r>
            <w:r w:rsidRPr="00773223">
              <w:t>85 (n=20)</w:t>
            </w:r>
          </w:p>
        </w:tc>
        <w:tc>
          <w:tcPr>
            <w:tcW w:w="1454" w:type="dxa"/>
            <w:tcBorders>
              <w:top w:val="nil"/>
              <w:left w:val="nil"/>
              <w:bottom w:val="single" w:sz="4" w:space="0" w:color="auto"/>
            </w:tcBorders>
            <w:shd w:val="clear" w:color="auto" w:fill="F2F2F2" w:themeFill="background1" w:themeFillShade="F2"/>
          </w:tcPr>
          <w:p w:rsidR="00397E09" w:rsidRPr="00773223" w:rsidRDefault="00397E09" w:rsidP="007A1931">
            <w:r w:rsidRPr="00773223">
              <w:t>P-value</w:t>
            </w:r>
          </w:p>
        </w:tc>
      </w:tr>
      <w:tr w:rsidR="00397E09" w:rsidTr="007A1931">
        <w:tc>
          <w:tcPr>
            <w:tcW w:w="2660" w:type="dxa"/>
            <w:tcBorders>
              <w:bottom w:val="nil"/>
              <w:right w:val="nil"/>
            </w:tcBorders>
          </w:tcPr>
          <w:p w:rsidR="00397E09" w:rsidRPr="00773223" w:rsidRDefault="00397E09" w:rsidP="007A1931">
            <w:r w:rsidRPr="00F35240">
              <w:t>Cognition</w:t>
            </w:r>
          </w:p>
        </w:tc>
        <w:tc>
          <w:tcPr>
            <w:tcW w:w="1984" w:type="dxa"/>
            <w:tcBorders>
              <w:left w:val="nil"/>
              <w:bottom w:val="nil"/>
              <w:right w:val="nil"/>
            </w:tcBorders>
          </w:tcPr>
          <w:p w:rsidR="00397E09" w:rsidRPr="00773223" w:rsidRDefault="00397E09" w:rsidP="007A1931">
            <w:r>
              <w:t>58 (62%)</w:t>
            </w:r>
          </w:p>
        </w:tc>
        <w:tc>
          <w:tcPr>
            <w:tcW w:w="1701" w:type="dxa"/>
            <w:tcBorders>
              <w:left w:val="nil"/>
              <w:bottom w:val="nil"/>
              <w:right w:val="nil"/>
            </w:tcBorders>
          </w:tcPr>
          <w:p w:rsidR="00397E09" w:rsidRPr="00773223" w:rsidRDefault="00397E09" w:rsidP="007A1931">
            <w:r>
              <w:t>61 (74%)</w:t>
            </w:r>
          </w:p>
        </w:tc>
        <w:tc>
          <w:tcPr>
            <w:tcW w:w="1701" w:type="dxa"/>
            <w:tcBorders>
              <w:left w:val="nil"/>
              <w:bottom w:val="nil"/>
              <w:right w:val="nil"/>
            </w:tcBorders>
          </w:tcPr>
          <w:p w:rsidR="00397E09" w:rsidRPr="00773223" w:rsidRDefault="00397E09" w:rsidP="007A1931">
            <w:r>
              <w:t>13 (65%)</w:t>
            </w:r>
          </w:p>
        </w:tc>
        <w:tc>
          <w:tcPr>
            <w:tcW w:w="1454" w:type="dxa"/>
            <w:tcBorders>
              <w:left w:val="nil"/>
              <w:bottom w:val="nil"/>
            </w:tcBorders>
          </w:tcPr>
          <w:p w:rsidR="00397E09" w:rsidRPr="00773223" w:rsidRDefault="00397E09" w:rsidP="007A1931">
            <w:r>
              <w:t>0.20</w:t>
            </w:r>
          </w:p>
        </w:tc>
      </w:tr>
      <w:tr w:rsidR="00397E09" w:rsidTr="007A1931">
        <w:trPr>
          <w:trHeight w:val="273"/>
        </w:trPr>
        <w:tc>
          <w:tcPr>
            <w:tcW w:w="2660" w:type="dxa"/>
            <w:tcBorders>
              <w:top w:val="nil"/>
              <w:bottom w:val="nil"/>
              <w:right w:val="nil"/>
            </w:tcBorders>
          </w:tcPr>
          <w:p w:rsidR="00397E09" w:rsidRPr="00773223" w:rsidRDefault="00397E09" w:rsidP="007A1931">
            <w:r w:rsidRPr="00F35240">
              <w:t>Mood</w:t>
            </w:r>
          </w:p>
        </w:tc>
        <w:tc>
          <w:tcPr>
            <w:tcW w:w="1984" w:type="dxa"/>
            <w:tcBorders>
              <w:top w:val="nil"/>
              <w:left w:val="nil"/>
              <w:bottom w:val="nil"/>
              <w:right w:val="nil"/>
            </w:tcBorders>
          </w:tcPr>
          <w:p w:rsidR="00397E09" w:rsidRPr="00773223" w:rsidRDefault="00397E09" w:rsidP="007A1931">
            <w:r>
              <w:t>25 (27%)</w:t>
            </w:r>
          </w:p>
        </w:tc>
        <w:tc>
          <w:tcPr>
            <w:tcW w:w="1701" w:type="dxa"/>
            <w:tcBorders>
              <w:top w:val="nil"/>
              <w:left w:val="nil"/>
              <w:bottom w:val="nil"/>
              <w:right w:val="nil"/>
            </w:tcBorders>
          </w:tcPr>
          <w:p w:rsidR="00397E09" w:rsidRPr="00773223" w:rsidRDefault="00397E09" w:rsidP="007A1931">
            <w:r>
              <w:t>32 (39%)</w:t>
            </w:r>
          </w:p>
        </w:tc>
        <w:tc>
          <w:tcPr>
            <w:tcW w:w="1701" w:type="dxa"/>
            <w:tcBorders>
              <w:top w:val="nil"/>
              <w:left w:val="nil"/>
              <w:bottom w:val="nil"/>
              <w:right w:val="nil"/>
            </w:tcBorders>
          </w:tcPr>
          <w:p w:rsidR="00397E09" w:rsidRPr="00773223" w:rsidRDefault="00397E09" w:rsidP="007A1931">
            <w:r>
              <w:t>3 (15%)</w:t>
            </w:r>
          </w:p>
        </w:tc>
        <w:tc>
          <w:tcPr>
            <w:tcW w:w="1454" w:type="dxa"/>
            <w:tcBorders>
              <w:top w:val="nil"/>
              <w:left w:val="nil"/>
              <w:bottom w:val="nil"/>
            </w:tcBorders>
          </w:tcPr>
          <w:p w:rsidR="00397E09" w:rsidRPr="00773223" w:rsidRDefault="00397E09" w:rsidP="007A1931">
            <w:r>
              <w:t>0.06</w:t>
            </w:r>
          </w:p>
        </w:tc>
      </w:tr>
      <w:tr w:rsidR="00397E09" w:rsidTr="007A1931">
        <w:tc>
          <w:tcPr>
            <w:tcW w:w="2660" w:type="dxa"/>
            <w:tcBorders>
              <w:top w:val="nil"/>
              <w:bottom w:val="nil"/>
              <w:right w:val="nil"/>
            </w:tcBorders>
          </w:tcPr>
          <w:p w:rsidR="00397E09" w:rsidRPr="00F35240" w:rsidRDefault="00397E09" w:rsidP="007A1931">
            <w:r w:rsidRPr="00F35240">
              <w:t>Functional status</w:t>
            </w:r>
          </w:p>
        </w:tc>
        <w:tc>
          <w:tcPr>
            <w:tcW w:w="1984" w:type="dxa"/>
            <w:tcBorders>
              <w:top w:val="nil"/>
              <w:left w:val="nil"/>
              <w:bottom w:val="nil"/>
              <w:right w:val="nil"/>
            </w:tcBorders>
          </w:tcPr>
          <w:p w:rsidR="00397E09" w:rsidRPr="00773223" w:rsidRDefault="00397E09" w:rsidP="007A1931"/>
        </w:tc>
        <w:tc>
          <w:tcPr>
            <w:tcW w:w="1701" w:type="dxa"/>
            <w:tcBorders>
              <w:top w:val="nil"/>
              <w:left w:val="nil"/>
              <w:bottom w:val="nil"/>
              <w:right w:val="nil"/>
            </w:tcBorders>
          </w:tcPr>
          <w:p w:rsidR="00397E09" w:rsidRPr="00773223" w:rsidRDefault="00397E09" w:rsidP="007A1931"/>
        </w:tc>
        <w:tc>
          <w:tcPr>
            <w:tcW w:w="1701" w:type="dxa"/>
            <w:tcBorders>
              <w:top w:val="nil"/>
              <w:left w:val="nil"/>
              <w:bottom w:val="nil"/>
              <w:right w:val="nil"/>
            </w:tcBorders>
          </w:tcPr>
          <w:p w:rsidR="00397E09" w:rsidRPr="00773223" w:rsidRDefault="00397E09" w:rsidP="007A1931"/>
        </w:tc>
        <w:tc>
          <w:tcPr>
            <w:tcW w:w="1454" w:type="dxa"/>
            <w:tcBorders>
              <w:top w:val="nil"/>
              <w:left w:val="nil"/>
              <w:bottom w:val="nil"/>
            </w:tcBorders>
          </w:tcPr>
          <w:p w:rsidR="00397E09" w:rsidRPr="00773223" w:rsidRDefault="00397E09" w:rsidP="007A1931"/>
        </w:tc>
      </w:tr>
      <w:tr w:rsidR="00397E09" w:rsidTr="007A1931">
        <w:tc>
          <w:tcPr>
            <w:tcW w:w="2660" w:type="dxa"/>
            <w:tcBorders>
              <w:top w:val="nil"/>
              <w:bottom w:val="nil"/>
              <w:right w:val="nil"/>
            </w:tcBorders>
          </w:tcPr>
          <w:p w:rsidR="00397E09" w:rsidRPr="00F35240" w:rsidRDefault="00397E09" w:rsidP="007A1931">
            <w:r w:rsidRPr="00F35240">
              <w:t>- ADL</w:t>
            </w:r>
          </w:p>
        </w:tc>
        <w:tc>
          <w:tcPr>
            <w:tcW w:w="1984" w:type="dxa"/>
            <w:tcBorders>
              <w:top w:val="nil"/>
              <w:left w:val="nil"/>
              <w:bottom w:val="nil"/>
              <w:right w:val="nil"/>
            </w:tcBorders>
          </w:tcPr>
          <w:p w:rsidR="00397E09" w:rsidRPr="00773223" w:rsidRDefault="00397E09" w:rsidP="007A1931">
            <w:r w:rsidRPr="00773223">
              <w:t>24 (26%)</w:t>
            </w:r>
          </w:p>
        </w:tc>
        <w:tc>
          <w:tcPr>
            <w:tcW w:w="1701" w:type="dxa"/>
            <w:tcBorders>
              <w:top w:val="nil"/>
              <w:left w:val="nil"/>
              <w:bottom w:val="nil"/>
              <w:right w:val="nil"/>
            </w:tcBorders>
          </w:tcPr>
          <w:p w:rsidR="00397E09" w:rsidRPr="00773223" w:rsidRDefault="00397E09" w:rsidP="007A1931">
            <w:r w:rsidRPr="00773223">
              <w:t>25 (31%)</w:t>
            </w:r>
          </w:p>
        </w:tc>
        <w:tc>
          <w:tcPr>
            <w:tcW w:w="1701" w:type="dxa"/>
            <w:tcBorders>
              <w:top w:val="nil"/>
              <w:left w:val="nil"/>
              <w:bottom w:val="nil"/>
              <w:right w:val="nil"/>
            </w:tcBorders>
          </w:tcPr>
          <w:p w:rsidR="00397E09" w:rsidRPr="00773223" w:rsidRDefault="00397E09" w:rsidP="007A1931">
            <w:r w:rsidRPr="00773223">
              <w:t>8 (40%)</w:t>
            </w:r>
          </w:p>
        </w:tc>
        <w:tc>
          <w:tcPr>
            <w:tcW w:w="1454" w:type="dxa"/>
            <w:tcBorders>
              <w:top w:val="nil"/>
              <w:left w:val="nil"/>
              <w:bottom w:val="nil"/>
            </w:tcBorders>
          </w:tcPr>
          <w:p w:rsidR="00397E09" w:rsidRPr="00773223" w:rsidRDefault="00397E09" w:rsidP="007A1931">
            <w:r w:rsidRPr="00773223">
              <w:t>0.41</w:t>
            </w:r>
          </w:p>
        </w:tc>
      </w:tr>
      <w:tr w:rsidR="00397E09" w:rsidTr="007A1931">
        <w:tc>
          <w:tcPr>
            <w:tcW w:w="2660" w:type="dxa"/>
            <w:tcBorders>
              <w:top w:val="nil"/>
              <w:bottom w:val="nil"/>
              <w:right w:val="nil"/>
            </w:tcBorders>
          </w:tcPr>
          <w:p w:rsidR="00397E09" w:rsidRPr="00F35240" w:rsidRDefault="00397E09" w:rsidP="007A1931">
            <w:r w:rsidRPr="00F35240">
              <w:t xml:space="preserve">- </w:t>
            </w:r>
            <w:r>
              <w:t>i</w:t>
            </w:r>
            <w:r w:rsidRPr="00F35240">
              <w:t>ADL</w:t>
            </w:r>
          </w:p>
        </w:tc>
        <w:tc>
          <w:tcPr>
            <w:tcW w:w="1984" w:type="dxa"/>
            <w:tcBorders>
              <w:top w:val="nil"/>
              <w:left w:val="nil"/>
              <w:bottom w:val="nil"/>
              <w:right w:val="nil"/>
            </w:tcBorders>
          </w:tcPr>
          <w:p w:rsidR="00397E09" w:rsidRPr="00773223" w:rsidRDefault="00397E09" w:rsidP="007A1931">
            <w:r w:rsidRPr="00773223">
              <w:t>70 (75%)</w:t>
            </w:r>
          </w:p>
        </w:tc>
        <w:tc>
          <w:tcPr>
            <w:tcW w:w="1701" w:type="dxa"/>
            <w:tcBorders>
              <w:top w:val="nil"/>
              <w:left w:val="nil"/>
              <w:bottom w:val="nil"/>
              <w:right w:val="nil"/>
            </w:tcBorders>
          </w:tcPr>
          <w:p w:rsidR="00397E09" w:rsidRPr="00773223" w:rsidRDefault="00397E09" w:rsidP="007A1931">
            <w:r w:rsidRPr="00773223">
              <w:t>65 (79%)</w:t>
            </w:r>
          </w:p>
        </w:tc>
        <w:tc>
          <w:tcPr>
            <w:tcW w:w="1701" w:type="dxa"/>
            <w:tcBorders>
              <w:top w:val="nil"/>
              <w:left w:val="nil"/>
              <w:bottom w:val="nil"/>
              <w:right w:val="nil"/>
            </w:tcBorders>
          </w:tcPr>
          <w:p w:rsidR="00397E09" w:rsidRPr="00773223" w:rsidRDefault="00397E09" w:rsidP="007A1931">
            <w:r w:rsidRPr="00773223">
              <w:t>19 (95%)</w:t>
            </w:r>
          </w:p>
        </w:tc>
        <w:tc>
          <w:tcPr>
            <w:tcW w:w="1454" w:type="dxa"/>
            <w:tcBorders>
              <w:top w:val="nil"/>
              <w:left w:val="nil"/>
              <w:bottom w:val="nil"/>
            </w:tcBorders>
          </w:tcPr>
          <w:p w:rsidR="00397E09" w:rsidRPr="00773223" w:rsidRDefault="00397E09" w:rsidP="007A1931">
            <w:r w:rsidRPr="00773223">
              <w:t>0.12</w:t>
            </w:r>
          </w:p>
        </w:tc>
      </w:tr>
      <w:tr w:rsidR="00397E09" w:rsidTr="007A1931">
        <w:tc>
          <w:tcPr>
            <w:tcW w:w="2660" w:type="dxa"/>
            <w:tcBorders>
              <w:top w:val="nil"/>
              <w:bottom w:val="nil"/>
              <w:right w:val="nil"/>
            </w:tcBorders>
          </w:tcPr>
          <w:p w:rsidR="00397E09" w:rsidRPr="00F35240" w:rsidRDefault="00397E09" w:rsidP="007A1931">
            <w:r w:rsidRPr="00F35240">
              <w:t>Mobility</w:t>
            </w:r>
          </w:p>
        </w:tc>
        <w:tc>
          <w:tcPr>
            <w:tcW w:w="1984" w:type="dxa"/>
            <w:tcBorders>
              <w:top w:val="nil"/>
              <w:left w:val="nil"/>
              <w:bottom w:val="nil"/>
              <w:right w:val="nil"/>
            </w:tcBorders>
          </w:tcPr>
          <w:p w:rsidR="00397E09" w:rsidRPr="00773223" w:rsidRDefault="00397E09" w:rsidP="007A1931">
            <w:r w:rsidRPr="00773223">
              <w:t>15 (17%)</w:t>
            </w:r>
          </w:p>
        </w:tc>
        <w:tc>
          <w:tcPr>
            <w:tcW w:w="1701" w:type="dxa"/>
            <w:tcBorders>
              <w:top w:val="nil"/>
              <w:left w:val="nil"/>
              <w:bottom w:val="nil"/>
              <w:right w:val="nil"/>
            </w:tcBorders>
          </w:tcPr>
          <w:p w:rsidR="00397E09" w:rsidRPr="00773223" w:rsidRDefault="00397E09" w:rsidP="007A1931">
            <w:r w:rsidRPr="00773223">
              <w:t>17 (22%)</w:t>
            </w:r>
          </w:p>
        </w:tc>
        <w:tc>
          <w:tcPr>
            <w:tcW w:w="1701" w:type="dxa"/>
            <w:tcBorders>
              <w:top w:val="nil"/>
              <w:left w:val="nil"/>
              <w:bottom w:val="nil"/>
              <w:right w:val="nil"/>
            </w:tcBorders>
          </w:tcPr>
          <w:p w:rsidR="00397E09" w:rsidRPr="00773223" w:rsidRDefault="00397E09" w:rsidP="007A1931">
            <w:r w:rsidRPr="00773223">
              <w:t>4 (20%)</w:t>
            </w:r>
          </w:p>
        </w:tc>
        <w:tc>
          <w:tcPr>
            <w:tcW w:w="1454" w:type="dxa"/>
            <w:tcBorders>
              <w:top w:val="nil"/>
              <w:left w:val="nil"/>
              <w:bottom w:val="nil"/>
            </w:tcBorders>
          </w:tcPr>
          <w:p w:rsidR="00397E09" w:rsidRPr="00773223" w:rsidRDefault="00397E09" w:rsidP="007A1931">
            <w:r>
              <w:t>0.65</w:t>
            </w:r>
          </w:p>
        </w:tc>
      </w:tr>
      <w:tr w:rsidR="00397E09" w:rsidTr="007A1931">
        <w:tc>
          <w:tcPr>
            <w:tcW w:w="2660" w:type="dxa"/>
            <w:tcBorders>
              <w:top w:val="nil"/>
              <w:bottom w:val="nil"/>
              <w:right w:val="nil"/>
            </w:tcBorders>
          </w:tcPr>
          <w:p w:rsidR="00397E09" w:rsidRPr="00F35240" w:rsidRDefault="00397E09" w:rsidP="007A1931">
            <w:r w:rsidRPr="00F35240">
              <w:t>Nutritional status</w:t>
            </w:r>
          </w:p>
        </w:tc>
        <w:tc>
          <w:tcPr>
            <w:tcW w:w="1984" w:type="dxa"/>
            <w:tcBorders>
              <w:top w:val="nil"/>
              <w:left w:val="nil"/>
              <w:bottom w:val="nil"/>
              <w:right w:val="nil"/>
            </w:tcBorders>
          </w:tcPr>
          <w:p w:rsidR="00397E09" w:rsidRPr="00773223" w:rsidRDefault="00397E09" w:rsidP="007A1931">
            <w:r w:rsidRPr="00773223">
              <w:t>6 (6%)</w:t>
            </w:r>
          </w:p>
        </w:tc>
        <w:tc>
          <w:tcPr>
            <w:tcW w:w="1701" w:type="dxa"/>
            <w:tcBorders>
              <w:top w:val="nil"/>
              <w:left w:val="nil"/>
              <w:bottom w:val="nil"/>
              <w:right w:val="nil"/>
            </w:tcBorders>
          </w:tcPr>
          <w:p w:rsidR="00397E09" w:rsidRPr="00773223" w:rsidRDefault="00397E09" w:rsidP="007A1931">
            <w:r w:rsidRPr="00773223">
              <w:t>3 (4%)</w:t>
            </w:r>
          </w:p>
        </w:tc>
        <w:tc>
          <w:tcPr>
            <w:tcW w:w="1701" w:type="dxa"/>
            <w:tcBorders>
              <w:top w:val="nil"/>
              <w:left w:val="nil"/>
              <w:bottom w:val="nil"/>
              <w:right w:val="nil"/>
            </w:tcBorders>
          </w:tcPr>
          <w:p w:rsidR="00397E09" w:rsidRPr="00773223" w:rsidRDefault="00397E09" w:rsidP="007A1931">
            <w:r w:rsidRPr="00773223">
              <w:t>1 (5%)</w:t>
            </w:r>
          </w:p>
        </w:tc>
        <w:tc>
          <w:tcPr>
            <w:tcW w:w="1454" w:type="dxa"/>
            <w:tcBorders>
              <w:top w:val="nil"/>
              <w:left w:val="nil"/>
              <w:bottom w:val="nil"/>
            </w:tcBorders>
          </w:tcPr>
          <w:p w:rsidR="00397E09" w:rsidRPr="00773223" w:rsidRDefault="00397E09" w:rsidP="007A1931">
            <w:r w:rsidRPr="00773223">
              <w:t>0.7</w:t>
            </w:r>
            <w:r>
              <w:t>2</w:t>
            </w:r>
          </w:p>
        </w:tc>
      </w:tr>
      <w:tr w:rsidR="00397E09" w:rsidTr="007A1931">
        <w:tc>
          <w:tcPr>
            <w:tcW w:w="2660" w:type="dxa"/>
            <w:tcBorders>
              <w:top w:val="nil"/>
              <w:bottom w:val="nil"/>
              <w:right w:val="nil"/>
            </w:tcBorders>
          </w:tcPr>
          <w:p w:rsidR="00397E09" w:rsidRPr="00F35240" w:rsidRDefault="00397E09" w:rsidP="007A1931">
            <w:r w:rsidRPr="00F35240">
              <w:t xml:space="preserve">Severe comorbidity </w:t>
            </w:r>
          </w:p>
        </w:tc>
        <w:tc>
          <w:tcPr>
            <w:tcW w:w="1984" w:type="dxa"/>
            <w:tcBorders>
              <w:top w:val="nil"/>
              <w:left w:val="nil"/>
              <w:bottom w:val="nil"/>
              <w:right w:val="nil"/>
            </w:tcBorders>
          </w:tcPr>
          <w:p w:rsidR="00397E09" w:rsidRPr="00773223" w:rsidRDefault="00397E09" w:rsidP="007A1931">
            <w:r w:rsidRPr="00773223">
              <w:t>4</w:t>
            </w:r>
            <w:r>
              <w:t>1</w:t>
            </w:r>
            <w:r w:rsidRPr="00773223">
              <w:t xml:space="preserve"> (44%)</w:t>
            </w:r>
          </w:p>
        </w:tc>
        <w:tc>
          <w:tcPr>
            <w:tcW w:w="1701" w:type="dxa"/>
            <w:tcBorders>
              <w:top w:val="nil"/>
              <w:left w:val="nil"/>
              <w:bottom w:val="nil"/>
              <w:right w:val="nil"/>
            </w:tcBorders>
          </w:tcPr>
          <w:p w:rsidR="00397E09" w:rsidRPr="00773223" w:rsidRDefault="00397E09" w:rsidP="007A1931">
            <w:r w:rsidRPr="00773223">
              <w:t>36 (44%)</w:t>
            </w:r>
          </w:p>
        </w:tc>
        <w:tc>
          <w:tcPr>
            <w:tcW w:w="1701" w:type="dxa"/>
            <w:tcBorders>
              <w:top w:val="nil"/>
              <w:left w:val="nil"/>
              <w:bottom w:val="nil"/>
              <w:right w:val="nil"/>
            </w:tcBorders>
          </w:tcPr>
          <w:p w:rsidR="00397E09" w:rsidRPr="00773223" w:rsidRDefault="00397E09" w:rsidP="007A1931">
            <w:r w:rsidRPr="00773223">
              <w:t>4 (20%)</w:t>
            </w:r>
          </w:p>
        </w:tc>
        <w:tc>
          <w:tcPr>
            <w:tcW w:w="1454" w:type="dxa"/>
            <w:tcBorders>
              <w:top w:val="nil"/>
              <w:left w:val="nil"/>
              <w:bottom w:val="nil"/>
            </w:tcBorders>
          </w:tcPr>
          <w:p w:rsidR="00397E09" w:rsidRPr="00773223" w:rsidRDefault="00397E09" w:rsidP="007A1931">
            <w:r w:rsidRPr="00F35240">
              <w:t>0.12</w:t>
            </w:r>
          </w:p>
        </w:tc>
      </w:tr>
      <w:tr w:rsidR="00397E09" w:rsidTr="007A1931">
        <w:tc>
          <w:tcPr>
            <w:tcW w:w="2660" w:type="dxa"/>
            <w:tcBorders>
              <w:top w:val="nil"/>
              <w:bottom w:val="single" w:sz="4" w:space="0" w:color="auto"/>
              <w:right w:val="nil"/>
            </w:tcBorders>
          </w:tcPr>
          <w:p w:rsidR="00397E09" w:rsidRPr="00F35240" w:rsidRDefault="00397E09" w:rsidP="007A1931">
            <w:r>
              <w:t>Frail according to GA</w:t>
            </w:r>
          </w:p>
        </w:tc>
        <w:tc>
          <w:tcPr>
            <w:tcW w:w="1984" w:type="dxa"/>
            <w:tcBorders>
              <w:top w:val="nil"/>
              <w:left w:val="nil"/>
              <w:bottom w:val="single" w:sz="4" w:space="0" w:color="auto"/>
              <w:right w:val="nil"/>
            </w:tcBorders>
          </w:tcPr>
          <w:p w:rsidR="00397E09" w:rsidRPr="00773223" w:rsidRDefault="00397E09" w:rsidP="007A1931">
            <w:r>
              <w:t>69 (73%)</w:t>
            </w:r>
          </w:p>
        </w:tc>
        <w:tc>
          <w:tcPr>
            <w:tcW w:w="1701" w:type="dxa"/>
            <w:tcBorders>
              <w:top w:val="nil"/>
              <w:left w:val="nil"/>
              <w:bottom w:val="single" w:sz="4" w:space="0" w:color="auto"/>
              <w:right w:val="nil"/>
            </w:tcBorders>
          </w:tcPr>
          <w:p w:rsidR="00397E09" w:rsidRPr="00773223" w:rsidRDefault="00397E09" w:rsidP="007A1931">
            <w:r w:rsidRPr="00773223">
              <w:t>6</w:t>
            </w:r>
            <w:r>
              <w:t>6</w:t>
            </w:r>
            <w:r w:rsidRPr="00773223">
              <w:t xml:space="preserve"> (</w:t>
            </w:r>
            <w:r>
              <w:t>81</w:t>
            </w:r>
            <w:r w:rsidRPr="00773223">
              <w:t>%)</w:t>
            </w:r>
          </w:p>
        </w:tc>
        <w:tc>
          <w:tcPr>
            <w:tcW w:w="1701" w:type="dxa"/>
            <w:tcBorders>
              <w:top w:val="nil"/>
              <w:left w:val="nil"/>
              <w:bottom w:val="single" w:sz="4" w:space="0" w:color="auto"/>
              <w:right w:val="nil"/>
            </w:tcBorders>
          </w:tcPr>
          <w:p w:rsidR="00397E09" w:rsidRPr="00773223" w:rsidRDefault="00397E09" w:rsidP="007A1931">
            <w:r>
              <w:t>15 (75%)</w:t>
            </w:r>
          </w:p>
        </w:tc>
        <w:tc>
          <w:tcPr>
            <w:tcW w:w="1454" w:type="dxa"/>
            <w:tcBorders>
              <w:top w:val="nil"/>
              <w:left w:val="nil"/>
              <w:bottom w:val="single" w:sz="4" w:space="0" w:color="auto"/>
            </w:tcBorders>
          </w:tcPr>
          <w:p w:rsidR="00397E09" w:rsidRPr="00773223" w:rsidRDefault="00397E09" w:rsidP="007A1931">
            <w:r>
              <w:t>0.54</w:t>
            </w:r>
          </w:p>
        </w:tc>
      </w:tr>
      <w:tr w:rsidR="00397E09" w:rsidTr="007A1931">
        <w:tc>
          <w:tcPr>
            <w:tcW w:w="9500" w:type="dxa"/>
            <w:gridSpan w:val="5"/>
            <w:tcBorders>
              <w:top w:val="single" w:sz="4" w:space="0" w:color="auto"/>
            </w:tcBorders>
          </w:tcPr>
          <w:p w:rsidR="00397E09" w:rsidRPr="00F35240" w:rsidRDefault="00397E09" w:rsidP="007A1931">
            <w:r>
              <w:t>ADL, Activities for daily living; IADL, Instrumental activities of daily living; GA, Geriatric assessment</w:t>
            </w:r>
          </w:p>
        </w:tc>
      </w:tr>
    </w:tbl>
    <w:p w:rsidR="00397E09" w:rsidRDefault="00397E09" w:rsidP="00397E09">
      <w:pPr>
        <w:rPr>
          <w:b/>
        </w:rPr>
      </w:pPr>
    </w:p>
    <w:tbl>
      <w:tblPr>
        <w:tblStyle w:val="Tabellenraster"/>
        <w:tblW w:w="0" w:type="auto"/>
        <w:tblLook w:val="04A0" w:firstRow="1" w:lastRow="0" w:firstColumn="1" w:lastColumn="0" w:noHBand="0" w:noVBand="1"/>
      </w:tblPr>
      <w:tblGrid>
        <w:gridCol w:w="2660"/>
        <w:gridCol w:w="1984"/>
        <w:gridCol w:w="1701"/>
        <w:gridCol w:w="1701"/>
        <w:gridCol w:w="1454"/>
      </w:tblGrid>
      <w:tr w:rsidR="00397E09" w:rsidTr="007A1931">
        <w:tc>
          <w:tcPr>
            <w:tcW w:w="9500" w:type="dxa"/>
            <w:gridSpan w:val="5"/>
          </w:tcPr>
          <w:p w:rsidR="00397E09" w:rsidRPr="00773223" w:rsidRDefault="00397E09" w:rsidP="007A1931">
            <w:pPr>
              <w:rPr>
                <w:b/>
              </w:rPr>
            </w:pPr>
            <w:r w:rsidRPr="00773223">
              <w:rPr>
                <w:b/>
              </w:rPr>
              <w:t>Table 6. Geriatric impairments per age category in the group choosing for maximal conservative management</w:t>
            </w:r>
          </w:p>
        </w:tc>
      </w:tr>
      <w:tr w:rsidR="00397E09" w:rsidTr="007A1931">
        <w:tc>
          <w:tcPr>
            <w:tcW w:w="2660" w:type="dxa"/>
            <w:tcBorders>
              <w:bottom w:val="nil"/>
              <w:right w:val="nil"/>
            </w:tcBorders>
            <w:shd w:val="clear" w:color="auto" w:fill="F2F2F2" w:themeFill="background1" w:themeFillShade="F2"/>
          </w:tcPr>
          <w:p w:rsidR="00397E09" w:rsidRPr="0068612E" w:rsidRDefault="00397E09" w:rsidP="007A1931"/>
        </w:tc>
        <w:tc>
          <w:tcPr>
            <w:tcW w:w="6840" w:type="dxa"/>
            <w:gridSpan w:val="4"/>
            <w:tcBorders>
              <w:left w:val="nil"/>
              <w:bottom w:val="nil"/>
            </w:tcBorders>
            <w:shd w:val="clear" w:color="auto" w:fill="F2F2F2" w:themeFill="background1" w:themeFillShade="F2"/>
          </w:tcPr>
          <w:p w:rsidR="00397E09" w:rsidRPr="00773223" w:rsidRDefault="00397E09" w:rsidP="007A1931">
            <w:r w:rsidRPr="00773223">
              <w:rPr>
                <w:rFonts w:cs="Segoe UI"/>
              </w:rPr>
              <w:t>Age category (in years)</w:t>
            </w:r>
          </w:p>
        </w:tc>
      </w:tr>
      <w:tr w:rsidR="00397E09" w:rsidTr="007A1931">
        <w:tc>
          <w:tcPr>
            <w:tcW w:w="2660" w:type="dxa"/>
            <w:tcBorders>
              <w:top w:val="nil"/>
              <w:bottom w:val="single" w:sz="4" w:space="0" w:color="auto"/>
              <w:right w:val="nil"/>
            </w:tcBorders>
            <w:shd w:val="clear" w:color="auto" w:fill="F2F2F2" w:themeFill="background1" w:themeFillShade="F2"/>
          </w:tcPr>
          <w:p w:rsidR="00397E09" w:rsidRPr="0068612E" w:rsidRDefault="00397E09" w:rsidP="007A1931"/>
        </w:tc>
        <w:tc>
          <w:tcPr>
            <w:tcW w:w="1984"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t>65-74</w:t>
            </w:r>
            <w:r>
              <w:t xml:space="preserve"> (n=11)</w:t>
            </w:r>
          </w:p>
        </w:tc>
        <w:tc>
          <w:tcPr>
            <w:tcW w:w="1701"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t>75-84</w:t>
            </w:r>
            <w:r>
              <w:t xml:space="preserve"> (n=47)</w:t>
            </w:r>
          </w:p>
        </w:tc>
        <w:tc>
          <w:tcPr>
            <w:tcW w:w="1701" w:type="dxa"/>
            <w:tcBorders>
              <w:top w:val="nil"/>
              <w:left w:val="nil"/>
              <w:bottom w:val="single" w:sz="4" w:space="0" w:color="auto"/>
              <w:right w:val="nil"/>
            </w:tcBorders>
            <w:shd w:val="clear" w:color="auto" w:fill="F2F2F2" w:themeFill="background1" w:themeFillShade="F2"/>
          </w:tcPr>
          <w:p w:rsidR="00397E09" w:rsidRPr="00773223" w:rsidRDefault="00397E09" w:rsidP="007A1931">
            <w:r w:rsidRPr="00773223">
              <w:rPr>
                <w:rFonts w:cs="Segoe UI"/>
              </w:rPr>
              <w:t>≥</w:t>
            </w:r>
            <w:r w:rsidRPr="00773223">
              <w:t>85</w:t>
            </w:r>
            <w:r>
              <w:t xml:space="preserve"> (n=31)</w:t>
            </w:r>
          </w:p>
        </w:tc>
        <w:tc>
          <w:tcPr>
            <w:tcW w:w="1454" w:type="dxa"/>
            <w:tcBorders>
              <w:top w:val="nil"/>
              <w:left w:val="nil"/>
              <w:bottom w:val="single" w:sz="4" w:space="0" w:color="auto"/>
            </w:tcBorders>
            <w:shd w:val="clear" w:color="auto" w:fill="F2F2F2" w:themeFill="background1" w:themeFillShade="F2"/>
          </w:tcPr>
          <w:p w:rsidR="00397E09" w:rsidRPr="00773223" w:rsidRDefault="00397E09" w:rsidP="007A1931">
            <w:r w:rsidRPr="00773223">
              <w:t>P-value</w:t>
            </w:r>
          </w:p>
        </w:tc>
      </w:tr>
      <w:tr w:rsidR="00397E09" w:rsidTr="007A1931">
        <w:tc>
          <w:tcPr>
            <w:tcW w:w="2660" w:type="dxa"/>
            <w:tcBorders>
              <w:bottom w:val="nil"/>
              <w:right w:val="nil"/>
            </w:tcBorders>
          </w:tcPr>
          <w:p w:rsidR="00397E09" w:rsidRPr="0068612E" w:rsidRDefault="00397E09" w:rsidP="007A1931">
            <w:r w:rsidRPr="0068612E">
              <w:t>Cognition</w:t>
            </w:r>
          </w:p>
        </w:tc>
        <w:tc>
          <w:tcPr>
            <w:tcW w:w="1984" w:type="dxa"/>
            <w:tcBorders>
              <w:left w:val="nil"/>
              <w:bottom w:val="nil"/>
              <w:right w:val="nil"/>
            </w:tcBorders>
          </w:tcPr>
          <w:p w:rsidR="00397E09" w:rsidRPr="0068612E" w:rsidRDefault="00397E09" w:rsidP="007A1931">
            <w:r>
              <w:t>6 (55%)</w:t>
            </w:r>
          </w:p>
        </w:tc>
        <w:tc>
          <w:tcPr>
            <w:tcW w:w="1701" w:type="dxa"/>
            <w:tcBorders>
              <w:left w:val="nil"/>
              <w:bottom w:val="nil"/>
              <w:right w:val="nil"/>
            </w:tcBorders>
          </w:tcPr>
          <w:p w:rsidR="00397E09" w:rsidRPr="0068612E" w:rsidRDefault="00397E09" w:rsidP="007A1931">
            <w:r>
              <w:t>34 (72%)</w:t>
            </w:r>
          </w:p>
        </w:tc>
        <w:tc>
          <w:tcPr>
            <w:tcW w:w="1701" w:type="dxa"/>
            <w:tcBorders>
              <w:left w:val="nil"/>
              <w:bottom w:val="nil"/>
              <w:right w:val="nil"/>
            </w:tcBorders>
          </w:tcPr>
          <w:p w:rsidR="00397E09" w:rsidRPr="0068612E" w:rsidRDefault="00397E09" w:rsidP="007A1931">
            <w:r>
              <w:t>22 (71%)</w:t>
            </w:r>
          </w:p>
        </w:tc>
        <w:tc>
          <w:tcPr>
            <w:tcW w:w="1454" w:type="dxa"/>
            <w:tcBorders>
              <w:left w:val="nil"/>
              <w:bottom w:val="nil"/>
            </w:tcBorders>
          </w:tcPr>
          <w:p w:rsidR="00397E09" w:rsidRPr="0068612E" w:rsidRDefault="00397E09" w:rsidP="007A1931">
            <w:r>
              <w:t>0.50</w:t>
            </w:r>
          </w:p>
        </w:tc>
      </w:tr>
      <w:tr w:rsidR="00397E09" w:rsidTr="007A1931">
        <w:tc>
          <w:tcPr>
            <w:tcW w:w="2660" w:type="dxa"/>
            <w:tcBorders>
              <w:top w:val="nil"/>
              <w:bottom w:val="nil"/>
              <w:right w:val="nil"/>
            </w:tcBorders>
          </w:tcPr>
          <w:p w:rsidR="00397E09" w:rsidRPr="0068612E" w:rsidRDefault="00397E09" w:rsidP="007A1931">
            <w:r w:rsidRPr="0068612E">
              <w:t>Mood</w:t>
            </w:r>
          </w:p>
        </w:tc>
        <w:tc>
          <w:tcPr>
            <w:tcW w:w="1984" w:type="dxa"/>
            <w:tcBorders>
              <w:top w:val="nil"/>
              <w:left w:val="nil"/>
              <w:bottom w:val="nil"/>
              <w:right w:val="nil"/>
            </w:tcBorders>
          </w:tcPr>
          <w:p w:rsidR="00397E09" w:rsidRPr="0068612E" w:rsidRDefault="00397E09" w:rsidP="007A1931">
            <w:r>
              <w:t>2 (18</w:t>
            </w:r>
            <w:r w:rsidRPr="0068612E">
              <w:t>%)</w:t>
            </w:r>
          </w:p>
        </w:tc>
        <w:tc>
          <w:tcPr>
            <w:tcW w:w="1701" w:type="dxa"/>
            <w:tcBorders>
              <w:top w:val="nil"/>
              <w:left w:val="nil"/>
              <w:bottom w:val="nil"/>
              <w:right w:val="nil"/>
            </w:tcBorders>
          </w:tcPr>
          <w:p w:rsidR="00397E09" w:rsidRPr="0068612E" w:rsidRDefault="00397E09" w:rsidP="007A1931">
            <w:r>
              <w:t xml:space="preserve">19 </w:t>
            </w:r>
            <w:r w:rsidRPr="0068612E">
              <w:t>(</w:t>
            </w:r>
            <w:r>
              <w:t>40</w:t>
            </w:r>
            <w:r w:rsidRPr="0068612E">
              <w:t>%)</w:t>
            </w:r>
          </w:p>
        </w:tc>
        <w:tc>
          <w:tcPr>
            <w:tcW w:w="1701" w:type="dxa"/>
            <w:tcBorders>
              <w:top w:val="nil"/>
              <w:left w:val="nil"/>
              <w:bottom w:val="nil"/>
              <w:right w:val="nil"/>
            </w:tcBorders>
          </w:tcPr>
          <w:p w:rsidR="00397E09" w:rsidRPr="0068612E" w:rsidRDefault="00397E09" w:rsidP="007A1931">
            <w:r>
              <w:t>10</w:t>
            </w:r>
            <w:r w:rsidRPr="0068612E">
              <w:t xml:space="preserve"> (</w:t>
            </w:r>
            <w:r>
              <w:t>32</w:t>
            </w:r>
            <w:r w:rsidRPr="0068612E">
              <w:t>%)</w:t>
            </w:r>
          </w:p>
        </w:tc>
        <w:tc>
          <w:tcPr>
            <w:tcW w:w="1454" w:type="dxa"/>
            <w:tcBorders>
              <w:top w:val="nil"/>
              <w:left w:val="nil"/>
              <w:bottom w:val="nil"/>
            </w:tcBorders>
          </w:tcPr>
          <w:p w:rsidR="00397E09" w:rsidRPr="0068612E" w:rsidRDefault="00397E09" w:rsidP="007A1931">
            <w:r>
              <w:t>0.35</w:t>
            </w:r>
          </w:p>
        </w:tc>
      </w:tr>
      <w:tr w:rsidR="00397E09" w:rsidTr="007A1931">
        <w:tc>
          <w:tcPr>
            <w:tcW w:w="2660" w:type="dxa"/>
            <w:tcBorders>
              <w:top w:val="nil"/>
              <w:bottom w:val="nil"/>
              <w:right w:val="nil"/>
            </w:tcBorders>
          </w:tcPr>
          <w:p w:rsidR="00397E09" w:rsidRPr="0068612E" w:rsidRDefault="00397E09" w:rsidP="007A1931">
            <w:r w:rsidRPr="0068612E">
              <w:t>Functional status</w:t>
            </w:r>
          </w:p>
        </w:tc>
        <w:tc>
          <w:tcPr>
            <w:tcW w:w="1984" w:type="dxa"/>
            <w:tcBorders>
              <w:top w:val="nil"/>
              <w:left w:val="nil"/>
              <w:bottom w:val="nil"/>
              <w:right w:val="nil"/>
            </w:tcBorders>
          </w:tcPr>
          <w:p w:rsidR="00397E09" w:rsidRPr="0068612E" w:rsidRDefault="00397E09" w:rsidP="007A1931"/>
        </w:tc>
        <w:tc>
          <w:tcPr>
            <w:tcW w:w="1701" w:type="dxa"/>
            <w:tcBorders>
              <w:top w:val="nil"/>
              <w:left w:val="nil"/>
              <w:bottom w:val="nil"/>
              <w:right w:val="nil"/>
            </w:tcBorders>
          </w:tcPr>
          <w:p w:rsidR="00397E09" w:rsidRPr="0068612E" w:rsidRDefault="00397E09" w:rsidP="007A1931"/>
        </w:tc>
        <w:tc>
          <w:tcPr>
            <w:tcW w:w="1701" w:type="dxa"/>
            <w:tcBorders>
              <w:top w:val="nil"/>
              <w:left w:val="nil"/>
              <w:bottom w:val="nil"/>
              <w:right w:val="nil"/>
            </w:tcBorders>
          </w:tcPr>
          <w:p w:rsidR="00397E09" w:rsidRPr="0068612E" w:rsidRDefault="00397E09" w:rsidP="007A1931"/>
        </w:tc>
        <w:tc>
          <w:tcPr>
            <w:tcW w:w="1454" w:type="dxa"/>
            <w:tcBorders>
              <w:top w:val="nil"/>
              <w:left w:val="nil"/>
              <w:bottom w:val="nil"/>
            </w:tcBorders>
          </w:tcPr>
          <w:p w:rsidR="00397E09" w:rsidRPr="0068612E" w:rsidRDefault="00397E09" w:rsidP="007A1931"/>
        </w:tc>
      </w:tr>
      <w:tr w:rsidR="00397E09" w:rsidTr="007A1931">
        <w:tc>
          <w:tcPr>
            <w:tcW w:w="2660" w:type="dxa"/>
            <w:tcBorders>
              <w:top w:val="nil"/>
              <w:bottom w:val="nil"/>
              <w:right w:val="nil"/>
            </w:tcBorders>
          </w:tcPr>
          <w:p w:rsidR="00397E09" w:rsidRPr="0068612E" w:rsidRDefault="00397E09" w:rsidP="007A1931">
            <w:r w:rsidRPr="0068612E">
              <w:t>- ADL</w:t>
            </w:r>
          </w:p>
        </w:tc>
        <w:tc>
          <w:tcPr>
            <w:tcW w:w="1984" w:type="dxa"/>
            <w:tcBorders>
              <w:top w:val="nil"/>
              <w:left w:val="nil"/>
              <w:bottom w:val="nil"/>
              <w:right w:val="nil"/>
            </w:tcBorders>
          </w:tcPr>
          <w:p w:rsidR="00397E09" w:rsidRPr="0068612E" w:rsidRDefault="00397E09" w:rsidP="007A1931">
            <w:r w:rsidRPr="0068612E">
              <w:t>4 (36%)</w:t>
            </w:r>
          </w:p>
        </w:tc>
        <w:tc>
          <w:tcPr>
            <w:tcW w:w="1701" w:type="dxa"/>
            <w:tcBorders>
              <w:top w:val="nil"/>
              <w:left w:val="nil"/>
              <w:bottom w:val="nil"/>
              <w:right w:val="nil"/>
            </w:tcBorders>
          </w:tcPr>
          <w:p w:rsidR="00397E09" w:rsidRPr="0068612E" w:rsidRDefault="00397E09" w:rsidP="007A1931">
            <w:r w:rsidRPr="0068612E">
              <w:t>20 (43%)</w:t>
            </w:r>
          </w:p>
        </w:tc>
        <w:tc>
          <w:tcPr>
            <w:tcW w:w="1701" w:type="dxa"/>
            <w:tcBorders>
              <w:top w:val="nil"/>
              <w:left w:val="nil"/>
              <w:bottom w:val="nil"/>
              <w:right w:val="nil"/>
            </w:tcBorders>
          </w:tcPr>
          <w:p w:rsidR="00397E09" w:rsidRPr="0068612E" w:rsidRDefault="00397E09" w:rsidP="007A1931">
            <w:r w:rsidRPr="0068612E">
              <w:t>16 (52%)</w:t>
            </w:r>
          </w:p>
        </w:tc>
        <w:tc>
          <w:tcPr>
            <w:tcW w:w="1454" w:type="dxa"/>
            <w:tcBorders>
              <w:top w:val="nil"/>
              <w:left w:val="nil"/>
              <w:bottom w:val="nil"/>
            </w:tcBorders>
          </w:tcPr>
          <w:p w:rsidR="00397E09" w:rsidRPr="0068612E" w:rsidRDefault="00397E09" w:rsidP="007A1931">
            <w:r w:rsidRPr="0068612E">
              <w:t>0.61</w:t>
            </w:r>
          </w:p>
        </w:tc>
      </w:tr>
      <w:tr w:rsidR="00397E09" w:rsidTr="007A1931">
        <w:tc>
          <w:tcPr>
            <w:tcW w:w="2660" w:type="dxa"/>
            <w:tcBorders>
              <w:top w:val="nil"/>
              <w:bottom w:val="nil"/>
              <w:right w:val="nil"/>
            </w:tcBorders>
          </w:tcPr>
          <w:p w:rsidR="00397E09" w:rsidRPr="0068612E" w:rsidRDefault="00397E09" w:rsidP="007A1931">
            <w:r>
              <w:t>- i</w:t>
            </w:r>
            <w:r w:rsidRPr="0068612E">
              <w:t>ADL</w:t>
            </w:r>
          </w:p>
        </w:tc>
        <w:tc>
          <w:tcPr>
            <w:tcW w:w="1984" w:type="dxa"/>
            <w:tcBorders>
              <w:top w:val="nil"/>
              <w:left w:val="nil"/>
              <w:bottom w:val="nil"/>
              <w:right w:val="nil"/>
            </w:tcBorders>
          </w:tcPr>
          <w:p w:rsidR="00397E09" w:rsidRPr="0068612E" w:rsidRDefault="00397E09" w:rsidP="007A1931">
            <w:r w:rsidRPr="0068612E">
              <w:t>8 (73%)</w:t>
            </w:r>
          </w:p>
        </w:tc>
        <w:tc>
          <w:tcPr>
            <w:tcW w:w="1701" w:type="dxa"/>
            <w:tcBorders>
              <w:top w:val="nil"/>
              <w:left w:val="nil"/>
              <w:bottom w:val="nil"/>
              <w:right w:val="nil"/>
            </w:tcBorders>
          </w:tcPr>
          <w:p w:rsidR="00397E09" w:rsidRPr="0068612E" w:rsidRDefault="00397E09" w:rsidP="007A1931">
            <w:r w:rsidRPr="0068612E">
              <w:t>37 (79%)</w:t>
            </w:r>
          </w:p>
        </w:tc>
        <w:tc>
          <w:tcPr>
            <w:tcW w:w="1701" w:type="dxa"/>
            <w:tcBorders>
              <w:top w:val="nil"/>
              <w:left w:val="nil"/>
              <w:bottom w:val="nil"/>
              <w:right w:val="nil"/>
            </w:tcBorders>
          </w:tcPr>
          <w:p w:rsidR="00397E09" w:rsidRPr="0068612E" w:rsidRDefault="00397E09" w:rsidP="007A1931">
            <w:r w:rsidRPr="0068612E">
              <w:t>31 (100%)</w:t>
            </w:r>
          </w:p>
        </w:tc>
        <w:tc>
          <w:tcPr>
            <w:tcW w:w="1454" w:type="dxa"/>
            <w:tcBorders>
              <w:top w:val="nil"/>
              <w:left w:val="nil"/>
              <w:bottom w:val="nil"/>
            </w:tcBorders>
          </w:tcPr>
          <w:p w:rsidR="00397E09" w:rsidRPr="0068612E" w:rsidRDefault="00397E09" w:rsidP="007A1931">
            <w:r w:rsidRPr="0068612E">
              <w:t>0.02</w:t>
            </w:r>
          </w:p>
        </w:tc>
      </w:tr>
      <w:tr w:rsidR="00397E09" w:rsidTr="007A1931">
        <w:tc>
          <w:tcPr>
            <w:tcW w:w="2660" w:type="dxa"/>
            <w:tcBorders>
              <w:top w:val="nil"/>
              <w:bottom w:val="nil"/>
              <w:right w:val="nil"/>
            </w:tcBorders>
          </w:tcPr>
          <w:p w:rsidR="00397E09" w:rsidRPr="0068612E" w:rsidRDefault="00397E09" w:rsidP="007A1931">
            <w:r w:rsidRPr="0068612E">
              <w:t>Mobility</w:t>
            </w:r>
          </w:p>
        </w:tc>
        <w:tc>
          <w:tcPr>
            <w:tcW w:w="1984" w:type="dxa"/>
            <w:tcBorders>
              <w:top w:val="nil"/>
              <w:left w:val="nil"/>
              <w:bottom w:val="nil"/>
              <w:right w:val="nil"/>
            </w:tcBorders>
          </w:tcPr>
          <w:p w:rsidR="00397E09" w:rsidRPr="0068612E" w:rsidRDefault="00397E09" w:rsidP="007A1931">
            <w:r w:rsidRPr="0068612E">
              <w:t>2 (18%)</w:t>
            </w:r>
          </w:p>
        </w:tc>
        <w:tc>
          <w:tcPr>
            <w:tcW w:w="1701" w:type="dxa"/>
            <w:tcBorders>
              <w:top w:val="nil"/>
              <w:left w:val="nil"/>
              <w:bottom w:val="nil"/>
              <w:right w:val="nil"/>
            </w:tcBorders>
          </w:tcPr>
          <w:p w:rsidR="00397E09" w:rsidRPr="0068612E" w:rsidRDefault="00397E09" w:rsidP="007A1931">
            <w:r w:rsidRPr="0068612E">
              <w:t>1</w:t>
            </w:r>
            <w:r>
              <w:t>5</w:t>
            </w:r>
            <w:r w:rsidRPr="0068612E">
              <w:t xml:space="preserve"> (3</w:t>
            </w:r>
            <w:r>
              <w:t>4</w:t>
            </w:r>
            <w:r w:rsidRPr="0068612E">
              <w:t>%)</w:t>
            </w:r>
          </w:p>
        </w:tc>
        <w:tc>
          <w:tcPr>
            <w:tcW w:w="1701" w:type="dxa"/>
            <w:tcBorders>
              <w:top w:val="nil"/>
              <w:left w:val="nil"/>
              <w:bottom w:val="nil"/>
              <w:right w:val="nil"/>
            </w:tcBorders>
          </w:tcPr>
          <w:p w:rsidR="00397E09" w:rsidRPr="0068612E" w:rsidRDefault="00397E09" w:rsidP="007A1931">
            <w:r w:rsidRPr="0068612E">
              <w:t>11 (38%)</w:t>
            </w:r>
          </w:p>
        </w:tc>
        <w:tc>
          <w:tcPr>
            <w:tcW w:w="1454" w:type="dxa"/>
            <w:tcBorders>
              <w:top w:val="nil"/>
              <w:left w:val="nil"/>
              <w:bottom w:val="nil"/>
            </w:tcBorders>
          </w:tcPr>
          <w:p w:rsidR="00397E09" w:rsidRPr="0068612E" w:rsidRDefault="00397E09" w:rsidP="007A1931">
            <w:r w:rsidRPr="0068612E">
              <w:t>0.4</w:t>
            </w:r>
            <w:r>
              <w:t>9</w:t>
            </w:r>
          </w:p>
        </w:tc>
      </w:tr>
      <w:tr w:rsidR="00397E09" w:rsidTr="007A1931">
        <w:tc>
          <w:tcPr>
            <w:tcW w:w="2660" w:type="dxa"/>
            <w:tcBorders>
              <w:top w:val="nil"/>
              <w:bottom w:val="nil"/>
              <w:right w:val="nil"/>
            </w:tcBorders>
          </w:tcPr>
          <w:p w:rsidR="00397E09" w:rsidRPr="0068612E" w:rsidRDefault="00397E09" w:rsidP="007A1931">
            <w:r w:rsidRPr="0068612E">
              <w:t>Nutritional status</w:t>
            </w:r>
          </w:p>
        </w:tc>
        <w:tc>
          <w:tcPr>
            <w:tcW w:w="1984" w:type="dxa"/>
            <w:tcBorders>
              <w:top w:val="nil"/>
              <w:left w:val="nil"/>
              <w:bottom w:val="nil"/>
              <w:right w:val="nil"/>
            </w:tcBorders>
          </w:tcPr>
          <w:p w:rsidR="00397E09" w:rsidRPr="0068612E" w:rsidRDefault="00397E09" w:rsidP="007A1931">
            <w:r w:rsidRPr="0068612E">
              <w:t>0 (0%)</w:t>
            </w:r>
          </w:p>
        </w:tc>
        <w:tc>
          <w:tcPr>
            <w:tcW w:w="1701" w:type="dxa"/>
            <w:tcBorders>
              <w:top w:val="nil"/>
              <w:left w:val="nil"/>
              <w:bottom w:val="nil"/>
              <w:right w:val="nil"/>
            </w:tcBorders>
          </w:tcPr>
          <w:p w:rsidR="00397E09" w:rsidRPr="0068612E" w:rsidRDefault="00397E09" w:rsidP="007A1931">
            <w:r w:rsidRPr="0068612E">
              <w:t>1 (2%)</w:t>
            </w:r>
          </w:p>
        </w:tc>
        <w:tc>
          <w:tcPr>
            <w:tcW w:w="1701" w:type="dxa"/>
            <w:tcBorders>
              <w:top w:val="nil"/>
              <w:left w:val="nil"/>
              <w:bottom w:val="nil"/>
              <w:right w:val="nil"/>
            </w:tcBorders>
          </w:tcPr>
          <w:p w:rsidR="00397E09" w:rsidRPr="0068612E" w:rsidRDefault="00397E09" w:rsidP="007A1931">
            <w:r w:rsidRPr="0068612E">
              <w:t>0 (0%)</w:t>
            </w:r>
          </w:p>
        </w:tc>
        <w:tc>
          <w:tcPr>
            <w:tcW w:w="1454" w:type="dxa"/>
            <w:tcBorders>
              <w:top w:val="nil"/>
              <w:left w:val="nil"/>
              <w:bottom w:val="nil"/>
            </w:tcBorders>
          </w:tcPr>
          <w:p w:rsidR="00397E09" w:rsidRPr="0068612E" w:rsidRDefault="00397E09" w:rsidP="007A1931">
            <w:r w:rsidRPr="0068612E">
              <w:t>0.64</w:t>
            </w:r>
          </w:p>
        </w:tc>
      </w:tr>
      <w:tr w:rsidR="00397E09" w:rsidTr="007A1931">
        <w:tc>
          <w:tcPr>
            <w:tcW w:w="2660" w:type="dxa"/>
            <w:tcBorders>
              <w:top w:val="nil"/>
              <w:bottom w:val="nil"/>
              <w:right w:val="nil"/>
            </w:tcBorders>
          </w:tcPr>
          <w:p w:rsidR="00397E09" w:rsidRPr="0068612E" w:rsidRDefault="00397E09" w:rsidP="007A1931">
            <w:r w:rsidRPr="0068612E">
              <w:t xml:space="preserve">Severe comorbidity </w:t>
            </w:r>
          </w:p>
        </w:tc>
        <w:tc>
          <w:tcPr>
            <w:tcW w:w="1984" w:type="dxa"/>
            <w:tcBorders>
              <w:top w:val="nil"/>
              <w:left w:val="nil"/>
              <w:bottom w:val="nil"/>
              <w:right w:val="nil"/>
            </w:tcBorders>
          </w:tcPr>
          <w:p w:rsidR="00397E09" w:rsidRPr="0068612E" w:rsidRDefault="00397E09" w:rsidP="007A1931">
            <w:r w:rsidRPr="0068612E">
              <w:t>7 (64%)</w:t>
            </w:r>
          </w:p>
        </w:tc>
        <w:tc>
          <w:tcPr>
            <w:tcW w:w="1701" w:type="dxa"/>
            <w:tcBorders>
              <w:top w:val="nil"/>
              <w:left w:val="nil"/>
              <w:bottom w:val="nil"/>
              <w:right w:val="nil"/>
            </w:tcBorders>
          </w:tcPr>
          <w:p w:rsidR="00397E09" w:rsidRPr="0068612E" w:rsidRDefault="00397E09" w:rsidP="007A1931">
            <w:r w:rsidRPr="0068612E">
              <w:t>16 (34%)</w:t>
            </w:r>
          </w:p>
        </w:tc>
        <w:tc>
          <w:tcPr>
            <w:tcW w:w="1701" w:type="dxa"/>
            <w:tcBorders>
              <w:top w:val="nil"/>
              <w:left w:val="nil"/>
              <w:bottom w:val="nil"/>
              <w:right w:val="nil"/>
            </w:tcBorders>
          </w:tcPr>
          <w:p w:rsidR="00397E09" w:rsidRPr="0068612E" w:rsidRDefault="00397E09" w:rsidP="007A1931">
            <w:r w:rsidRPr="0068612E">
              <w:t>16 (52%)</w:t>
            </w:r>
          </w:p>
        </w:tc>
        <w:tc>
          <w:tcPr>
            <w:tcW w:w="1454" w:type="dxa"/>
            <w:tcBorders>
              <w:top w:val="nil"/>
              <w:left w:val="nil"/>
              <w:bottom w:val="nil"/>
            </w:tcBorders>
          </w:tcPr>
          <w:p w:rsidR="00397E09" w:rsidRPr="0068612E" w:rsidRDefault="00397E09" w:rsidP="007A1931">
            <w:r w:rsidRPr="0068612E">
              <w:t>0.11</w:t>
            </w:r>
          </w:p>
        </w:tc>
      </w:tr>
      <w:tr w:rsidR="00397E09" w:rsidTr="007A1931">
        <w:tc>
          <w:tcPr>
            <w:tcW w:w="2660" w:type="dxa"/>
            <w:tcBorders>
              <w:top w:val="nil"/>
              <w:bottom w:val="single" w:sz="4" w:space="0" w:color="auto"/>
              <w:right w:val="nil"/>
            </w:tcBorders>
          </w:tcPr>
          <w:p w:rsidR="00397E09" w:rsidRPr="0068612E" w:rsidRDefault="00397E09" w:rsidP="007A1931">
            <w:r>
              <w:t>Frail according to GA</w:t>
            </w:r>
          </w:p>
        </w:tc>
        <w:tc>
          <w:tcPr>
            <w:tcW w:w="1984" w:type="dxa"/>
            <w:tcBorders>
              <w:top w:val="nil"/>
              <w:left w:val="nil"/>
              <w:bottom w:val="single" w:sz="4" w:space="0" w:color="auto"/>
              <w:right w:val="nil"/>
            </w:tcBorders>
          </w:tcPr>
          <w:p w:rsidR="00397E09" w:rsidRPr="0068612E" w:rsidRDefault="00397E09" w:rsidP="007A1931">
            <w:r w:rsidRPr="0068612E">
              <w:t>9 (82%)</w:t>
            </w:r>
          </w:p>
        </w:tc>
        <w:tc>
          <w:tcPr>
            <w:tcW w:w="1701" w:type="dxa"/>
            <w:tcBorders>
              <w:top w:val="nil"/>
              <w:left w:val="nil"/>
              <w:bottom w:val="single" w:sz="4" w:space="0" w:color="auto"/>
              <w:right w:val="nil"/>
            </w:tcBorders>
          </w:tcPr>
          <w:p w:rsidR="00397E09" w:rsidRPr="0068612E" w:rsidRDefault="00397E09" w:rsidP="007A1931">
            <w:r>
              <w:t>40 (85%)</w:t>
            </w:r>
          </w:p>
        </w:tc>
        <w:tc>
          <w:tcPr>
            <w:tcW w:w="1701" w:type="dxa"/>
            <w:tcBorders>
              <w:top w:val="nil"/>
              <w:left w:val="nil"/>
              <w:bottom w:val="single" w:sz="4" w:space="0" w:color="auto"/>
              <w:right w:val="nil"/>
            </w:tcBorders>
          </w:tcPr>
          <w:p w:rsidR="00397E09" w:rsidRPr="0068612E" w:rsidRDefault="00397E09" w:rsidP="007A1931">
            <w:r w:rsidRPr="0068612E">
              <w:t>29 (94%)</w:t>
            </w:r>
          </w:p>
        </w:tc>
        <w:tc>
          <w:tcPr>
            <w:tcW w:w="1454" w:type="dxa"/>
            <w:tcBorders>
              <w:top w:val="nil"/>
              <w:left w:val="nil"/>
              <w:bottom w:val="single" w:sz="4" w:space="0" w:color="auto"/>
            </w:tcBorders>
          </w:tcPr>
          <w:p w:rsidR="00397E09" w:rsidRPr="0068612E" w:rsidRDefault="00397E09" w:rsidP="007A1931">
            <w:r>
              <w:t>0.44</w:t>
            </w:r>
          </w:p>
        </w:tc>
      </w:tr>
      <w:tr w:rsidR="00397E09" w:rsidTr="007A1931">
        <w:tc>
          <w:tcPr>
            <w:tcW w:w="9500" w:type="dxa"/>
            <w:gridSpan w:val="5"/>
            <w:tcBorders>
              <w:top w:val="single" w:sz="4" w:space="0" w:color="auto"/>
            </w:tcBorders>
          </w:tcPr>
          <w:p w:rsidR="00397E09" w:rsidRPr="0068612E" w:rsidRDefault="00397E09" w:rsidP="007A1931">
            <w:r>
              <w:t>ADL, Activities for daily living; IADL, Instrumental activities of daily living; GA, Geriatric assessment</w:t>
            </w:r>
          </w:p>
        </w:tc>
      </w:tr>
    </w:tbl>
    <w:p w:rsidR="00397E09" w:rsidRDefault="00397E09" w:rsidP="00397E09">
      <w:pPr>
        <w:rPr>
          <w:b/>
        </w:rPr>
      </w:pPr>
    </w:p>
    <w:p w:rsidR="008C5E12" w:rsidRPr="00397E09" w:rsidRDefault="008C5E12">
      <w:pPr>
        <w:rPr>
          <w:b/>
        </w:rPr>
      </w:pPr>
    </w:p>
    <w:sectPr w:rsidR="008C5E12" w:rsidRPr="0039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E09"/>
    <w:rsid w:val="00397E09"/>
    <w:rsid w:val="004B7A0F"/>
    <w:rsid w:val="0079636D"/>
    <w:rsid w:val="007E1B03"/>
    <w:rsid w:val="008501BA"/>
    <w:rsid w:val="008C5E12"/>
    <w:rsid w:val="00A20D46"/>
    <w:rsid w:val="00A9251B"/>
    <w:rsid w:val="00D53CB5"/>
    <w:rsid w:val="00D6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033C"/>
  <w15:docId w15:val="{93788653-7A38-4424-92EA-30242D28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7E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9251B"/>
    <w:rPr>
      <w:sz w:val="16"/>
      <w:szCs w:val="16"/>
    </w:rPr>
  </w:style>
  <w:style w:type="paragraph" w:styleId="Kommentartext">
    <w:name w:val="annotation text"/>
    <w:basedOn w:val="Standard"/>
    <w:link w:val="KommentartextZchn"/>
    <w:uiPriority w:val="99"/>
    <w:semiHidden/>
    <w:unhideWhenUsed/>
    <w:rsid w:val="00A925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251B"/>
    <w:rPr>
      <w:sz w:val="20"/>
      <w:szCs w:val="20"/>
    </w:rPr>
  </w:style>
  <w:style w:type="paragraph" w:styleId="Kommentarthema">
    <w:name w:val="annotation subject"/>
    <w:basedOn w:val="Kommentartext"/>
    <w:next w:val="Kommentartext"/>
    <w:link w:val="KommentarthemaZchn"/>
    <w:uiPriority w:val="99"/>
    <w:semiHidden/>
    <w:unhideWhenUsed/>
    <w:rsid w:val="00A9251B"/>
    <w:rPr>
      <w:b/>
      <w:bCs/>
    </w:rPr>
  </w:style>
  <w:style w:type="character" w:customStyle="1" w:styleId="KommentarthemaZchn">
    <w:name w:val="Kommentarthema Zchn"/>
    <w:basedOn w:val="KommentartextZchn"/>
    <w:link w:val="Kommentarthema"/>
    <w:uiPriority w:val="99"/>
    <w:semiHidden/>
    <w:rsid w:val="00A9251B"/>
    <w:rPr>
      <w:b/>
      <w:bCs/>
      <w:sz w:val="20"/>
      <w:szCs w:val="20"/>
    </w:rPr>
  </w:style>
  <w:style w:type="paragraph" w:styleId="Sprechblasentext">
    <w:name w:val="Balloon Text"/>
    <w:basedOn w:val="Standard"/>
    <w:link w:val="SprechblasentextZchn"/>
    <w:uiPriority w:val="99"/>
    <w:semiHidden/>
    <w:unhideWhenUsed/>
    <w:rsid w:val="00A92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2ED0-3E9B-46F2-A949-9598EDBC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6195</Words>
  <Characters>39034</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Goto</dc:creator>
  <cp:lastModifiedBy>Ruedi Jappert</cp:lastModifiedBy>
  <cp:revision>4</cp:revision>
  <dcterms:created xsi:type="dcterms:W3CDTF">2018-08-27T15:29:00Z</dcterms:created>
  <dcterms:modified xsi:type="dcterms:W3CDTF">2018-10-26T12:45:00Z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