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FFD" w:rsidRDefault="00225FFD" w:rsidP="00225FFD">
      <w:pPr>
        <w:pStyle w:val="Heading1"/>
      </w:pPr>
      <w:r>
        <w:t>“Closing the loop” – routine</w:t>
      </w:r>
      <w:r w:rsidR="008A5ADF">
        <w:t xml:space="preserve"> pooling of data linking</w:t>
      </w:r>
      <w:r>
        <w:t xml:space="preserve"> TB reactivation episodes </w:t>
      </w:r>
      <w:r w:rsidR="008A5ADF">
        <w:t xml:space="preserve">in contacts </w:t>
      </w:r>
      <w:r>
        <w:t xml:space="preserve">to </w:t>
      </w:r>
      <w:r w:rsidR="00CA2867">
        <w:t>quantify</w:t>
      </w:r>
      <w:r>
        <w:t xml:space="preserve"> risk </w:t>
      </w:r>
      <w:r w:rsidR="008A5ADF">
        <w:t xml:space="preserve">of disease </w:t>
      </w:r>
      <w:r w:rsidR="00CA2867">
        <w:t xml:space="preserve">following </w:t>
      </w:r>
      <w:r>
        <w:t>infection</w:t>
      </w:r>
    </w:p>
    <w:p w:rsidR="0060099D" w:rsidRPr="0060099D" w:rsidRDefault="0060099D" w:rsidP="0060099D">
      <w:pPr>
        <w:pStyle w:val="Heading1"/>
      </w:pPr>
      <w:r>
        <w:t xml:space="preserve">Proposal for a research </w:t>
      </w:r>
      <w:r w:rsidR="00B1571D">
        <w:t>collaboration/protocol</w:t>
      </w:r>
    </w:p>
    <w:p w:rsidR="00AB628E" w:rsidRDefault="0060099D" w:rsidP="00AB628E">
      <w:pPr>
        <w:pStyle w:val="Heading2"/>
        <w:numPr>
          <w:ilvl w:val="0"/>
          <w:numId w:val="9"/>
        </w:numPr>
      </w:pPr>
      <w:r>
        <w:t>Lead i</w:t>
      </w:r>
      <w:r w:rsidR="00AB628E">
        <w:t>nvestigators</w:t>
      </w:r>
    </w:p>
    <w:p w:rsidR="00AB628E" w:rsidRPr="00610321" w:rsidRDefault="00AB628E" w:rsidP="00AB628E">
      <w:pPr>
        <w:rPr>
          <w:rStyle w:val="Emphasis"/>
        </w:rPr>
      </w:pPr>
      <w:r w:rsidRPr="00610321">
        <w:rPr>
          <w:rStyle w:val="Emphasis"/>
        </w:rPr>
        <w:t>James</w:t>
      </w:r>
      <w:r w:rsidR="0060099D">
        <w:rPr>
          <w:rStyle w:val="Emphasis"/>
        </w:rPr>
        <w:t xml:space="preserve"> Trauer</w:t>
      </w:r>
    </w:p>
    <w:p w:rsidR="00AB628E" w:rsidRDefault="00AB628E" w:rsidP="0060099D">
      <w:pPr>
        <w:ind w:firstLine="720"/>
      </w:pPr>
      <w:r>
        <w:t>Head of Epidemiological Modelling</w:t>
      </w:r>
    </w:p>
    <w:p w:rsidR="00AB628E" w:rsidRDefault="00AB628E" w:rsidP="0060099D">
      <w:pPr>
        <w:ind w:firstLine="720"/>
      </w:pPr>
      <w:r>
        <w:t>School of Public Health and Preventive Medicine</w:t>
      </w:r>
    </w:p>
    <w:p w:rsidR="00AB628E" w:rsidRDefault="00AB628E" w:rsidP="0060099D">
      <w:pPr>
        <w:ind w:firstLine="720"/>
      </w:pPr>
      <w:r>
        <w:t>Monash University</w:t>
      </w:r>
    </w:p>
    <w:p w:rsidR="00AB628E" w:rsidRPr="00610321" w:rsidRDefault="00AB628E" w:rsidP="00AB628E">
      <w:pPr>
        <w:rPr>
          <w:rStyle w:val="Emphasis"/>
        </w:rPr>
      </w:pPr>
      <w:r w:rsidRPr="00610321">
        <w:rPr>
          <w:rStyle w:val="Emphasis"/>
        </w:rPr>
        <w:t>Justin Denholm</w:t>
      </w:r>
    </w:p>
    <w:p w:rsidR="00AB628E" w:rsidRDefault="00AB628E" w:rsidP="00AB628E">
      <w:r>
        <w:tab/>
        <w:t>Medical Director</w:t>
      </w:r>
    </w:p>
    <w:p w:rsidR="00AB628E" w:rsidRDefault="00AB628E" w:rsidP="00AB628E">
      <w:pPr>
        <w:ind w:firstLine="720"/>
      </w:pPr>
      <w:r>
        <w:t>The Victorian Tuberculosis Program at the Peter Doherty Institute</w:t>
      </w:r>
    </w:p>
    <w:p w:rsidR="00AB628E" w:rsidRDefault="00AB628E" w:rsidP="00AB628E">
      <w:pPr>
        <w:ind w:firstLine="720"/>
      </w:pPr>
      <w:r>
        <w:t>The University of Melbourne</w:t>
      </w:r>
    </w:p>
    <w:p w:rsidR="00AB628E" w:rsidRPr="00610321" w:rsidRDefault="00AB628E" w:rsidP="0060099D">
      <w:pPr>
        <w:tabs>
          <w:tab w:val="left" w:pos="7137"/>
        </w:tabs>
        <w:rPr>
          <w:rStyle w:val="Emphasis"/>
        </w:rPr>
      </w:pPr>
      <w:r w:rsidRPr="00610321">
        <w:rPr>
          <w:rStyle w:val="Emphasis"/>
        </w:rPr>
        <w:t>Katie Dale</w:t>
      </w:r>
      <w:r w:rsidR="0060099D">
        <w:rPr>
          <w:rStyle w:val="Emphasis"/>
        </w:rPr>
        <w:tab/>
      </w:r>
    </w:p>
    <w:p w:rsidR="00AB628E" w:rsidRDefault="00596753" w:rsidP="00596753">
      <w:pPr>
        <w:ind w:firstLine="720"/>
      </w:pPr>
      <w:r>
        <w:t>Epidemiologist and PhD Candidate</w:t>
      </w:r>
    </w:p>
    <w:p w:rsidR="00AB628E" w:rsidRDefault="00AB628E" w:rsidP="00AB628E">
      <w:pPr>
        <w:ind w:firstLine="720"/>
      </w:pPr>
      <w:r>
        <w:t>The Victorian Tuberculosis Program at the Peter Doherty Institute</w:t>
      </w:r>
    </w:p>
    <w:p w:rsidR="00AB628E" w:rsidRDefault="00AB628E" w:rsidP="00AB628E">
      <w:pPr>
        <w:ind w:firstLine="720"/>
      </w:pPr>
      <w:r>
        <w:t>The University of Melbourne</w:t>
      </w:r>
    </w:p>
    <w:p w:rsidR="00AB628E" w:rsidRPr="00610321" w:rsidRDefault="00AB628E" w:rsidP="00AB628E">
      <w:pPr>
        <w:rPr>
          <w:rStyle w:val="Emphasis"/>
        </w:rPr>
      </w:pPr>
      <w:r w:rsidRPr="00610321">
        <w:rPr>
          <w:rStyle w:val="Emphasis"/>
        </w:rPr>
        <w:t>Romain Ragonnet</w:t>
      </w:r>
    </w:p>
    <w:p w:rsidR="00AB628E" w:rsidRDefault="00AB628E" w:rsidP="00AB628E">
      <w:r>
        <w:tab/>
        <w:t>Post-doctoral Research Fellow</w:t>
      </w:r>
    </w:p>
    <w:p w:rsidR="00AB628E" w:rsidRDefault="00AB628E" w:rsidP="00AB628E">
      <w:pPr>
        <w:ind w:firstLine="720"/>
      </w:pPr>
      <w:r>
        <w:t>School of Public Health and Preventive Medicine</w:t>
      </w:r>
    </w:p>
    <w:p w:rsidR="00AB628E" w:rsidRDefault="00AB628E" w:rsidP="00AB628E">
      <w:pPr>
        <w:ind w:firstLine="720"/>
      </w:pPr>
      <w:r>
        <w:t>Monash University</w:t>
      </w:r>
    </w:p>
    <w:p w:rsidR="00AB628E" w:rsidRPr="00610321" w:rsidRDefault="00AB628E" w:rsidP="00AB628E">
      <w:pPr>
        <w:rPr>
          <w:rStyle w:val="Emphasis"/>
        </w:rPr>
      </w:pPr>
      <w:r w:rsidRPr="00610321">
        <w:rPr>
          <w:rStyle w:val="Emphasis"/>
        </w:rPr>
        <w:t>Emma McBryde</w:t>
      </w:r>
    </w:p>
    <w:p w:rsidR="00AB628E" w:rsidRDefault="00AB628E" w:rsidP="00AB628E">
      <w:r>
        <w:tab/>
      </w:r>
      <w:r w:rsidR="00610321">
        <w:t>Professor of Infectious Disease and Epidemiology</w:t>
      </w:r>
    </w:p>
    <w:p w:rsidR="00610321" w:rsidRDefault="00610321" w:rsidP="00AB628E">
      <w:r>
        <w:tab/>
        <w:t>Australian Institute of Tropical Health and Medicine</w:t>
      </w:r>
    </w:p>
    <w:p w:rsidR="00610321" w:rsidRDefault="00610321" w:rsidP="00AB628E">
      <w:r>
        <w:tab/>
        <w:t>James Cook University</w:t>
      </w:r>
    </w:p>
    <w:p w:rsidR="00AB628E" w:rsidRDefault="00225FFD" w:rsidP="00874016">
      <w:pPr>
        <w:pStyle w:val="Heading2"/>
        <w:numPr>
          <w:ilvl w:val="0"/>
          <w:numId w:val="9"/>
        </w:numPr>
      </w:pPr>
      <w:r>
        <w:t>Background</w:t>
      </w:r>
    </w:p>
    <w:p w:rsidR="00AB628E" w:rsidRPr="00AB628E" w:rsidRDefault="00AB628E" w:rsidP="00874016">
      <w:pPr>
        <w:pStyle w:val="Heading3"/>
        <w:numPr>
          <w:ilvl w:val="1"/>
          <w:numId w:val="9"/>
        </w:numPr>
      </w:pPr>
      <w:r>
        <w:t>General</w:t>
      </w:r>
    </w:p>
    <w:p w:rsidR="00AB628E" w:rsidRDefault="00225FFD" w:rsidP="00225FFD">
      <w:r>
        <w:t>TB is now the world’s leading infectious cause of death by a considerable margin</w:t>
      </w:r>
      <w:r>
        <w:fldChar w:fldCharType="begin" w:fldLock="1"/>
      </w:r>
      <w:r w:rsidR="00CA2867">
        <w:instrText>ADDIN CSL_CITATION {"citationItems":[{"id":"ITEM-1","itemData":{"author":[{"dropping-particle":"","family":"World Health Organization","given":"","non-dropping-particle":"","parse-names":false,"suffix":""}],"id":"ITEM-1","issued":{"date-parts":[["2017"]]},"title":"Global Tuberculosis Report 2017","type":"report"},"uris":["http://www.mendeley.com/documents/?uuid=d8d48653-a879-42c3-82cc-00ce5f60c297"]}],"mendeley":{"formattedCitation":"&lt;sup&gt;1&lt;/sup&gt;","plainTextFormattedCitation":"1","previouslyFormattedCitation":"&lt;sup&gt;1&lt;/sup&gt;"},"properties":{"noteIndex":0},"schema":"https://github.com/citation-style-language/schema/raw/master/csl-citation.json"}</w:instrText>
      </w:r>
      <w:r>
        <w:fldChar w:fldCharType="separate"/>
      </w:r>
      <w:r w:rsidRPr="00225FFD">
        <w:rPr>
          <w:noProof/>
          <w:vertAlign w:val="superscript"/>
        </w:rPr>
        <w:t>1</w:t>
      </w:r>
      <w:r>
        <w:fldChar w:fldCharType="end"/>
      </w:r>
      <w:r>
        <w:t xml:space="preserve"> and latent infection </w:t>
      </w:r>
      <w:r w:rsidR="00AB628E">
        <w:t xml:space="preserve">(LTBI) </w:t>
      </w:r>
      <w:r>
        <w:t>with the causative organism (</w:t>
      </w:r>
      <w:r>
        <w:rPr>
          <w:i/>
        </w:rPr>
        <w:t>Mycobacterium tuberculosis</w:t>
      </w:r>
      <w:r>
        <w:t xml:space="preserve">, or </w:t>
      </w:r>
      <w:r>
        <w:rPr>
          <w:i/>
        </w:rPr>
        <w:t>Mtb</w:t>
      </w:r>
      <w:r>
        <w:t>) affects around one quarter of the world’s population.</w:t>
      </w:r>
      <w:r>
        <w:fldChar w:fldCharType="begin" w:fldLock="1"/>
      </w:r>
      <w:r w:rsidR="00CA2867">
        <w:instrText>ADDIN CSL_CITATION {"citationItems":[{"id":"ITEM-1","itemData":{"DOI":"10.1371/journal.pmed.1002152","ISBN":"1549-1676 (Electronic)\r1549-1277 (Linking)","PMID":"27780211","abstract":"BACKGROUND: The existing estimate of the global burden of latent TB infection (LTBI) as \"one-third\" of the world population is nearly 20 y old. Given the importance of controlling LTBI as part of the End TB Strategy for eliminating TB by 2050, changes in demography and scientific understanding, and progress in TB control, it is important to re-assess the global burden of LTBI. METHODS AND FINDINGS: We constructed trends in annual risk in infection (ARI) for countries between 1934 and 2014 using a combination of direct estimates of ARI from LTBI surveys (131 surveys from 1950 to 2011) and indirect estimates of ARI calculated from World Health Organisation (WHO) estimates of smear positive TB prevalence from 1990 to 2014. Gaussian process regression was used to generate ARIs for country-years without data and to represent uncertainty. Estimated ARI time-series were applied to the demography in each country to calculate the number and proportions of individuals infected, recently infected (infected within 2 y), and recently infected with isoniazid (INH)-resistant strains. Resulting estimates were aggregated by WHO region. We estimated the contribution of existing infections to TB incidence in 2035 and 2050. In 2014, the global burden of LTBI was 23.0% (95% uncertainty interval [UI]: 20.4%-26.4%), amounting to approximately 1.7 billion people. WHO South-East Asia, Western-Pacific, and Africa regions had the highest prevalence and accounted for around 80% of those with LTBI. Prevalence of recent infection was 0.8% (95% UI: 0.7%-0.9%) of the global population, amounting to 55.5 (95% UI: 48.2-63.8) million individuals currently at high risk of TB disease, of which 10.9% (95% UI:10.2%-11.8%) was isoniazid-resistant. Current LTBI alone, assuming no additional infections from 2015 onwards, would be expected to generate TB incidences in the region of 16.5 per 100,000 per year in 2035 and 8.3 per 100,000 per year in 2050. Limitations included the quantity and methodological heterogeneity of direct ARI data, and limited evidence to inform on potential clearance of LTBI. CONCLUSIONS: We estimate that approximately 1.7 billion individuals were latently infected with Mycobacterium tuberculosis (M.tb) globally in 2014, just under a quarter of the global population. Investment in new tools to improve diagnosis and treatment of those with LTBI at risk of progressing to disease is urgently needed to address this latent reservoir if the 2050 target of eliminating TB is to b…","author":[{"dropping-particle":"","family":"Houben","given":"R M","non-dropping-particle":"","parse-names":false,"suffix":""},{"dropping-particle":"","family":"Dodd","given":"P J","non-dropping-particle":"","parse-names":false,"suffix":""}],"container-title":"PLoS Med","id":"ITEM-1","issue":"10","issued":{"date-parts":[["2016"]]},"note":"Houben, Rein M G J\nDodd, Peter J\neng\n2016/10/26 06:00\nPLoS Med. 2016 Oct 25;13(10):e1002152. doi: 10.1371/journal.pmed.1002152. eCollection 2016 Oct.","page":"e1002152","title":"The Global Burden of Latent Tuberculosis Infection: A Re-estimation Using Mathematical Modelling","type":"article-journal","volume":"13"},"uris":["http://www.mendeley.com/documents/?uuid=61dba879-31a5-43d3-8fc0-7cfc17a72b64"]}],"mendeley":{"formattedCitation":"&lt;sup&gt;2&lt;/sup&gt;","plainTextFormattedCitation":"2","previouslyFormattedCitation":"&lt;sup&gt;2&lt;/sup&gt;"},"properties":{"noteIndex":0},"schema":"https://github.com/citation-style-language/schema/raw/master/csl-citation.json"}</w:instrText>
      </w:r>
      <w:r>
        <w:fldChar w:fldCharType="separate"/>
      </w:r>
      <w:r w:rsidRPr="00225FFD">
        <w:rPr>
          <w:noProof/>
          <w:vertAlign w:val="superscript"/>
        </w:rPr>
        <w:t>2</w:t>
      </w:r>
      <w:r>
        <w:fldChar w:fldCharType="end"/>
      </w:r>
      <w:r>
        <w:t xml:space="preserve"> The lifetime risk of TB reactivation after disease is often stated to be 5 to 10%, with half of this risk accruing in the years following infection. However, this broad estimate was derived from studies undertaken many decades ago when rates of reinfection </w:t>
      </w:r>
      <w:r>
        <w:lastRenderedPageBreak/>
        <w:t>were considerably higher, the diagnosis of both recent infection and of active TB were inconsistently defined and disaggregation of rates by age was not reported.</w:t>
      </w:r>
      <w:r>
        <w:fldChar w:fldCharType="begin" w:fldLock="1"/>
      </w:r>
      <w:r w:rsidR="00CA2867">
        <w:instrText>ADDIN CSL_CITATION {"citationItems":[{"id":"ITEM-1","itemData":{"ISSN":"0007-1447","PMID":"13284343","container-title":"British medical journal","id":"ITEM-1","issue":"4964","issued":{"date-parts":[["1956","2","25"]]},"page":"413-27","title":"B.C.G. and vole bacillus vaccines in the prevention of tuberculosis in adolescents; first (progress) report to the Medical Research Council by their Tuberculosis Vaccines Clinical Trials Committee.","type":"article-journal","volume":"1"},"uris":["http://www.mendeley.com/documents/?uuid=fe9a382b-6d68-38ce-958f-fb4551d2cfe0"]},{"id":"ITEM-2","itemData":{"DOI":"10.1164/arrd.1962.85.4.490","ISSN":"0003-0805","PMID":"13892318","author":[{"dropping-particle":"","family":"Ferebee","given":"S H","non-dropping-particle":"","parse-names":false,"suffix":""},{"dropping-particle":"","family":"Mount","given":"F W","non-dropping-particle":"","parse-names":false,"suffix":""}],"container-title":"The American review of respiratory disease","id":"ITEM-2","issued":{"date-parts":[["1962","4"]]},"page":"490-510","title":"Tuberculosis morbidity in a controlled trial of the prophylactic use of isoniazid among household contacts.","type":"article-journal","volume":"85"},"uris":["http://www.mendeley.com/documents/?uuid=450da5a3-b289-3d9d-9166-0366039a50d1"]},{"id":"ITEM-3","itemData":{"ISBN":"0300-1121 (Print)\r0300-1121 (Linking)","PMID":"4903501","author":[{"dropping-particle":"","family":"Ferebee","given":"S H","non-dropping-particle":"","parse-names":false,"suffix":""}],"container-title":"Bibl Tuberc","edition":"1970/01/01","id":"ITEM-3","issued":{"date-parts":[["1970"]]},"language":"eng","note":"Ferebee, S H\nSWITZERLAND\nBibl Tuberc. 1970;26:28-106.","page":"28-106","title":"Controlled chemoprophylaxis trials in tuberculosis. A general review","type":"article-journal","volume":"26"},"uris":["http://www.mendeley.com/documents/?uuid=2292445e-6377-4ab3-a56f-b0b05325a9c8"]}],"mendeley":{"formattedCitation":"&lt;sup&gt;3–5&lt;/sup&gt;","plainTextFormattedCitation":"3–5","previouslyFormattedCitation":"&lt;sup&gt;3–5&lt;/sup&gt;"},"properties":{"noteIndex":0},"schema":"https://github.com/citation-style-language/schema/raw/master/csl-citation.json"}</w:instrText>
      </w:r>
      <w:r>
        <w:fldChar w:fldCharType="separate"/>
      </w:r>
      <w:r w:rsidRPr="00225FFD">
        <w:rPr>
          <w:noProof/>
          <w:vertAlign w:val="superscript"/>
        </w:rPr>
        <w:t>3–5</w:t>
      </w:r>
      <w:r>
        <w:fldChar w:fldCharType="end"/>
      </w:r>
    </w:p>
    <w:p w:rsidR="00225FFD" w:rsidRDefault="00AB628E" w:rsidP="00225FFD">
      <w:r>
        <w:t xml:space="preserve">For example, two of the most commonly estimates of the rate of reactivation from LTBI </w:t>
      </w:r>
      <w:r w:rsidR="00F51526">
        <w:t>are derived from follow up of the placebo arms of randomised controlled trials of intervention studies, including the MRC study of TB vaccines</w:t>
      </w:r>
      <w:r w:rsidR="00F51526">
        <w:fldChar w:fldCharType="begin" w:fldLock="1"/>
      </w:r>
      <w:r w:rsidR="00F51526">
        <w:instrText>ADDIN CSL_CITATION {"citationItems":[{"id":"ITEM-1","itemData":{"ISBN":"0042-9686 (Print)\r0042-9686 (Linking)","PMID":"4537855","abstract":"This paper reports the 15-year results of a controlled clinical trial of BCG and vole bacillus vaccines in the prevention of TB. Among 54 239 participants, 583 cases of TB developed, of which 70% were of pulmonary TB and 15% of tuberculous pleural effusion without evidence of pulmonary TB. The annual incidence (per 1 000) of TB was 0.28 among the 13 598 BCG-vaccinated participants and 1.28 among the tuberculin-negative unvaccinated participants admitted concurrently (a 78% reduction); for vole bacillus vaccine (5 817 participants) the figures were 0.29 and 1.50 (an 81% reduction). Protection extended to all forms of TB (in particular, 10 cases of tuberculous meningitis or miliary pulmonary TB developed in unvaccinated, and none in vaccinated, participants) and was similar in the two sexes. It decreased gradually during the period but was still substantial (59% for BCG vaccine and 73% for vole bacillus vaccine) 10-15 years after vaccination; no definite conclusion can yet be reached on the level of protection after 15 years. The annual incidence of TB in those with strong positive reactions to tuberculin on entry was particularly high (3.75) in the first 2.5 years, reflecting active infections acquired before entry; those with weaker positive reactions on entry had a lower incidence throughout than the tuberculin-negative unvaccinated group, indicating that a degree of naturally acquired immunity (though less than that conferred by vaccination) was associated with the low-grade tuberculin sensitivity. The incidence of every form of TB decreased steeply during the 15 years, except for genito-urinary TB of which there were 3, 5, and 14 cases in successive 5-year periods, principally among initially tuberculin-positive participants. This report also presents the findings with respect to nontuberculous diseases, discusses the place of vole bacillus vaccination, and describes a method for assessing the applicability of mass BCG vaccination in a given epidemiological situation.","author":[{"dropping-particle":"","family":"Medical Research Council","given":"","non-dropping-particle":"","parse-names":false,"suffix":""}],"container-title":"Bull World Health Organ","edition":"1972/01/01","id":"ITEM-1","issue":"3","issued":{"date-parts":[["1972"]]},"language":"eng","note":"SWITZERLAND\nBull World Health Organ. 1972;46(3):371-85.","page":"371-385","title":"BCG and vole bacillus vaccines in the prevention of tuberculosis in adolescence and early adult life","type":"article-journal","volume":"46"},"uris":["http://www.mendeley.com/documents/?uuid=82550303-11f5-4b73-a8f2-60c44143633d"]}],"mendeley":{"formattedCitation":"&lt;sup&gt;6&lt;/sup&gt;","plainTextFormattedCitation":"6","previouslyFormattedCitation":"&lt;sup&gt;6&lt;/sup&gt;"},"properties":{"noteIndex":0},"schema":"https://github.com/citation-style-language/schema/raw/master/csl-citation.json"}</w:instrText>
      </w:r>
      <w:r w:rsidR="00F51526">
        <w:fldChar w:fldCharType="separate"/>
      </w:r>
      <w:r w:rsidR="00F51526" w:rsidRPr="00F51526">
        <w:rPr>
          <w:noProof/>
          <w:vertAlign w:val="superscript"/>
        </w:rPr>
        <w:t>6</w:t>
      </w:r>
      <w:r w:rsidR="00F51526">
        <w:fldChar w:fldCharType="end"/>
      </w:r>
      <w:r w:rsidR="00F51526">
        <w:t xml:space="preserve"> and the USPHS study of isoniazid preventive therapy.</w:t>
      </w:r>
      <w:r w:rsidR="00F51526">
        <w:fldChar w:fldCharType="begin" w:fldLock="1"/>
      </w:r>
      <w:r w:rsidR="00F51526">
        <w:instrText>ADDIN CSL_CITATION {"citationItems":[{"id":"ITEM-1","itemData":{"ISBN":"0300-1121 (Print)\r0300-1121 (Linking)","PMID":"4903501","author":[{"dropping-particle":"","family":"Ferebee","given":"S H","non-dropping-particle":"","parse-names":false,"suffix":""}],"container-title":"Bibl Tuberc","edition":"1970/01/01","id":"ITEM-1","issued":{"date-parts":[["1970"]]},"language":"eng","note":"Ferebee, S H\nSWITZERLAND\nBibl Tuberc. 1970;26:28-106.","page":"28-106","title":"Controlled chemoprophylaxis trials in tuberculosis. A general review","type":"article-journal","volume":"26"},"uris":["http://www.mendeley.com/documents/?uuid=2292445e-6377-4ab3-a56f-b0b05325a9c8"]},{"id":"ITEM-2","itemData":{"DOI":"10.1056/NEJM196110122651501","ISBN":"0028-4793 (Print)\r0028-4793 (Linking)","PMID":"14476667","author":[{"dropping-particle":"","family":"Mount","given":"F W","non-dropping-particle":"","parse-names":false,"suffix":""},{"dropping-particle":"","family":"Ferebee","given":"S H","non-dropping-particle":"","parse-names":false,"suffix":""}],"container-title":"N Engl J Med","id":"ITEM-2","issued":{"date-parts":[["1961"]]},"note":"MOUNT, F W\nFEREBEE, S H\neng\nNot Available\n1961/10/12\nN Engl J Med. 1961 Oct 12;265:713-21.","page":"713-721","title":"Preventive effects of isoniazid in the treatment of primary tuberculosis in children","type":"article-journal","volume":"265"},"uris":["http://www.mendeley.com/documents/?uuid=1566e4ab-ebc2-4aff-80f2-d0985dbfc77d"]}],"mendeley":{"formattedCitation":"&lt;sup&gt;5,7&lt;/sup&gt;","plainTextFormattedCitation":"5,7","previouslyFormattedCitation":"&lt;sup&gt;5,7&lt;/sup&gt;"},"properties":{"noteIndex":0},"schema":"https://github.com/citation-style-language/schema/raw/master/csl-citation.json"}</w:instrText>
      </w:r>
      <w:r w:rsidR="00F51526">
        <w:fldChar w:fldCharType="separate"/>
      </w:r>
      <w:r w:rsidR="00F51526" w:rsidRPr="00F51526">
        <w:rPr>
          <w:noProof/>
          <w:vertAlign w:val="superscript"/>
        </w:rPr>
        <w:t>5,7</w:t>
      </w:r>
      <w:r w:rsidR="00F51526">
        <w:fldChar w:fldCharType="end"/>
      </w:r>
      <w:r w:rsidR="00F51526">
        <w:t xml:space="preserve"> However, there are several limitations of these earlier studies, including increased rates of unrecognised reinfection and the difficulty in now accessing appropriately disaggregated data for reanalysis.</w:t>
      </w:r>
      <w:r w:rsidR="0060099D">
        <w:t xml:space="preserve"> For these reasons and others, we consider that the prospective collation of data from contacts of TB patients could be of great value in defining risk of future disease.</w:t>
      </w:r>
    </w:p>
    <w:p w:rsidR="00AB628E" w:rsidRDefault="00F51526" w:rsidP="00874016">
      <w:pPr>
        <w:pStyle w:val="Heading3"/>
        <w:numPr>
          <w:ilvl w:val="1"/>
          <w:numId w:val="9"/>
        </w:numPr>
      </w:pPr>
      <w:bookmarkStart w:id="0" w:name="_Ref528765472"/>
      <w:r>
        <w:t>Specific p</w:t>
      </w:r>
      <w:r w:rsidR="00AB628E">
        <w:t>ast studies</w:t>
      </w:r>
      <w:bookmarkEnd w:id="0"/>
    </w:p>
    <w:p w:rsidR="00225FFD" w:rsidRDefault="00225FFD" w:rsidP="00225FFD">
      <w:r>
        <w:t xml:space="preserve">More recently, a number of studies have emerged to estimate the risk of active TB following infection using </w:t>
      </w:r>
      <w:r w:rsidR="00F06E4E">
        <w:t>formal survival analysis techniques applied to surveillance data.</w:t>
      </w:r>
      <w:r w:rsidR="00220166">
        <w:t xml:space="preserve"> The first such study was undertaken in Amsterdam and considered tuberculin skin test (TST)-positive contacts of active cases and the rate at which they developed subsequent disease.</w:t>
      </w:r>
      <w:r w:rsidR="00220166">
        <w:fldChar w:fldCharType="begin" w:fldLock="1"/>
      </w:r>
      <w:r w:rsidR="00F51526">
        <w:instrText>ADDIN CSL_CITATION {"citationItems":[{"id":"ITEM-1","itemData":{"DOI":"10.1164/rccm.201406-1159OC","ISBN":"1535-4970 (Electronic)\r1073-449X (Linking)","PMID":"25265362","abstract":"RATIONALE: The lifetime risk of tuberculosis (TB) for infected contacts is often mentioned to be 5-10%, but these estimates are based on studies conducted decades ago, and thus may not reflect current epidemiologic conditions. OBJECTIVES: To estimate the risk of TB among contacts with evidence of infection and to compare this with estimates often stated in the literature. METHODS: A retrospective cohort study was performed using records on contacts of pulmonary TB patients at the Public Health Service Amsterdam, 2002-2011. The Public Health Service Amsterdam TB electronic registration system identified TB cases during follow-up until October 2012; these were defined as coprevalent if diagnosed less than or equal to 180 days and incident if diagnosed greater than 180 days after TB diagnosis of index patient. Cumulative TB risk was estimated with Kaplan-Meier curves. MEASUREMENTS AND MAIN RESULTS: Of 9,332 contacts of pulmonary TB patients, 4,774 were screened for latent TB infection (LTBI) of whom 739 (16%) had evidence of infection. Among these the 5-year Kaplan-Meier TB cumulative risk was 9.5% (95% confidence interval, 7.5-11.9). This varied by age: 33.3% of 36 contacts aged less than 5 years, 19.1% of 84 contacts aged 5-14 years, and 6.7% of 619 contacts aged greater than or equal to 15 years (log rank, P &lt; 0.001). Of 739 contacts with evidence of infection, 57 had coprevalent TB and 14 developed incident TB. Of patients without coprevalent TB but with LTBI diagnosis, 45% received preventive therapy. Five-year risk of incident TB was 2.4% (95% confidence interval, 1.2-4.7) among contacts with LTBI who did not start preventive therapy. CONCLUSIONS: Five-year risk of TB among contacts with evidence of infection was higher compared with older estimates, and differed considerably by age. Incidence of TB among contacts with LTBI was low, suggesting limited impact may be expected of expanding preventive therapy.","author":[{"dropping-particle":"","family":"Sloot","given":"R","non-dropping-particle":"","parse-names":false,"suffix":""},{"dropping-particle":"","family":"Schim van der Loeff","given":"M F","non-dropping-particle":"","parse-names":false,"suffix":""},{"dropping-particle":"","family":"Kouw","given":"P M","non-dropping-particle":"","parse-names":false,"suffix":""},{"dropping-particle":"","family":"Borgdorff","given":"M W","non-dropping-particle":"","parse-names":false,"suffix":""}],"container-title":"Am J Respir Crit Care Med","id":"ITEM-1","issue":"9","issued":{"date-parts":[["2014"]]},"note":"Sloot, Rosa\nSchim van der Loeff, Maarten F\nKouw, Peter M\nBorgdorff, Martien W\neng\n2014/09/30 06:00\nAm J Respir Crit Care Med. 2014 Nov 1;190(9):1044-52. doi: 10.1164/rccm.201406-1159OC.","page":"1044-1052","title":"Risk of Tuberculosis after Recent Exposure. A 10-Year Follow-up Study of Contacts in Amsterdam","type":"article-journal","volume":"190"},"uris":["http://www.mendeley.com/documents/?uuid=a4e13bbb-4e36-4d3a-99d3-fa05d96b5707"]}],"mendeley":{"formattedCitation":"&lt;sup&gt;8&lt;/sup&gt;","plainTextFormattedCitation":"8","previouslyFormattedCitation":"&lt;sup&gt;8&lt;/sup&gt;"},"properties":{"noteIndex":0},"schema":"https://github.com/citation-style-language/schema/raw/master/csl-citation.json"}</w:instrText>
      </w:r>
      <w:r w:rsidR="00220166">
        <w:fldChar w:fldCharType="separate"/>
      </w:r>
      <w:r w:rsidR="00F51526" w:rsidRPr="00F51526">
        <w:rPr>
          <w:noProof/>
          <w:vertAlign w:val="superscript"/>
        </w:rPr>
        <w:t>8</w:t>
      </w:r>
      <w:r w:rsidR="00220166">
        <w:fldChar w:fldCharType="end"/>
      </w:r>
      <w:r w:rsidR="00CA2867">
        <w:t xml:space="preserve"> A</w:t>
      </w:r>
      <w:r w:rsidR="00220166">
        <w:t xml:space="preserve"> subsequent study in Victoria</w:t>
      </w:r>
      <w:r w:rsidR="007F7817">
        <w:t xml:space="preserve"> imputed censorship due to preventive treatment, migration and death, allowing the </w:t>
      </w:r>
      <w:r w:rsidR="00CE621E">
        <w:t xml:space="preserve">absolute </w:t>
      </w:r>
      <w:r w:rsidR="007F7817">
        <w:t xml:space="preserve">risk of reactivation disease following infection to be </w:t>
      </w:r>
      <w:r w:rsidR="00E970C1">
        <w:t xml:space="preserve">directly </w:t>
      </w:r>
      <w:r w:rsidR="007F7817">
        <w:t>appraised.</w:t>
      </w:r>
      <w:r w:rsidR="007F7817">
        <w:fldChar w:fldCharType="begin" w:fldLock="1"/>
      </w:r>
      <w:r w:rsidR="00F51526">
        <w:instrText>ADDIN CSL_CITATION {"citationItems":[{"id":"ITEM-1","itemData":{"abstract":"BACKGROUND: It is often stated that the lifetime risk of developing active TB after an index infection is 5% to 10%, one-half of which accrues in the 2 to 5 years following infection. The goal of this study was to determine whether such estimates are consistent with local pro- grammatic data. METHODS: This study included close contacts of individuals with active pulmonary TB notified in the Australian state of Victoria from January 1, 2005, to December 31, 2013, who we deemed to have been infected as a result of their exposure. Survival analysis was first performed on the assumption of complete follow-up through to the end of the study period. The analysis was then repeated with imputation of censorship for migration, death, and preventive treatment, using local mortality and migration data combined with programmatic data on the administration of preventive therapy. RESULTS: Of 613 infected close contacts, 67 (10.9%) developed active TB during the study period. Assuming complete follow-up, the 1,650-day cumulative hazard was 11.5% (95% CI, 8.9-14.1). With imputation of censorship for death, migration, and preventive therapy, the median 1,650-day cumulative hazard over 10,000 simulations was 14.5% (95% CI, 11.1-17.9). Most risk accrued in the first 5 months after infection, and risk was greatest in the group aged &lt; 5 years, reaching 56.0% with imputation, but it was also elevated in older children (27.6% in the group aged 5-14 years). CONCLUSIONS: The risk of active TB following infection is several-fold higher than tradi- tionally accepted estimates, and it is particularly high immediately following infection and in children.","author":[{"dropping-particle":"","family":"Trauer","given":"J M","non-dropping-particle":"","parse-names":false,"suffix":""},{"dropping-particle":"","family":"Moyo","given":"N","non-dropping-particle":"","parse-names":false,"suffix":""},{"dropping-particle":"","family":"Tay","given":"E.-L.","non-dropping-particle":"","parse-names":false,"suffix":""},{"dropping-particle":"","family":"Dale","given":"K","non-dropping-particle":"","parse-names":false,"suffix":""},{"dropping-particle":"","family":"Ragonnet","given":"R","non-dropping-particle":"","parse-names":false,"suffix":""},{"dropping-particle":"","family":"McBryde","given":"E S","non-dropping-particle":"","parse-names":false,"suffix":""},{"dropping-particle":"","family":"Denholm","given":"J T","non-dropping-particle":"","parse-names":false,"suffix":""}],"chapter-number":"516","container-title":"Chest","id":"ITEM-1","issue":"2","issued":{"date-parts":[["2016"]]},"page":"516-525","title":"Risk of Active Tuberculosis in the Five Years Following Infection . . . 15%?","type":"article-journal","volume":"149"},"uris":["http://www.mendeley.com/documents/?uuid=772bdb8e-302b-40b6-a0a6-c648467e9d82"]}],"mendeley":{"formattedCitation":"&lt;sup&gt;9&lt;/sup&gt;","plainTextFormattedCitation":"9","previouslyFormattedCitation":"&lt;sup&gt;9&lt;/sup&gt;"},"properties":{"noteIndex":0},"schema":"https://github.com/citation-style-language/schema/raw/master/csl-citation.json"}</w:instrText>
      </w:r>
      <w:r w:rsidR="007F7817">
        <w:fldChar w:fldCharType="separate"/>
      </w:r>
      <w:r w:rsidR="00F51526" w:rsidRPr="00F51526">
        <w:rPr>
          <w:noProof/>
          <w:vertAlign w:val="superscript"/>
        </w:rPr>
        <w:t>9</w:t>
      </w:r>
      <w:r w:rsidR="007F7817">
        <w:fldChar w:fldCharType="end"/>
      </w:r>
      <w:r w:rsidR="00CA2867">
        <w:t xml:space="preserve"> Other studies with similar methods have also recently emerged from centres in the USA</w:t>
      </w:r>
      <w:r w:rsidR="00F51526">
        <w:t>,</w:t>
      </w:r>
      <w:r w:rsidR="00CA2867">
        <w:fldChar w:fldCharType="begin" w:fldLock="1"/>
      </w:r>
      <w:r w:rsidR="00F51526">
        <w:instrText>ADDIN CSL_CITATION {"citationItems":[{"id":"ITEM-1","itemData":{"DOI":"10.1093/infdis/jiy265","ISSN":"0022-1899","author":[{"dropping-particle":"","family":"Reichler","given":"Mary R","non-dropping-particle":"","parse-names":false,"suffix":""},{"dropping-particle":"","family":"Khan","given":"Awal","non-dropping-particle":"","parse-names":false,"suffix":""},{"dropping-particle":"","family":"Sterling","given":"Timothy R","non-dropping-particle":"","parse-names":false,"suffix":""},{"dropping-particle":"","family":"Zhao","given":"Hui","non-dropping-particle":"","parse-names":false,"suffix":""},{"dropping-particle":"","family":"Moran","given":"Joyce","non-dropping-particle":"","parse-names":false,"suffix":""},{"dropping-particle":"","family":"McAuley","given":"James","non-dropping-particle":"","parse-names":false,"suffix":""},{"dropping-particle":"","family":"Bessler","given":"Patricia","non-dropping-particle":"","parse-names":false,"suffix":""},{"dropping-particle":"","family":"Mangura","given":"Bonita","non-dropping-particle":"","parse-names":false,"suffix":""}],"container-title":"The Journal of Infectious Diseases","id":"ITEM-1","issued":{"date-parts":[["2018","5","15"]]},"title":"Risk and Timing of Tuberculosis Among Close Contacts of Persons with Infectious Tuberculosis","type":"article-journal"},"uris":["http://www.mendeley.com/documents/?uuid=3b7c882d-96b9-3782-bb8e-e28cf485d2f1"]}],"mendeley":{"formattedCitation":"&lt;sup&gt;10&lt;/sup&gt;","plainTextFormattedCitation":"10","previouslyFormattedCitation":"&lt;sup&gt;10&lt;/sup&gt;"},"properties":{"noteIndex":0},"schema":"https://github.com/citation-style-language/schema/raw/master/csl-citation.json"}</w:instrText>
      </w:r>
      <w:r w:rsidR="00CA2867">
        <w:fldChar w:fldCharType="separate"/>
      </w:r>
      <w:r w:rsidR="00F51526" w:rsidRPr="00F51526">
        <w:rPr>
          <w:noProof/>
          <w:vertAlign w:val="superscript"/>
        </w:rPr>
        <w:t>10</w:t>
      </w:r>
      <w:r w:rsidR="00CA2867">
        <w:fldChar w:fldCharType="end"/>
      </w:r>
      <w:r w:rsidR="00F51526">
        <w:t xml:space="preserve"> Spain</w:t>
      </w:r>
      <w:r w:rsidR="0032743F">
        <w:t>,</w:t>
      </w:r>
      <w:r w:rsidR="00F51526">
        <w:fldChar w:fldCharType="begin" w:fldLock="1"/>
      </w:r>
      <w:r w:rsidR="009027E2">
        <w:instrText>ADDIN CSL_CITATION {"citationItems":[{"id":"ITEM-1","itemData":{"DOI":"10.1513/AnnalsATS.201408-394OC","ISSN":"2329-6933","abstract":"Rationale: The identification of patients with latent tuberculosis infection, who are at higher risk to develop active disease, is an important component of disease control.Objectives: We aim to compare the usefulness of the QuantiFERON-TB Gold in-tube assay and the tuberculin skin test to predict the development of active tuberculosis during follow-up, using positive and negative predictive values, positive likelihood ratios, and stratified level of risk.Methods: The study included contacts of tuberculosis cases diagnosed between 2007 and 2009. All contacts included were from the first circle of exposure. Tuberculin skin test and QuantiFERON test were performed and a chest radiograph was obtained during the contact's study.Measurements and Main Results: A total of 1,335 contacts were followed up for 4 years: a smear-positive index case was identified for 937 contacts, of whom 15 developed active tuberculosis and had initially presented with positive tuberculin skin test/QuantiFERON results, a normal ches...","author":[{"dropping-particle":"","family":"Altet","given":"Neus","non-dropping-particle":"","parse-names":false,"suffix":""},{"dropping-particle":"","family":"Dominguez","given":"José","non-dropping-particle":"","parse-names":false,"suffix":""},{"dropping-particle":"de","family":"Souza-Galvão","given":"Maria-Luiza","non-dropping-particle":"","parse-names":false,"suffix":""},{"dropping-particle":"","family":"Jiménez-Fuentes","given":"M. Ángeles","non-dropping-particle":"","parse-names":false,"suffix":""},{"dropping-particle":"","family":"Milà","given":"Célia","non-dropping-particle":"","parse-names":false,"suffix":""},{"dropping-particle":"","family":"Solsona","given":"Jordi","non-dropping-particle":"","parse-names":false,"suffix":""},{"dropping-particle":"","family":"Soriano-Arandés","given":"Antonio","non-dropping-particle":"","parse-names":false,"suffix":""},{"dropping-particle":"","family":"Latorre","given":"Irene","non-dropping-particle":"","parse-names":false,"suffix":""},{"dropping-particle":"","family":"Lara","given":"Elisa","non-dropping-particle":"","parse-names":false,"suffix":""},{"dropping-particle":"","family":"Cantos","given":"Adela","non-dropping-particle":"","parse-names":false,"suffix":""},{"dropping-particle":"","family":"Ferrer","given":"María Dolores","non-dropping-particle":"","parse-names":false,"suffix":""},{"dropping-particle":"","family":"Orcau","given":"Àngels","non-dropping-particle":"","parse-names":false,"suffix":""},{"dropping-particle":"","family":"Ruiz-Manzano","given":"Juan","non-dropping-particle":"","parse-names":false,"suffix":""},{"dropping-particle":"","family":"Caylà","given":"Joan","non-dropping-particle":"","parse-names":false,"suffix":""}],"container-title":"Annals of the American Thoracic Society","id":"ITEM-1","issue":"5","issued":{"date-parts":[["2015","5","12"]]},"page":"680-688","publisher":"American Thoracic Society","title":"Predicting the Development of Tuberculosis with the Tuberculin Skin Test and QuantiFERON Testing","type":"article-journal","volume":"12"},"uris":["http://www.mendeley.com/documents/?uuid=81bf09a2-29d1-3227-a813-56dd943fe647"]}],"mendeley":{"formattedCitation":"&lt;sup&gt;11&lt;/sup&gt;","plainTextFormattedCitation":"11","previouslyFormattedCitation":"&lt;sup&gt;11&lt;/sup&gt;"},"properties":{"noteIndex":0},"schema":"https://github.com/citation-style-language/schema/raw/master/csl-citation.json"}</w:instrText>
      </w:r>
      <w:r w:rsidR="00F51526">
        <w:fldChar w:fldCharType="separate"/>
      </w:r>
      <w:r w:rsidR="00F51526" w:rsidRPr="00F51526">
        <w:rPr>
          <w:noProof/>
          <w:vertAlign w:val="superscript"/>
        </w:rPr>
        <w:t>11</w:t>
      </w:r>
      <w:r w:rsidR="00F51526">
        <w:fldChar w:fldCharType="end"/>
      </w:r>
      <w:r w:rsidR="00F51526">
        <w:t xml:space="preserve"> and</w:t>
      </w:r>
      <w:r w:rsidR="00CA2867">
        <w:t xml:space="preserve"> </w:t>
      </w:r>
      <w:r w:rsidR="0032743F">
        <w:t xml:space="preserve">from </w:t>
      </w:r>
      <w:r w:rsidR="00CA2867">
        <w:t>the Netherlands</w:t>
      </w:r>
      <w:r w:rsidR="0032743F">
        <w:t>,</w:t>
      </w:r>
      <w:r w:rsidR="00CA2867">
        <w:fldChar w:fldCharType="begin" w:fldLock="1"/>
      </w:r>
      <w:r w:rsidR="009027E2">
        <w:instrText>ADDIN CSL_CITATION {"citationItems":[{"id":"ITEM-1","itemData":{"DOI":"10.1183/13993003.01157-2016","ISSN":"0903-1936","PMID":"27799389","abstract":"Diagnosis and preventive treatment of latent tuberculosis infection (LTBI) among high-risk groups is recommended to achieve tuberculosis (TB) elimination in low-incidence countries.We studied TB incidence rates among those notified with LTBI in the Netherlands from 2005 to 2013 and analysed associated risk factors. We stratified analyses by target group for screening, and by initiation and completion of preventive treatment.The incidence for those completing, stopping and not receiving preventive treatment was 187, 436 and 355 per 100 000 person-years for contacts of TB patients, respectively, and 63, 96 and 110 per 100 000 person-years for other target groups. The rate ratio for TB development among contacts compared to other target groups was 3.1 (95% CI 2.0-4.9). In both groups, incidence was highest in the first year after diagnosis. Independent factors associated with progression to TB among contacts were age &lt;5 years and stopping preventive treatment within 28 days compared to those not receiving preventive treatment. Among other target groups, being foreign born was the only risk factor associated with the risk of developing TB.We conclude that the epidemiological impact of preventive treatment is highest in contacts of TB patients and limited in other target groups for LTBI management in the Netherlands.","author":[{"dropping-particle":"","family":"Erkens","given":"Connie G.M.","non-dropping-particle":"","parse-names":false,"suffix":""},{"dropping-particle":"","family":"Slump","given":"Erika","non-dropping-particle":"","parse-names":false,"suffix":""},{"dropping-particle":"","family":"Verhagen","given":"Maurits","non-dropping-particle":"","parse-names":false,"suffix":""},{"dropping-particle":"","family":"Schimmel","given":"Henrieke","non-dropping-particle":"","parse-names":false,"suffix":""},{"dropping-particle":"","family":"Cobelens","given":"Frank","non-dropping-particle":"","parse-names":false,"suffix":""},{"dropping-particle":"","family":"Hof","given":"Susan","non-dropping-particle":"van den","parse-names":false,"suffix":""}],"container-title":"European Respiratory Journal","id":"ITEM-1","issue":"5","issued":{"date-parts":[["2016","11"]]},"page":"1420-1428","title":"Risk of developing tuberculosis disease among persons diagnosed with latent tuberculosis infection in the Netherlands","type":"article-journal","volume":"48"},"uris":["http://www.mendeley.com/documents/?uuid=00fef2ce-e7ce-3559-a830-0f7937ea220f"]}],"mendeley":{"formattedCitation":"&lt;sup&gt;12&lt;/sup&gt;","plainTextFormattedCitation":"12","previouslyFormattedCitation":"&lt;sup&gt;12&lt;/sup&gt;"},"properties":{"noteIndex":0},"schema":"https://github.com/citation-style-language/schema/raw/master/csl-citation.json"}</w:instrText>
      </w:r>
      <w:r w:rsidR="00CA2867">
        <w:fldChar w:fldCharType="separate"/>
      </w:r>
      <w:r w:rsidR="00F51526" w:rsidRPr="00F51526">
        <w:rPr>
          <w:noProof/>
          <w:vertAlign w:val="superscript"/>
        </w:rPr>
        <w:t>12</w:t>
      </w:r>
      <w:r w:rsidR="00CA2867">
        <w:fldChar w:fldCharType="end"/>
      </w:r>
      <w:r w:rsidR="00CA2867">
        <w:t xml:space="preserve"> where LTBI has been a notifiable condition in ce</w:t>
      </w:r>
      <w:r w:rsidR="00F51526">
        <w:t>rtain circumstances since 2003.</w:t>
      </w:r>
    </w:p>
    <w:p w:rsidR="00AB628E" w:rsidRDefault="00AB628E" w:rsidP="00874016">
      <w:pPr>
        <w:pStyle w:val="Heading3"/>
        <w:numPr>
          <w:ilvl w:val="1"/>
          <w:numId w:val="9"/>
        </w:numPr>
      </w:pPr>
      <w:r>
        <w:t>Rationale</w:t>
      </w:r>
    </w:p>
    <w:p w:rsidR="0032743F" w:rsidRDefault="00E970C1" w:rsidP="00225FFD">
      <w:r>
        <w:t>Estimates of rea</w:t>
      </w:r>
      <w:r w:rsidR="0032743F">
        <w:t>ctivation risk are crucial for:</w:t>
      </w:r>
    </w:p>
    <w:p w:rsidR="0032743F" w:rsidRDefault="0032743F" w:rsidP="0032743F">
      <w:pPr>
        <w:pStyle w:val="ListParagraph"/>
        <w:numPr>
          <w:ilvl w:val="0"/>
          <w:numId w:val="13"/>
        </w:numPr>
      </w:pPr>
      <w:r>
        <w:t>Counselling patients individual patients as to their risk of disease</w:t>
      </w:r>
    </w:p>
    <w:p w:rsidR="0032743F" w:rsidRDefault="0032743F" w:rsidP="0032743F">
      <w:pPr>
        <w:pStyle w:val="ListParagraph"/>
        <w:numPr>
          <w:ilvl w:val="0"/>
          <w:numId w:val="13"/>
        </w:numPr>
      </w:pPr>
      <w:r>
        <w:t>Q</w:t>
      </w:r>
      <w:r w:rsidR="00E970C1">
        <w:t>uantifying the b</w:t>
      </w:r>
      <w:r>
        <w:t>enefits of preventive therapy at the individual or group level, including economic analyses</w:t>
      </w:r>
    </w:p>
    <w:p w:rsidR="00E970C1" w:rsidRDefault="0032743F" w:rsidP="0032743F">
      <w:pPr>
        <w:pStyle w:val="ListParagraph"/>
        <w:numPr>
          <w:ilvl w:val="0"/>
          <w:numId w:val="13"/>
        </w:numPr>
      </w:pPr>
      <w:r>
        <w:t>Planning the public health response to LTBI in high and low-burden settings, including for the construction of</w:t>
      </w:r>
      <w:r w:rsidR="00E970C1">
        <w:t xml:space="preserve"> mathematical models of TB transmission</w:t>
      </w:r>
    </w:p>
    <w:p w:rsidR="0032743F" w:rsidRDefault="0032743F" w:rsidP="0032743F">
      <w:r>
        <w:t xml:space="preserve">In relation to the first bullet above, we aim to “close the loop”, using data from reactivation rates from LTBI to active TB to quantify </w:t>
      </w:r>
      <w:r w:rsidR="009027E2">
        <w:t>the risk of disease for future contacts diagnosed with LTBI.</w:t>
      </w:r>
    </w:p>
    <w:p w:rsidR="00F51526" w:rsidRDefault="00F51526" w:rsidP="00F51526">
      <w:pPr>
        <w:pStyle w:val="Heading2"/>
        <w:numPr>
          <w:ilvl w:val="0"/>
          <w:numId w:val="9"/>
        </w:numPr>
      </w:pPr>
      <w:r>
        <w:t>Project status</w:t>
      </w:r>
    </w:p>
    <w:p w:rsidR="00F51526" w:rsidRPr="008A5ADF" w:rsidRDefault="00F51526" w:rsidP="00F51526">
      <w:pPr>
        <w:pStyle w:val="Heading3"/>
        <w:numPr>
          <w:ilvl w:val="1"/>
          <w:numId w:val="9"/>
        </w:numPr>
      </w:pPr>
      <w:r>
        <w:t>Engagement</w:t>
      </w:r>
    </w:p>
    <w:p w:rsidR="00F51526" w:rsidRDefault="00F51526" w:rsidP="00F51526">
      <w:r>
        <w:t>We are currently in the engagement stage of this project, seeking in-principle support for the activity from stakeholders (particularly data custodians).</w:t>
      </w:r>
    </w:p>
    <w:p w:rsidR="00F51526" w:rsidRDefault="00F51526" w:rsidP="00F51526">
      <w:pPr>
        <w:pStyle w:val="Heading3"/>
        <w:numPr>
          <w:ilvl w:val="1"/>
          <w:numId w:val="9"/>
        </w:numPr>
      </w:pPr>
      <w:r>
        <w:t>Approvals</w:t>
      </w:r>
    </w:p>
    <w:p w:rsidR="00F51526" w:rsidRDefault="00F51526" w:rsidP="00F51526">
      <w:r>
        <w:t>In principle support from ACTnet, approved by vote of membership. Approved at the ACTnet annual meeting on 31</w:t>
      </w:r>
      <w:r w:rsidRPr="00F57CA9">
        <w:rPr>
          <w:vertAlign w:val="superscript"/>
        </w:rPr>
        <w:t>st</w:t>
      </w:r>
      <w:r>
        <w:t xml:space="preserve"> May 2018 (at the TB-CRE Symposium, Sydney).</w:t>
      </w:r>
    </w:p>
    <w:p w:rsidR="00F51526" w:rsidRDefault="00F51526" w:rsidP="00F51526">
      <w:pPr>
        <w:pStyle w:val="Heading3"/>
        <w:numPr>
          <w:ilvl w:val="1"/>
          <w:numId w:val="9"/>
        </w:numPr>
      </w:pPr>
      <w:r>
        <w:t>Approaches to research groups</w:t>
      </w:r>
    </w:p>
    <w:p w:rsidR="00F51526" w:rsidRDefault="00F51526" w:rsidP="00F51526">
      <w:r>
        <w:t>The following research groups have been approached, including:</w:t>
      </w:r>
    </w:p>
    <w:p w:rsidR="00F51526" w:rsidRDefault="00F51526" w:rsidP="00F51526">
      <w:pPr>
        <w:pStyle w:val="ListParagraph"/>
        <w:numPr>
          <w:ilvl w:val="0"/>
          <w:numId w:val="11"/>
        </w:numPr>
      </w:pPr>
      <w:r>
        <w:t>KNCV (Connie Erkens, Rosa Sloot, Frank Cobelens)</w:t>
      </w:r>
    </w:p>
    <w:p w:rsidR="00F51526" w:rsidRDefault="00F51526" w:rsidP="00F51526">
      <w:pPr>
        <w:pStyle w:val="ListParagraph"/>
        <w:numPr>
          <w:ilvl w:val="0"/>
          <w:numId w:val="11"/>
        </w:numPr>
      </w:pPr>
      <w:r>
        <w:t>Centers for Disease Control and Prevention (Mary Reichler)</w:t>
      </w:r>
    </w:p>
    <w:p w:rsidR="00F51526" w:rsidRDefault="00F51526" w:rsidP="00F51526">
      <w:pPr>
        <w:pStyle w:val="ListParagraph"/>
        <w:numPr>
          <w:ilvl w:val="0"/>
          <w:numId w:val="11"/>
        </w:numPr>
      </w:pPr>
      <w:r>
        <w:t>University College London (Rishi Gupta)</w:t>
      </w:r>
    </w:p>
    <w:p w:rsidR="00F51526" w:rsidRDefault="00F51526" w:rsidP="00F51526">
      <w:r>
        <w:t>Further authors of individual eligible studies will also be approached.</w:t>
      </w:r>
    </w:p>
    <w:p w:rsidR="00F51526" w:rsidRDefault="009027E2" w:rsidP="00F51526">
      <w:pPr>
        <w:pStyle w:val="Heading3"/>
        <w:numPr>
          <w:ilvl w:val="1"/>
          <w:numId w:val="9"/>
        </w:numPr>
      </w:pPr>
      <w:r>
        <w:lastRenderedPageBreak/>
        <w:t>Current r</w:t>
      </w:r>
      <w:r w:rsidR="00F51526">
        <w:t>esearch completed</w:t>
      </w:r>
      <w:r>
        <w:t xml:space="preserve"> or underway</w:t>
      </w:r>
    </w:p>
    <w:p w:rsidR="00F51526" w:rsidRDefault="009027E2" w:rsidP="00AF0F36">
      <w:r>
        <w:t>Preceding stages to this research</w:t>
      </w:r>
      <w:r w:rsidR="00361175">
        <w:t xml:space="preserve"> undertaken by our group</w:t>
      </w:r>
      <w:r>
        <w:t xml:space="preserve"> have included the following studies:</w:t>
      </w:r>
    </w:p>
    <w:p w:rsidR="009027E2" w:rsidRDefault="009027E2" w:rsidP="009027E2">
      <w:pPr>
        <w:pStyle w:val="ListParagraph"/>
        <w:numPr>
          <w:ilvl w:val="0"/>
          <w:numId w:val="14"/>
        </w:numPr>
      </w:pPr>
      <w:r>
        <w:t>Approach of data linkage from contacts to cases in Victoria described</w:t>
      </w:r>
    </w:p>
    <w:p w:rsidR="009027E2" w:rsidRDefault="009027E2" w:rsidP="009027E2">
      <w:pPr>
        <w:pStyle w:val="ListParagraph"/>
        <w:numPr>
          <w:ilvl w:val="1"/>
          <w:numId w:val="14"/>
        </w:numPr>
      </w:pPr>
      <w:r>
        <w:t>Moyo et al.</w:t>
      </w:r>
      <w:r>
        <w:fldChar w:fldCharType="begin" w:fldLock="1"/>
      </w:r>
      <w:r>
        <w:instrText>ADDIN CSL_CITATION {"citationItems":[{"id":"ITEM-1","itemData":{"ISBN":"2220-8372","author":[{"dropping-particle":"","family":"Moyo","given":"N","non-dropping-particle":"","parse-names":false,"suffix":""},{"dropping-particle":"","family":"Tay","given":"E L","non-dropping-particle":"","parse-names":false,"suffix":""},{"dropping-particle":"","family":"Denholm","given":"J T","non-dropping-particle":"","parse-names":false,"suffix":""}],"chapter-number":"188","container-title":"Public Health Action","id":"ITEM-1","issue":"3","issued":{"date-parts":[["2015"]]},"page":"188-193","title":"Evaluation of tuberculin skin testing in tuberculosis contacts in Victoria, Australia 2005-2013","type":"article-journal","volume":"5"},"uris":["http://www.mendeley.com/documents/?uuid=6617f6d7-d0dd-454f-926c-fa71872af94d"]}],"mendeley":{"formattedCitation":"&lt;sup&gt;13&lt;/sup&gt;","plainTextFormattedCitation":"13","previouslyFormattedCitation":"&lt;sup&gt;13&lt;/sup&gt;"},"properties":{"noteIndex":0},"schema":"https://github.com/citation-style-language/schema/raw/master/csl-citation.json"}</w:instrText>
      </w:r>
      <w:r>
        <w:fldChar w:fldCharType="separate"/>
      </w:r>
      <w:r w:rsidRPr="009027E2">
        <w:rPr>
          <w:noProof/>
          <w:vertAlign w:val="superscript"/>
        </w:rPr>
        <w:t>13</w:t>
      </w:r>
      <w:r>
        <w:fldChar w:fldCharType="end"/>
      </w:r>
    </w:p>
    <w:p w:rsidR="009027E2" w:rsidRDefault="009027E2" w:rsidP="009027E2">
      <w:pPr>
        <w:pStyle w:val="ListParagraph"/>
        <w:numPr>
          <w:ilvl w:val="0"/>
          <w:numId w:val="14"/>
        </w:numPr>
      </w:pPr>
      <w:r>
        <w:t>Survival analysis to quantify rates of progression from LTBI to active disease overall and by age group reported</w:t>
      </w:r>
    </w:p>
    <w:p w:rsidR="00361175" w:rsidRDefault="00361175" w:rsidP="00361175">
      <w:pPr>
        <w:pStyle w:val="ListParagraph"/>
        <w:numPr>
          <w:ilvl w:val="1"/>
          <w:numId w:val="14"/>
        </w:numPr>
      </w:pPr>
      <w:r>
        <w:t>Establishes the paradigm of imputing censorship for the anticipated depletion in the cohort over time from infection</w:t>
      </w:r>
    </w:p>
    <w:p w:rsidR="009027E2" w:rsidRDefault="009027E2" w:rsidP="009027E2">
      <w:pPr>
        <w:pStyle w:val="ListParagraph"/>
        <w:numPr>
          <w:ilvl w:val="1"/>
          <w:numId w:val="14"/>
        </w:numPr>
      </w:pPr>
      <w:r>
        <w:t>Trauer et al.</w:t>
      </w:r>
      <w:r>
        <w:fldChar w:fldCharType="begin" w:fldLock="1"/>
      </w:r>
      <w:r>
        <w:instrText xml:space="preserve">ADDIN CSL_CITATION {"citationItems":[{"id":"ITEM-1","itemData":{"DOI":"10.1016/j.chest.2015.11.017","ISSN":"19313543","abstract":"Copyright © 2016 American College of Chest Physicians. Published by Elsevier Inc. All rights reserved. Background: It is often stated that the lifetime risk of developing active TB after an index infection is 5% to 10%, one-half of which accrues in the 2 to 5 years following infection. The goal of this study was to determine whether such estimates are consistent with local programmatic data. Methods: This study included close contacts of individuals with active pulmonary TB notified in the Australian state of Victoria from January 1, 2005, to December 31, 2013, who we deemed to have been infected as a result of their exposure. Survival analysis was first performed on the assumption of complete follow-up through to the end of the study period. The analysis was then repeated with imputation of censorship for migration, death, and preventive treatment, using local mortality and migration data combined with programmatic data on the administration of preventive therapy. Results: Of 613 infected close contacts, 67 (10.9%) developed active TB during the study period. Assuming complete follow-up, the 1,650-day cumulative hazard was 11.5% (95% CI, 8.9-14.1). With imputation of censorship for death, migration, and preventive therapy, the median 1,650-day cumulative hazard over 10,000 simulations was 14.5% (95% CI, 11.1-17.9). Most risk accrued in the first 5 months after infection, and risk was greatest in the group aged  &lt;  5 years, reaching 56.0% with imputation, but it was also elevated in older children (27.6% in the group aged 5-14 years). Conclusions: The risk of active TB following infection is several-fold higher than traditionally accepted estimates, and it is particularly high immediately following infection and in children.","author":[{"dropping-particle":"","family":"Trauer","given":"J.M.","non-dropping-particle":"","parse-names":false,"suffix":""},{"dropping-particle":"","family":"Moyo","given":"N.","non-dropping-particle":"","parse-names":false,"suffix":""},{"dropping-particle":"","family":"Tay","given":"E.-L.","non-dropping-particle":"","parse-names":false,"suffix":""},{"dropping-particle":"","family":"Dale","given":"K.","non-dropping-particle":"","parse-names":false,"suffix":""},{"dropping-particle":"","family":"Ragonnet","given":"R.","non-dropping-particle":"","parse-names":false,"suffix":""},{"dropping-particle":"","family":"McBryde","given":"E.S.","non-dropping-particle":"","parse-names":false,"suffix":""},{"dropping-particle":"","family":"Denholm","given":"J.T.","non-dropping-particle":"","parse-names":false,"suffix":""}],"container-title":"Chest","id":"ITEM-1","issue":"2","issued":{"date-parts":[["2016"]]},"title":"Risk of active tuberculosis in the five years following infection </w:instrText>
      </w:r>
      <w:r>
        <w:rPr>
          <w:rFonts w:ascii="Cambria Math" w:hAnsi="Cambria Math" w:cs="Cambria Math"/>
        </w:rPr>
        <w:instrText>⋯</w:instrText>
      </w:r>
      <w:r>
        <w:instrText xml:space="preserve"> 15%?","type":"article-journal","volume":"149"},"uris":["http://www.mendeley.com/documents/?uuid=de2ddeae-5a9c-3371-a2b5-abc184077fea"]}],"mendeley":{"formattedCitation":"&lt;sup&gt;14&lt;/sup&gt;","plainTextFormattedCitation":"14","previouslyFormattedCitation":"&lt;sup&gt;14&lt;/sup&gt;"},"properties":{"noteIndex":0},"schema":"https://github.com/citation-style-language/schema/raw/master/csl-citation.json"}</w:instrText>
      </w:r>
      <w:r>
        <w:fldChar w:fldCharType="separate"/>
      </w:r>
      <w:r w:rsidRPr="009027E2">
        <w:rPr>
          <w:noProof/>
          <w:vertAlign w:val="superscript"/>
        </w:rPr>
        <w:t>14</w:t>
      </w:r>
      <w:r>
        <w:fldChar w:fldCharType="end"/>
      </w:r>
    </w:p>
    <w:p w:rsidR="009027E2" w:rsidRDefault="000370F9" w:rsidP="009027E2">
      <w:pPr>
        <w:pStyle w:val="ListParagraph"/>
        <w:numPr>
          <w:ilvl w:val="0"/>
          <w:numId w:val="14"/>
        </w:numPr>
      </w:pPr>
      <w:r>
        <w:t xml:space="preserve">Systematic review </w:t>
      </w:r>
      <w:r w:rsidR="00E70918">
        <w:t xml:space="preserve">of modelling latency structures </w:t>
      </w:r>
      <w:r>
        <w:t>and m</w:t>
      </w:r>
      <w:r w:rsidR="009027E2">
        <w:t>athematical analysis</w:t>
      </w:r>
      <w:r w:rsidR="00361175">
        <w:t xml:space="preserve"> of the relationship between observed reactivation profiles and epidemiological rates</w:t>
      </w:r>
      <w:r w:rsidR="009027E2">
        <w:t xml:space="preserve"> </w:t>
      </w:r>
    </w:p>
    <w:p w:rsidR="00361175" w:rsidRDefault="00361175" w:rsidP="00361175">
      <w:pPr>
        <w:pStyle w:val="ListParagraph"/>
        <w:numPr>
          <w:ilvl w:val="1"/>
          <w:numId w:val="14"/>
        </w:numPr>
      </w:pPr>
      <w:r>
        <w:t>Establishes mathematical equations and approaches for estimating progression parameters from survival data – for use in simulation of latency (e.g. compartmental modelling</w:t>
      </w:r>
    </w:p>
    <w:p w:rsidR="009027E2" w:rsidRDefault="009027E2" w:rsidP="009027E2">
      <w:pPr>
        <w:pStyle w:val="ListParagraph"/>
        <w:numPr>
          <w:ilvl w:val="1"/>
          <w:numId w:val="14"/>
        </w:numPr>
      </w:pPr>
      <w:r>
        <w:t>Ragonnet et al.</w:t>
      </w:r>
      <w:r>
        <w:fldChar w:fldCharType="begin" w:fldLock="1"/>
      </w:r>
      <w:r w:rsidR="00E750D1">
        <w:instrText>ADDIN CSL_CITATION {"citationItems":[{"id":"ITEM-1","itemData":{"DOI":"10.1016/j.epidem.2017.06.002","ISSN":"18780067","PMID":"28641948","abstract":"Although different structures are used in modern tuberculosis (TB) models to simulate TB latency, it remains unclear whether they are all capable of reproducing the particular activation dynamics empirically observed. We aimed to determine which of these structures replicate the dynamics of progression accurately. We reviewed 88 TB-modelling articles and classified them according to the latency structure employed. We then fitted these different models to the activation dynamics observed from 1352 infected contacts diagnosed in Victoria (Australia) and Amsterdam (Netherlands) to obtain parameter estimates. Six different model structures were identified, of which only those incorporating two latency compartments were capable of reproducing the activation dynamics empirically observed. We found important differences in parameter estimates by age. We also observed marked differences between our estimates and the parameter values used in many previous models. In particular, when two successive latency phases are considered, the first period should have a duration that is much shorter than that used in previous studies. In conclusion, structures incorporating two latency compartments and age-stratification should be employed to accurately replicate the dynamics of TB latency. We provide a catalogue of parameter values and an approach to parameter estimation from empiric data for calibration of future TB-models.","author":[{"dropping-particle":"","family":"Ragonnet","given":"Romain","non-dropping-particle":"","parse-names":false,"suffix":""},{"dropping-particle":"","family":"Trauer","given":"James M.","non-dropping-particle":"","parse-names":false,"suffix":""},{"dropping-particle":"","family":"Scott","given":"Nick","non-dropping-particle":"","parse-names":false,"suffix":""},{"dropping-particle":"","family":"Meehan","given":"Michael T.","non-dropping-particle":"","parse-names":false,"suffix":""},{"dropping-particle":"","family":"Denholm","given":"Justin T.","non-dropping-particle":"","parse-names":false,"suffix":""},{"dropping-particle":"","family":"McBryde","given":"Emma S.","non-dropping-particle":"","parse-names":false,"suffix":""}],"container-title":"Epidemics","id":"ITEM-1","issued":{"date-parts":[["2017"]]},"page":"39-47","title":"Optimally capturing latency dynamics in models of tuberculosis transmission","type":"article-journal","volume":"21"},"uris":["http://www.mendeley.com/documents/?uuid=9d5cd068-9ca5-386d-8b4d-adecb55a1979"]}],"mendeley":{"formattedCitation":"&lt;sup&gt;15&lt;/sup&gt;","plainTextFormattedCitation":"15","previouslyFormattedCitation":"&lt;sup&gt;15&lt;/sup&gt;"},"properties":{"noteIndex":0},"schema":"https://github.com/citation-style-language/schema/raw/master/csl-citation.json"}</w:instrText>
      </w:r>
      <w:r>
        <w:fldChar w:fldCharType="separate"/>
      </w:r>
      <w:r w:rsidRPr="009027E2">
        <w:rPr>
          <w:noProof/>
          <w:vertAlign w:val="superscript"/>
        </w:rPr>
        <w:t>15</w:t>
      </w:r>
      <w:r>
        <w:fldChar w:fldCharType="end"/>
      </w:r>
    </w:p>
    <w:p w:rsidR="00361175" w:rsidRDefault="009027E2" w:rsidP="009027E2">
      <w:pPr>
        <w:pStyle w:val="ListParagraph"/>
        <w:numPr>
          <w:ilvl w:val="0"/>
          <w:numId w:val="14"/>
        </w:numPr>
      </w:pPr>
      <w:r>
        <w:t>Defining pro</w:t>
      </w:r>
      <w:r w:rsidR="00361175">
        <w:t>files of reactivation project</w:t>
      </w:r>
    </w:p>
    <w:p w:rsidR="009027E2" w:rsidRDefault="00361175" w:rsidP="00361175">
      <w:pPr>
        <w:pStyle w:val="ListParagraph"/>
        <w:numPr>
          <w:ilvl w:val="1"/>
          <w:numId w:val="14"/>
        </w:numPr>
      </w:pPr>
      <w:r>
        <w:t>A</w:t>
      </w:r>
      <w:r w:rsidR="009027E2">
        <w:t>iming to distinguish characteristic reactivation profiles by risk group</w:t>
      </w:r>
    </w:p>
    <w:p w:rsidR="00361175" w:rsidRDefault="00361175" w:rsidP="00361175">
      <w:pPr>
        <w:pStyle w:val="ListParagraph"/>
        <w:numPr>
          <w:ilvl w:val="1"/>
          <w:numId w:val="14"/>
        </w:numPr>
      </w:pPr>
      <w:r>
        <w:t>Using similar methodologies to those established in Moyo et al and Trauer et al above</w:t>
      </w:r>
    </w:p>
    <w:p w:rsidR="009027E2" w:rsidRDefault="009027E2" w:rsidP="009027E2">
      <w:pPr>
        <w:pStyle w:val="ListParagraph"/>
        <w:numPr>
          <w:ilvl w:val="1"/>
          <w:numId w:val="14"/>
        </w:numPr>
      </w:pPr>
      <w:r>
        <w:t>Melsew et al. – approaching completion</w:t>
      </w:r>
    </w:p>
    <w:p w:rsidR="000370F9" w:rsidRDefault="000370F9" w:rsidP="000370F9">
      <w:pPr>
        <w:pStyle w:val="ListParagraph"/>
        <w:numPr>
          <w:ilvl w:val="0"/>
          <w:numId w:val="14"/>
        </w:numPr>
      </w:pPr>
      <w:r>
        <w:t xml:space="preserve">Correspondence highlighting the need for studies </w:t>
      </w:r>
      <w:r w:rsidR="00E750D1">
        <w:t xml:space="preserve">such as those described above in section </w:t>
      </w:r>
      <w:r w:rsidR="00E750D1">
        <w:fldChar w:fldCharType="begin"/>
      </w:r>
      <w:r w:rsidR="00E750D1">
        <w:instrText xml:space="preserve"> REF _Ref528765472 \r \h </w:instrText>
      </w:r>
      <w:r w:rsidR="00E750D1">
        <w:fldChar w:fldCharType="separate"/>
      </w:r>
      <w:r w:rsidR="00E750D1">
        <w:t>2.2</w:t>
      </w:r>
      <w:r w:rsidR="00E750D1">
        <w:fldChar w:fldCharType="end"/>
      </w:r>
      <w:r w:rsidR="00E750D1">
        <w:t xml:space="preserve"> </w:t>
      </w:r>
      <w:r>
        <w:t>published in response to review</w:t>
      </w:r>
      <w:r w:rsidR="00E750D1">
        <w:fldChar w:fldCharType="begin" w:fldLock="1"/>
      </w:r>
      <w:r w:rsidR="00E750D1">
        <w:instrText>ADDIN CSL_CITATION {"citationItems":[{"id":"ITEM-1","itemData":{"DOI":"10.1016/S1473-3099(18)30134-8","ISSN":"1474-4457","PMID":"29653698","abstract":"Mathematical modelling is commonly used to evaluate infectious disease control policy and is influential in shaping policy and budgets. Mathematical models necessarily make assumptions about disease natural history and, if these assumptions are not valid, the results of these studies can be biased. We did a systematic review of published tuberculosis transmission models to assess the validity of assumptions about progression to active disease after initial infection (PROSPERO ID CRD42016030009). We searched PubMed, Web of Science, Embase, Biosis, and Cochrane Library, and included studies from the earliest available date (Jan 1, 1962) to Aug 31, 2017. We identified 312 studies that met inclusion criteria. Predicted tuberculosis incidence varied widely across studies for each risk factor investigated. For population groups with no individual risk factors, annual incidence varied by several orders of magnitude, and 20-year cumulative incidence ranged from close to 0% to 100%. A substantial proportion of modelled results were inconsistent with empirical evidence: for 10-year cumulative incidence, 40% of modelled results were more than double or less than half the empirical estimates. These results demonstrate substantial disagreement between modelling studies on a central feature of tuberculosis natural history. Greater attention to reproducing known features of epidemiology would strengthen future tuberculosis modelling studies, and readers of modelling studies are recommended to assess how well those studies demonstrate their validity.","author":[{"dropping-particle":"","family":"Menzies","given":"Nicolas A","non-dropping-particle":"","parse-names":false,"suffix":""},{"dropping-particle":"","family":"Wolf","given":"Emory","non-dropping-particle":"","parse-names":false,"suffix":""},{"dropping-particle":"","family":"Connors","given":"David","non-dropping-particle":"","parse-names":false,"suffix":""},{"dropping-particle":"","family":"Bellerose","given":"Meghan","non-dropping-particle":"","parse-names":false,"suffix":""},{"dropping-particle":"","family":"Sbarra","given":"Alyssa N","non-dropping-particle":"","parse-names":false,"suffix":""},{"dropping-particle":"","family":"Cohen","given":"Ted","non-dropping-particle":"","parse-names":false,"suffix":""},{"dropping-particle":"","family":"Hill","given":"Andrew N","non-dropping-particle":"","parse-names":false,"suffix":""},{"dropping-particle":"","family":"Yaesoubi","given":"Reza","non-dropping-particle":"","parse-names":false,"suffix":""},{"dropping-particle":"","family":"Galer","given":"Kara","non-dropping-particle":"","parse-names":false,"suffix":""},{"dropping-particle":"","family":"White","given":"Peter J","non-dropping-particle":"","parse-names":false,"suffix":""},{"dropping-particle":"","family":"Abubakar","given":"Ibrahim","non-dropping-particle":"","parse-names":false,"suffix":""},{"dropping-particle":"","family":"Salomon","given":"Joshua A","non-dropping-particle":"","parse-names":false,"suffix":""}],"container-title":"The Lancet. Infectious diseases","id":"ITEM-1","issue":"0","issued":{"date-parts":[["2018","4","10"]]},"publisher":"Elsevier","title":"Progression from latent infection to active disease in dynamic tuberculosis transmission models: a systematic review of the validity of modelling assumptions.","type":"article-journal","volume":"0"},"uris":["http://www.mendeley.com/documents/?uuid=60e56fd9-daea-37d0-88bb-4c637b019a4a"]}],"mendeley":{"formattedCitation":"&lt;sup&gt;16&lt;/sup&gt;","plainTextFormattedCitation":"16","previouslyFormattedCitation":"&lt;sup&gt;16&lt;/sup&gt;"},"properties":{"noteIndex":0},"schema":"https://github.com/citation-style-language/schema/raw/master/csl-citation.json"}</w:instrText>
      </w:r>
      <w:r w:rsidR="00E750D1">
        <w:fldChar w:fldCharType="separate"/>
      </w:r>
      <w:r w:rsidR="00E750D1" w:rsidRPr="00E750D1">
        <w:rPr>
          <w:noProof/>
          <w:vertAlign w:val="superscript"/>
        </w:rPr>
        <w:t>16</w:t>
      </w:r>
      <w:r w:rsidR="00E750D1">
        <w:fldChar w:fldCharType="end"/>
      </w:r>
      <w:r>
        <w:t xml:space="preserve"> of current approaches to modelling </w:t>
      </w:r>
      <w:r w:rsidR="00E750D1">
        <w:t>latency structures</w:t>
      </w:r>
    </w:p>
    <w:p w:rsidR="00E750D1" w:rsidRDefault="00E750D1" w:rsidP="00E750D1">
      <w:pPr>
        <w:pStyle w:val="ListParagraph"/>
        <w:numPr>
          <w:ilvl w:val="1"/>
          <w:numId w:val="14"/>
        </w:numPr>
      </w:pPr>
      <w:r>
        <w:t>Trauer et al.</w:t>
      </w:r>
      <w:r>
        <w:fldChar w:fldCharType="begin" w:fldLock="1"/>
      </w:r>
      <w:r>
        <w:instrText>ADDIN CSL_CITATION {"citationItems":[{"id":"ITEM-1","itemData":{"DOI":"10.1016/S1473-3099(18)30339-6","ISSN":"1474-4457","PMID":"29976525","author":[{"dropping-particle":"","family":"Trauer","given":"James M","non-dropping-particle":"","parse-names":false,"suffix":""},{"dropping-particle":"","family":"Ragonnet","given":"Romain","non-dropping-particle":"","parse-names":false,"suffix":""},{"dropping-particle":"","family":"McBryde","given":"Emma S","non-dropping-particle":"","parse-names":false,"suffix":""}],"container-title":"The Lancet. Infectious diseases","id":"ITEM-1","issue":"7","issued":{"date-parts":[["2018","7","1"]]},"page":"720-721","publisher":"Elsevier","title":"Appropriate comparisons of tuberculosis latency structures with empiric data.","type":"article-journal","volume":"18"},"uris":["http://www.mendeley.com/documents/?uuid=fa7fe88e-500c-3efe-85f2-c60133bd9c75"]}],"mendeley":{"formattedCitation":"&lt;sup&gt;17&lt;/sup&gt;","plainTextFormattedCitation":"17"},"properties":{"noteIndex":0},"schema":"https://github.com/citation-style-language/schema/raw/master/csl-citation.json"}</w:instrText>
      </w:r>
      <w:r>
        <w:fldChar w:fldCharType="separate"/>
      </w:r>
      <w:r w:rsidRPr="00E750D1">
        <w:rPr>
          <w:noProof/>
          <w:vertAlign w:val="superscript"/>
        </w:rPr>
        <w:t>17</w:t>
      </w:r>
      <w:r>
        <w:fldChar w:fldCharType="end"/>
      </w:r>
    </w:p>
    <w:p w:rsidR="009027E2" w:rsidRDefault="009027E2" w:rsidP="009027E2">
      <w:pPr>
        <w:pStyle w:val="ListParagraph"/>
        <w:numPr>
          <w:ilvl w:val="0"/>
          <w:numId w:val="14"/>
        </w:numPr>
      </w:pPr>
      <w:r>
        <w:t>Systematic review of studies estimating rates of late reactivation</w:t>
      </w:r>
    </w:p>
    <w:p w:rsidR="009027E2" w:rsidRDefault="009027E2" w:rsidP="009027E2">
      <w:pPr>
        <w:pStyle w:val="ListParagraph"/>
        <w:numPr>
          <w:ilvl w:val="1"/>
          <w:numId w:val="14"/>
        </w:numPr>
      </w:pPr>
      <w:r>
        <w:t>Dale et al. – approaching completion</w:t>
      </w:r>
    </w:p>
    <w:p w:rsidR="009027E2" w:rsidRDefault="009027E2" w:rsidP="009027E2">
      <w:pPr>
        <w:pStyle w:val="Heading2"/>
        <w:numPr>
          <w:ilvl w:val="0"/>
          <w:numId w:val="9"/>
        </w:numPr>
      </w:pPr>
      <w:r>
        <w:t>Proposed methodology</w:t>
      </w:r>
    </w:p>
    <w:p w:rsidR="009027E2" w:rsidRPr="009027E2" w:rsidRDefault="009027E2" w:rsidP="009027E2">
      <w:pPr>
        <w:pStyle w:val="Heading3"/>
        <w:numPr>
          <w:ilvl w:val="1"/>
          <w:numId w:val="9"/>
        </w:numPr>
      </w:pPr>
      <w:r>
        <w:t>General approach</w:t>
      </w:r>
    </w:p>
    <w:p w:rsidR="009027E2" w:rsidRDefault="009027E2" w:rsidP="009027E2">
      <w:r>
        <w:t xml:space="preserve">We propose to collate individual-level data on rates of reactivation from infection with </w:t>
      </w:r>
      <w:r>
        <w:rPr>
          <w:i/>
        </w:rPr>
        <w:t>Mtb</w:t>
      </w:r>
      <w:r>
        <w:t xml:space="preserve"> (i.e. new LTBI) to active TB from multiple jurisdictions. The exact approach remains to be defined and this document is intended to stimulate discussion as to the optimal approach to achieving this.</w:t>
      </w:r>
    </w:p>
    <w:p w:rsidR="009027E2" w:rsidRDefault="009027E2" w:rsidP="009027E2">
      <w:pPr>
        <w:pStyle w:val="Heading3"/>
        <w:numPr>
          <w:ilvl w:val="1"/>
          <w:numId w:val="9"/>
        </w:numPr>
      </w:pPr>
      <w:r>
        <w:t>Involvement of multiple jurisdictions</w:t>
      </w:r>
    </w:p>
    <w:p w:rsidR="009027E2" w:rsidRPr="009027E2" w:rsidRDefault="009027E2" w:rsidP="009027E2">
      <w:r>
        <w:t xml:space="preserve">Contributing data from multiple jurisdictions is anticipated to improve the accuracy of our estimates, enabling progressively </w:t>
      </w:r>
      <w:r w:rsidR="00031B1A">
        <w:t>more precise estimates to be obtained. Further, this will enable sufficiently precise estimates to be provided for progressively m</w:t>
      </w:r>
      <w:r w:rsidR="00361175">
        <w:t>ore specific risk groups.</w:t>
      </w:r>
    </w:p>
    <w:p w:rsidR="009027E2" w:rsidRDefault="009027E2" w:rsidP="009027E2">
      <w:pPr>
        <w:pStyle w:val="Heading3"/>
        <w:numPr>
          <w:ilvl w:val="1"/>
          <w:numId w:val="9"/>
        </w:numPr>
      </w:pPr>
      <w:r>
        <w:t>Embedding the approach in routine public health response</w:t>
      </w:r>
    </w:p>
    <w:p w:rsidR="00031B1A" w:rsidRDefault="00031B1A" w:rsidP="00031B1A">
      <w:r>
        <w:t xml:space="preserve">For jurisdictions for which LTBI is a notifiable condition in contacts (e.g. the Netherlands) or for jurisdictions for which this is the case </w:t>
      </w:r>
      <w:r w:rsidRPr="00031B1A">
        <w:rPr>
          <w:i/>
        </w:rPr>
        <w:t>de facto</w:t>
      </w:r>
      <w:r>
        <w:t xml:space="preserve"> (e.g. Victoria), we propose regular data extractions from surveillance systems to update estimates. Ultimately, this could even be done as part of routine public health practice, creating a living tool for quantifying TB reactivation risk in contacts. We are currently working towards this in Victoria.</w:t>
      </w:r>
    </w:p>
    <w:p w:rsidR="00031B1A" w:rsidRDefault="00031B1A" w:rsidP="00031B1A">
      <w:pPr>
        <w:pStyle w:val="Heading3"/>
        <w:numPr>
          <w:ilvl w:val="1"/>
          <w:numId w:val="9"/>
        </w:numPr>
      </w:pPr>
      <w:r>
        <w:t>Standardising data collection</w:t>
      </w:r>
    </w:p>
    <w:p w:rsidR="00031B1A" w:rsidRDefault="00031B1A" w:rsidP="00031B1A">
      <w:r>
        <w:t xml:space="preserve">We propose a standardised set of individual-level data be centrally collated, consisting of the minimum data required for survival analysis. Required </w:t>
      </w:r>
      <w:r w:rsidR="0060099D">
        <w:t xml:space="preserve">minimum </w:t>
      </w:r>
      <w:r>
        <w:t xml:space="preserve">data fields would </w:t>
      </w:r>
      <w:r w:rsidR="0060099D">
        <w:t xml:space="preserve">likely </w:t>
      </w:r>
      <w:r>
        <w:t>include</w:t>
      </w:r>
      <w:r w:rsidR="0060099D">
        <w:t>:</w:t>
      </w:r>
    </w:p>
    <w:p w:rsidR="00031B1A" w:rsidRDefault="00031B1A" w:rsidP="00031B1A">
      <w:pPr>
        <w:pStyle w:val="ListParagraph"/>
        <w:numPr>
          <w:ilvl w:val="0"/>
          <w:numId w:val="20"/>
        </w:numPr>
      </w:pPr>
      <w:r>
        <w:lastRenderedPageBreak/>
        <w:t>Age in whole years</w:t>
      </w:r>
    </w:p>
    <w:p w:rsidR="0060099D" w:rsidRDefault="0060099D" w:rsidP="0060099D">
      <w:pPr>
        <w:pStyle w:val="ListParagraph"/>
        <w:numPr>
          <w:ilvl w:val="0"/>
          <w:numId w:val="20"/>
        </w:numPr>
      </w:pPr>
      <w:r>
        <w:t>Serial interval from index case diagnosis to reactivation (or dates of each)</w:t>
      </w:r>
    </w:p>
    <w:p w:rsidR="00031B1A" w:rsidRDefault="0060099D" w:rsidP="00031B1A">
      <w:pPr>
        <w:pStyle w:val="ListParagraph"/>
        <w:numPr>
          <w:ilvl w:val="0"/>
          <w:numId w:val="20"/>
        </w:numPr>
      </w:pPr>
      <w:r>
        <w:t>TST result in millimetres</w:t>
      </w:r>
      <w:r w:rsidR="00031B1A">
        <w:t xml:space="preserve"> </w:t>
      </w:r>
    </w:p>
    <w:p w:rsidR="0060099D" w:rsidRPr="00512225" w:rsidRDefault="0060099D" w:rsidP="0060099D">
      <w:pPr>
        <w:pStyle w:val="ListParagraph"/>
        <w:ind w:left="1440"/>
        <w:rPr>
          <w:i/>
        </w:rPr>
      </w:pPr>
      <w:r w:rsidRPr="00512225">
        <w:rPr>
          <w:i/>
        </w:rPr>
        <w:t>or</w:t>
      </w:r>
    </w:p>
    <w:p w:rsidR="00031B1A" w:rsidRDefault="00031B1A" w:rsidP="00031B1A">
      <w:pPr>
        <w:pStyle w:val="ListParagraph"/>
        <w:numPr>
          <w:ilvl w:val="0"/>
          <w:numId w:val="20"/>
        </w:numPr>
      </w:pPr>
      <w:r>
        <w:t>IGRA response value (QuantiFERON or T-SPOT</w:t>
      </w:r>
      <w:r w:rsidR="0060099D">
        <w:t>)</w:t>
      </w:r>
    </w:p>
    <w:p w:rsidR="0060099D" w:rsidRDefault="0060099D" w:rsidP="0060099D">
      <w:r>
        <w:t>Desirable data fields may also include</w:t>
      </w:r>
    </w:p>
    <w:p w:rsidR="0060099D" w:rsidRDefault="0060099D" w:rsidP="0060099D">
      <w:pPr>
        <w:pStyle w:val="ListParagraph"/>
        <w:numPr>
          <w:ilvl w:val="0"/>
          <w:numId w:val="20"/>
        </w:numPr>
      </w:pPr>
      <w:r>
        <w:t>BCG vaccination status</w:t>
      </w:r>
    </w:p>
    <w:p w:rsidR="00193868" w:rsidRDefault="0060099D" w:rsidP="00193868">
      <w:pPr>
        <w:pStyle w:val="ListParagraph"/>
        <w:numPr>
          <w:ilvl w:val="0"/>
          <w:numId w:val="20"/>
        </w:numPr>
      </w:pPr>
      <w:r>
        <w:t>Index case smear status</w:t>
      </w:r>
      <w:r w:rsidR="00193868">
        <w:t xml:space="preserve"> and index case age</w:t>
      </w:r>
    </w:p>
    <w:p w:rsidR="00991027" w:rsidRDefault="00991027" w:rsidP="00193868">
      <w:pPr>
        <w:pStyle w:val="ListParagraph"/>
        <w:numPr>
          <w:ilvl w:val="0"/>
          <w:numId w:val="20"/>
        </w:numPr>
      </w:pPr>
      <w:r>
        <w:t>Duration of contact with index (where available)</w:t>
      </w:r>
      <w:bookmarkStart w:id="1" w:name="_GoBack"/>
      <w:bookmarkEnd w:id="1"/>
      <w:r>
        <w:t xml:space="preserve"> </w:t>
      </w:r>
    </w:p>
    <w:p w:rsidR="00031B1A" w:rsidRDefault="00031B1A" w:rsidP="00031B1A">
      <w:pPr>
        <w:pStyle w:val="ListParagraph"/>
        <w:numPr>
          <w:ilvl w:val="0"/>
          <w:numId w:val="20"/>
        </w:numPr>
      </w:pPr>
      <w:r>
        <w:t>Contact comorbidities associated with TB reactivation (where available, e.g. diabetes, HIV)</w:t>
      </w:r>
    </w:p>
    <w:p w:rsidR="00512225" w:rsidRDefault="00512225" w:rsidP="00031B1A">
      <w:pPr>
        <w:pStyle w:val="ListParagraph"/>
        <w:numPr>
          <w:ilvl w:val="0"/>
          <w:numId w:val="20"/>
        </w:numPr>
      </w:pPr>
      <w:r>
        <w:t>Preventive therapy started (categorical with levels likely including: did not commence, commenced and completed, commenced but did not complete, uncertain)</w:t>
      </w:r>
    </w:p>
    <w:p w:rsidR="00512225" w:rsidRDefault="00512225" w:rsidP="00031B1A">
      <w:pPr>
        <w:pStyle w:val="ListParagraph"/>
        <w:numPr>
          <w:ilvl w:val="0"/>
          <w:numId w:val="20"/>
        </w:numPr>
      </w:pPr>
      <w:r>
        <w:t>Genomic linkage between index case and contact reactivation</w:t>
      </w:r>
    </w:p>
    <w:p w:rsidR="00031B1A" w:rsidRDefault="00031B1A" w:rsidP="00031B1A">
      <w:pPr>
        <w:pStyle w:val="Heading3"/>
        <w:numPr>
          <w:ilvl w:val="1"/>
          <w:numId w:val="9"/>
        </w:numPr>
      </w:pPr>
      <w:r>
        <w:t>Data curation and ethics</w:t>
      </w:r>
    </w:p>
    <w:p w:rsidR="00031B1A" w:rsidRPr="00031B1A" w:rsidRDefault="00031B1A" w:rsidP="00031B1A">
      <w:r>
        <w:t xml:space="preserve">This is one of the key issues for future discussion. Ethics committee approval for centralised data management will likely be sought. However, </w:t>
      </w:r>
      <w:r w:rsidR="001B6D52">
        <w:t xml:space="preserve">we are first seeking to engage with collaborators, including those listed above. Moreover, </w:t>
      </w:r>
      <w:r>
        <w:t>for this to become an ongoing process, the data collection could rather be seen as a public good registry. Monash University’s School of Public Health and Preventive Medicine is a world-leader in registry science and could support this process.</w:t>
      </w:r>
      <w:r w:rsidR="00C86B28">
        <w:t xml:space="preserve"> The University of Melbourne’s Peter Doherty Institute has the advantage of already storing local surveillance data, as does KNCV. </w:t>
      </w:r>
    </w:p>
    <w:p w:rsidR="00225FFD" w:rsidRDefault="00374457" w:rsidP="00874016">
      <w:pPr>
        <w:pStyle w:val="Heading2"/>
        <w:numPr>
          <w:ilvl w:val="0"/>
          <w:numId w:val="9"/>
        </w:numPr>
      </w:pPr>
      <w:r>
        <w:t>References</w:t>
      </w:r>
    </w:p>
    <w:p w:rsidR="00E750D1" w:rsidRPr="00E750D1" w:rsidRDefault="00225FFD" w:rsidP="00E750D1">
      <w:pPr>
        <w:widowControl w:val="0"/>
        <w:autoSpaceDE w:val="0"/>
        <w:autoSpaceDN w:val="0"/>
        <w:adjustRightInd w:val="0"/>
        <w:spacing w:line="24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00E750D1" w:rsidRPr="00E750D1">
        <w:rPr>
          <w:rFonts w:ascii="Calibri" w:hAnsi="Calibri" w:cs="Times New Roman"/>
          <w:noProof/>
          <w:szCs w:val="24"/>
        </w:rPr>
        <w:t>1</w:t>
      </w:r>
      <w:r w:rsidR="00E750D1" w:rsidRPr="00E750D1">
        <w:rPr>
          <w:rFonts w:ascii="Calibri" w:hAnsi="Calibri" w:cs="Times New Roman"/>
          <w:noProof/>
          <w:szCs w:val="24"/>
        </w:rPr>
        <w:tab/>
        <w:t>World Health Organization. Global Tuberculosis Report 2017. 2017.</w:t>
      </w:r>
    </w:p>
    <w:p w:rsidR="00E750D1" w:rsidRPr="00E750D1" w:rsidRDefault="00E750D1" w:rsidP="00E750D1">
      <w:pPr>
        <w:widowControl w:val="0"/>
        <w:autoSpaceDE w:val="0"/>
        <w:autoSpaceDN w:val="0"/>
        <w:adjustRightInd w:val="0"/>
        <w:spacing w:line="240" w:lineRule="auto"/>
        <w:ind w:left="640" w:hanging="640"/>
        <w:rPr>
          <w:rFonts w:ascii="Calibri" w:hAnsi="Calibri" w:cs="Times New Roman"/>
          <w:noProof/>
          <w:szCs w:val="24"/>
        </w:rPr>
      </w:pPr>
      <w:r w:rsidRPr="00E750D1">
        <w:rPr>
          <w:rFonts w:ascii="Calibri" w:hAnsi="Calibri" w:cs="Times New Roman"/>
          <w:noProof/>
          <w:szCs w:val="24"/>
        </w:rPr>
        <w:t>2</w:t>
      </w:r>
      <w:r w:rsidRPr="00E750D1">
        <w:rPr>
          <w:rFonts w:ascii="Calibri" w:hAnsi="Calibri" w:cs="Times New Roman"/>
          <w:noProof/>
          <w:szCs w:val="24"/>
        </w:rPr>
        <w:tab/>
        <w:t xml:space="preserve">Houben RM, Dodd PJ. The Global Burden of Latent Tuberculosis Infection: A Re-estimation Using Mathematical Modelling. </w:t>
      </w:r>
      <w:r w:rsidRPr="00E750D1">
        <w:rPr>
          <w:rFonts w:ascii="Calibri" w:hAnsi="Calibri" w:cs="Times New Roman"/>
          <w:i/>
          <w:iCs/>
          <w:noProof/>
          <w:szCs w:val="24"/>
        </w:rPr>
        <w:t>PLoS Med</w:t>
      </w:r>
      <w:r w:rsidRPr="00E750D1">
        <w:rPr>
          <w:rFonts w:ascii="Calibri" w:hAnsi="Calibri" w:cs="Times New Roman"/>
          <w:noProof/>
          <w:szCs w:val="24"/>
        </w:rPr>
        <w:t xml:space="preserve"> 2016; </w:t>
      </w:r>
      <w:r w:rsidRPr="00E750D1">
        <w:rPr>
          <w:rFonts w:ascii="Calibri" w:hAnsi="Calibri" w:cs="Times New Roman"/>
          <w:b/>
          <w:bCs/>
          <w:noProof/>
          <w:szCs w:val="24"/>
        </w:rPr>
        <w:t>13</w:t>
      </w:r>
      <w:r w:rsidRPr="00E750D1">
        <w:rPr>
          <w:rFonts w:ascii="Calibri" w:hAnsi="Calibri" w:cs="Times New Roman"/>
          <w:noProof/>
          <w:szCs w:val="24"/>
        </w:rPr>
        <w:t>: e1002152.</w:t>
      </w:r>
    </w:p>
    <w:p w:rsidR="00E750D1" w:rsidRPr="00E750D1" w:rsidRDefault="00E750D1" w:rsidP="00E750D1">
      <w:pPr>
        <w:widowControl w:val="0"/>
        <w:autoSpaceDE w:val="0"/>
        <w:autoSpaceDN w:val="0"/>
        <w:adjustRightInd w:val="0"/>
        <w:spacing w:line="240" w:lineRule="auto"/>
        <w:ind w:left="640" w:hanging="640"/>
        <w:rPr>
          <w:rFonts w:ascii="Calibri" w:hAnsi="Calibri" w:cs="Times New Roman"/>
          <w:noProof/>
          <w:szCs w:val="24"/>
        </w:rPr>
      </w:pPr>
      <w:r w:rsidRPr="00E750D1">
        <w:rPr>
          <w:rFonts w:ascii="Calibri" w:hAnsi="Calibri" w:cs="Times New Roman"/>
          <w:noProof/>
          <w:szCs w:val="24"/>
        </w:rPr>
        <w:t>3</w:t>
      </w:r>
      <w:r w:rsidRPr="00E750D1">
        <w:rPr>
          <w:rFonts w:ascii="Calibri" w:hAnsi="Calibri" w:cs="Times New Roman"/>
          <w:noProof/>
          <w:szCs w:val="24"/>
        </w:rPr>
        <w:tab/>
        <w:t xml:space="preserve">B.C.G. and vole bacillus vaccines in the prevention of tuberculosis in adolescents; first (progress) report to the Medical Research Council by their Tuberculosis Vaccines Clinical Trials Committee. </w:t>
      </w:r>
      <w:r w:rsidRPr="00E750D1">
        <w:rPr>
          <w:rFonts w:ascii="Calibri" w:hAnsi="Calibri" w:cs="Times New Roman"/>
          <w:i/>
          <w:iCs/>
          <w:noProof/>
          <w:szCs w:val="24"/>
        </w:rPr>
        <w:t>Br Med J</w:t>
      </w:r>
      <w:r w:rsidRPr="00E750D1">
        <w:rPr>
          <w:rFonts w:ascii="Calibri" w:hAnsi="Calibri" w:cs="Times New Roman"/>
          <w:noProof/>
          <w:szCs w:val="24"/>
        </w:rPr>
        <w:t xml:space="preserve"> 1956; </w:t>
      </w:r>
      <w:r w:rsidRPr="00E750D1">
        <w:rPr>
          <w:rFonts w:ascii="Calibri" w:hAnsi="Calibri" w:cs="Times New Roman"/>
          <w:b/>
          <w:bCs/>
          <w:noProof/>
          <w:szCs w:val="24"/>
        </w:rPr>
        <w:t>1</w:t>
      </w:r>
      <w:r w:rsidRPr="00E750D1">
        <w:rPr>
          <w:rFonts w:ascii="Calibri" w:hAnsi="Calibri" w:cs="Times New Roman"/>
          <w:noProof/>
          <w:szCs w:val="24"/>
        </w:rPr>
        <w:t>: 413–27.</w:t>
      </w:r>
    </w:p>
    <w:p w:rsidR="00E750D1" w:rsidRPr="00E750D1" w:rsidRDefault="00E750D1" w:rsidP="00E750D1">
      <w:pPr>
        <w:widowControl w:val="0"/>
        <w:autoSpaceDE w:val="0"/>
        <w:autoSpaceDN w:val="0"/>
        <w:adjustRightInd w:val="0"/>
        <w:spacing w:line="240" w:lineRule="auto"/>
        <w:ind w:left="640" w:hanging="640"/>
        <w:rPr>
          <w:rFonts w:ascii="Calibri" w:hAnsi="Calibri" w:cs="Times New Roman"/>
          <w:noProof/>
          <w:szCs w:val="24"/>
        </w:rPr>
      </w:pPr>
      <w:r w:rsidRPr="00E750D1">
        <w:rPr>
          <w:rFonts w:ascii="Calibri" w:hAnsi="Calibri" w:cs="Times New Roman"/>
          <w:noProof/>
          <w:szCs w:val="24"/>
        </w:rPr>
        <w:t>4</w:t>
      </w:r>
      <w:r w:rsidRPr="00E750D1">
        <w:rPr>
          <w:rFonts w:ascii="Calibri" w:hAnsi="Calibri" w:cs="Times New Roman"/>
          <w:noProof/>
          <w:szCs w:val="24"/>
        </w:rPr>
        <w:tab/>
        <w:t xml:space="preserve">Ferebee SH, Mount FW. Tuberculosis morbidity in a controlled trial of the prophylactic use of isoniazid among household contacts. </w:t>
      </w:r>
      <w:r w:rsidRPr="00E750D1">
        <w:rPr>
          <w:rFonts w:ascii="Calibri" w:hAnsi="Calibri" w:cs="Times New Roman"/>
          <w:i/>
          <w:iCs/>
          <w:noProof/>
          <w:szCs w:val="24"/>
        </w:rPr>
        <w:t>Am Rev Respir Dis</w:t>
      </w:r>
      <w:r w:rsidRPr="00E750D1">
        <w:rPr>
          <w:rFonts w:ascii="Calibri" w:hAnsi="Calibri" w:cs="Times New Roman"/>
          <w:noProof/>
          <w:szCs w:val="24"/>
        </w:rPr>
        <w:t xml:space="preserve"> 1962; </w:t>
      </w:r>
      <w:r w:rsidRPr="00E750D1">
        <w:rPr>
          <w:rFonts w:ascii="Calibri" w:hAnsi="Calibri" w:cs="Times New Roman"/>
          <w:b/>
          <w:bCs/>
          <w:noProof/>
          <w:szCs w:val="24"/>
        </w:rPr>
        <w:t>85</w:t>
      </w:r>
      <w:r w:rsidRPr="00E750D1">
        <w:rPr>
          <w:rFonts w:ascii="Calibri" w:hAnsi="Calibri" w:cs="Times New Roman"/>
          <w:noProof/>
          <w:szCs w:val="24"/>
        </w:rPr>
        <w:t>: 490–510.</w:t>
      </w:r>
    </w:p>
    <w:p w:rsidR="00E750D1" w:rsidRPr="00E750D1" w:rsidRDefault="00E750D1" w:rsidP="00E750D1">
      <w:pPr>
        <w:widowControl w:val="0"/>
        <w:autoSpaceDE w:val="0"/>
        <w:autoSpaceDN w:val="0"/>
        <w:adjustRightInd w:val="0"/>
        <w:spacing w:line="240" w:lineRule="auto"/>
        <w:ind w:left="640" w:hanging="640"/>
        <w:rPr>
          <w:rFonts w:ascii="Calibri" w:hAnsi="Calibri" w:cs="Times New Roman"/>
          <w:noProof/>
          <w:szCs w:val="24"/>
        </w:rPr>
      </w:pPr>
      <w:r w:rsidRPr="00E750D1">
        <w:rPr>
          <w:rFonts w:ascii="Calibri" w:hAnsi="Calibri" w:cs="Times New Roman"/>
          <w:noProof/>
          <w:szCs w:val="24"/>
        </w:rPr>
        <w:t>5</w:t>
      </w:r>
      <w:r w:rsidRPr="00E750D1">
        <w:rPr>
          <w:rFonts w:ascii="Calibri" w:hAnsi="Calibri" w:cs="Times New Roman"/>
          <w:noProof/>
          <w:szCs w:val="24"/>
        </w:rPr>
        <w:tab/>
        <w:t xml:space="preserve">Ferebee SH. Controlled chemoprophylaxis trials in tuberculosis. A general review. </w:t>
      </w:r>
      <w:r w:rsidRPr="00E750D1">
        <w:rPr>
          <w:rFonts w:ascii="Calibri" w:hAnsi="Calibri" w:cs="Times New Roman"/>
          <w:i/>
          <w:iCs/>
          <w:noProof/>
          <w:szCs w:val="24"/>
        </w:rPr>
        <w:t>Bibl Tuberc</w:t>
      </w:r>
      <w:r w:rsidRPr="00E750D1">
        <w:rPr>
          <w:rFonts w:ascii="Calibri" w:hAnsi="Calibri" w:cs="Times New Roman"/>
          <w:noProof/>
          <w:szCs w:val="24"/>
        </w:rPr>
        <w:t xml:space="preserve"> 1970; </w:t>
      </w:r>
      <w:r w:rsidRPr="00E750D1">
        <w:rPr>
          <w:rFonts w:ascii="Calibri" w:hAnsi="Calibri" w:cs="Times New Roman"/>
          <w:b/>
          <w:bCs/>
          <w:noProof/>
          <w:szCs w:val="24"/>
        </w:rPr>
        <w:t>26</w:t>
      </w:r>
      <w:r w:rsidRPr="00E750D1">
        <w:rPr>
          <w:rFonts w:ascii="Calibri" w:hAnsi="Calibri" w:cs="Times New Roman"/>
          <w:noProof/>
          <w:szCs w:val="24"/>
        </w:rPr>
        <w:t>: 28–106.</w:t>
      </w:r>
    </w:p>
    <w:p w:rsidR="00E750D1" w:rsidRPr="00E750D1" w:rsidRDefault="00E750D1" w:rsidP="00E750D1">
      <w:pPr>
        <w:widowControl w:val="0"/>
        <w:autoSpaceDE w:val="0"/>
        <w:autoSpaceDN w:val="0"/>
        <w:adjustRightInd w:val="0"/>
        <w:spacing w:line="240" w:lineRule="auto"/>
        <w:ind w:left="640" w:hanging="640"/>
        <w:rPr>
          <w:rFonts w:ascii="Calibri" w:hAnsi="Calibri" w:cs="Times New Roman"/>
          <w:noProof/>
          <w:szCs w:val="24"/>
        </w:rPr>
      </w:pPr>
      <w:r w:rsidRPr="00E750D1">
        <w:rPr>
          <w:rFonts w:ascii="Calibri" w:hAnsi="Calibri" w:cs="Times New Roman"/>
          <w:noProof/>
          <w:szCs w:val="24"/>
        </w:rPr>
        <w:t>6</w:t>
      </w:r>
      <w:r w:rsidRPr="00E750D1">
        <w:rPr>
          <w:rFonts w:ascii="Calibri" w:hAnsi="Calibri" w:cs="Times New Roman"/>
          <w:noProof/>
          <w:szCs w:val="24"/>
        </w:rPr>
        <w:tab/>
        <w:t xml:space="preserve">Medical Research Council. BCG and vole bacillus vaccines in the prevention of tuberculosis in adolescence and early adult life. </w:t>
      </w:r>
      <w:r w:rsidRPr="00E750D1">
        <w:rPr>
          <w:rFonts w:ascii="Calibri" w:hAnsi="Calibri" w:cs="Times New Roman"/>
          <w:i/>
          <w:iCs/>
          <w:noProof/>
          <w:szCs w:val="24"/>
        </w:rPr>
        <w:t>Bull World Heal Organ</w:t>
      </w:r>
      <w:r w:rsidRPr="00E750D1">
        <w:rPr>
          <w:rFonts w:ascii="Calibri" w:hAnsi="Calibri" w:cs="Times New Roman"/>
          <w:noProof/>
          <w:szCs w:val="24"/>
        </w:rPr>
        <w:t xml:space="preserve"> 1972; </w:t>
      </w:r>
      <w:r w:rsidRPr="00E750D1">
        <w:rPr>
          <w:rFonts w:ascii="Calibri" w:hAnsi="Calibri" w:cs="Times New Roman"/>
          <w:b/>
          <w:bCs/>
          <w:noProof/>
          <w:szCs w:val="24"/>
        </w:rPr>
        <w:t>46</w:t>
      </w:r>
      <w:r w:rsidRPr="00E750D1">
        <w:rPr>
          <w:rFonts w:ascii="Calibri" w:hAnsi="Calibri" w:cs="Times New Roman"/>
          <w:noProof/>
          <w:szCs w:val="24"/>
        </w:rPr>
        <w:t>: 371–85.</w:t>
      </w:r>
    </w:p>
    <w:p w:rsidR="00E750D1" w:rsidRPr="00E750D1" w:rsidRDefault="00E750D1" w:rsidP="00E750D1">
      <w:pPr>
        <w:widowControl w:val="0"/>
        <w:autoSpaceDE w:val="0"/>
        <w:autoSpaceDN w:val="0"/>
        <w:adjustRightInd w:val="0"/>
        <w:spacing w:line="240" w:lineRule="auto"/>
        <w:ind w:left="640" w:hanging="640"/>
        <w:rPr>
          <w:rFonts w:ascii="Calibri" w:hAnsi="Calibri" w:cs="Times New Roman"/>
          <w:noProof/>
          <w:szCs w:val="24"/>
        </w:rPr>
      </w:pPr>
      <w:r w:rsidRPr="00E750D1">
        <w:rPr>
          <w:rFonts w:ascii="Calibri" w:hAnsi="Calibri" w:cs="Times New Roman"/>
          <w:noProof/>
          <w:szCs w:val="24"/>
        </w:rPr>
        <w:t>7</w:t>
      </w:r>
      <w:r w:rsidRPr="00E750D1">
        <w:rPr>
          <w:rFonts w:ascii="Calibri" w:hAnsi="Calibri" w:cs="Times New Roman"/>
          <w:noProof/>
          <w:szCs w:val="24"/>
        </w:rPr>
        <w:tab/>
        <w:t xml:space="preserve">Mount FW, Ferebee SH. Preventive effects of isoniazid in the treatment of primary tuberculosis in children. </w:t>
      </w:r>
      <w:r w:rsidRPr="00E750D1">
        <w:rPr>
          <w:rFonts w:ascii="Calibri" w:hAnsi="Calibri" w:cs="Times New Roman"/>
          <w:i/>
          <w:iCs/>
          <w:noProof/>
          <w:szCs w:val="24"/>
        </w:rPr>
        <w:t>N Engl J Med</w:t>
      </w:r>
      <w:r w:rsidRPr="00E750D1">
        <w:rPr>
          <w:rFonts w:ascii="Calibri" w:hAnsi="Calibri" w:cs="Times New Roman"/>
          <w:noProof/>
          <w:szCs w:val="24"/>
        </w:rPr>
        <w:t xml:space="preserve"> 1961; </w:t>
      </w:r>
      <w:r w:rsidRPr="00E750D1">
        <w:rPr>
          <w:rFonts w:ascii="Calibri" w:hAnsi="Calibri" w:cs="Times New Roman"/>
          <w:b/>
          <w:bCs/>
          <w:noProof/>
          <w:szCs w:val="24"/>
        </w:rPr>
        <w:t>265</w:t>
      </w:r>
      <w:r w:rsidRPr="00E750D1">
        <w:rPr>
          <w:rFonts w:ascii="Calibri" w:hAnsi="Calibri" w:cs="Times New Roman"/>
          <w:noProof/>
          <w:szCs w:val="24"/>
        </w:rPr>
        <w:t>: 713–21.</w:t>
      </w:r>
    </w:p>
    <w:p w:rsidR="00E750D1" w:rsidRPr="00E750D1" w:rsidRDefault="00E750D1" w:rsidP="00E750D1">
      <w:pPr>
        <w:widowControl w:val="0"/>
        <w:autoSpaceDE w:val="0"/>
        <w:autoSpaceDN w:val="0"/>
        <w:adjustRightInd w:val="0"/>
        <w:spacing w:line="240" w:lineRule="auto"/>
        <w:ind w:left="640" w:hanging="640"/>
        <w:rPr>
          <w:rFonts w:ascii="Calibri" w:hAnsi="Calibri" w:cs="Times New Roman"/>
          <w:noProof/>
          <w:szCs w:val="24"/>
        </w:rPr>
      </w:pPr>
      <w:r w:rsidRPr="00E750D1">
        <w:rPr>
          <w:rFonts w:ascii="Calibri" w:hAnsi="Calibri" w:cs="Times New Roman"/>
          <w:noProof/>
          <w:szCs w:val="24"/>
        </w:rPr>
        <w:t>8</w:t>
      </w:r>
      <w:r w:rsidRPr="00E750D1">
        <w:rPr>
          <w:rFonts w:ascii="Calibri" w:hAnsi="Calibri" w:cs="Times New Roman"/>
          <w:noProof/>
          <w:szCs w:val="24"/>
        </w:rPr>
        <w:tab/>
        <w:t xml:space="preserve">Sloot R, Schim van der Loeff MF, Kouw PM, Borgdorff MW. Risk of Tuberculosis after Recent Exposure. A 10-Year Follow-up Study of Contacts in Amsterdam. </w:t>
      </w:r>
      <w:r w:rsidRPr="00E750D1">
        <w:rPr>
          <w:rFonts w:ascii="Calibri" w:hAnsi="Calibri" w:cs="Times New Roman"/>
          <w:i/>
          <w:iCs/>
          <w:noProof/>
          <w:szCs w:val="24"/>
        </w:rPr>
        <w:t>Am J Respir Crit Care Med</w:t>
      </w:r>
      <w:r w:rsidRPr="00E750D1">
        <w:rPr>
          <w:rFonts w:ascii="Calibri" w:hAnsi="Calibri" w:cs="Times New Roman"/>
          <w:noProof/>
          <w:szCs w:val="24"/>
        </w:rPr>
        <w:t xml:space="preserve"> 2014; </w:t>
      </w:r>
      <w:r w:rsidRPr="00E750D1">
        <w:rPr>
          <w:rFonts w:ascii="Calibri" w:hAnsi="Calibri" w:cs="Times New Roman"/>
          <w:b/>
          <w:bCs/>
          <w:noProof/>
          <w:szCs w:val="24"/>
        </w:rPr>
        <w:t>190</w:t>
      </w:r>
      <w:r w:rsidRPr="00E750D1">
        <w:rPr>
          <w:rFonts w:ascii="Calibri" w:hAnsi="Calibri" w:cs="Times New Roman"/>
          <w:noProof/>
          <w:szCs w:val="24"/>
        </w:rPr>
        <w:t>: 1044–52.</w:t>
      </w:r>
    </w:p>
    <w:p w:rsidR="00E750D1" w:rsidRPr="00E750D1" w:rsidRDefault="00E750D1" w:rsidP="00E750D1">
      <w:pPr>
        <w:widowControl w:val="0"/>
        <w:autoSpaceDE w:val="0"/>
        <w:autoSpaceDN w:val="0"/>
        <w:adjustRightInd w:val="0"/>
        <w:spacing w:line="240" w:lineRule="auto"/>
        <w:ind w:left="640" w:hanging="640"/>
        <w:rPr>
          <w:rFonts w:ascii="Calibri" w:hAnsi="Calibri" w:cs="Times New Roman"/>
          <w:noProof/>
          <w:szCs w:val="24"/>
        </w:rPr>
      </w:pPr>
      <w:r w:rsidRPr="00E750D1">
        <w:rPr>
          <w:rFonts w:ascii="Calibri" w:hAnsi="Calibri" w:cs="Times New Roman"/>
          <w:noProof/>
          <w:szCs w:val="24"/>
        </w:rPr>
        <w:t>9</w:t>
      </w:r>
      <w:r w:rsidRPr="00E750D1">
        <w:rPr>
          <w:rFonts w:ascii="Calibri" w:hAnsi="Calibri" w:cs="Times New Roman"/>
          <w:noProof/>
          <w:szCs w:val="24"/>
        </w:rPr>
        <w:tab/>
        <w:t xml:space="preserve">Trauer JM, Moyo N, Tay E-L, </w:t>
      </w:r>
      <w:r w:rsidRPr="00E750D1">
        <w:rPr>
          <w:rFonts w:ascii="Calibri" w:hAnsi="Calibri" w:cs="Times New Roman"/>
          <w:i/>
          <w:iCs/>
          <w:noProof/>
          <w:szCs w:val="24"/>
        </w:rPr>
        <w:t>et al.</w:t>
      </w:r>
      <w:r w:rsidRPr="00E750D1">
        <w:rPr>
          <w:rFonts w:ascii="Calibri" w:hAnsi="Calibri" w:cs="Times New Roman"/>
          <w:noProof/>
          <w:szCs w:val="24"/>
        </w:rPr>
        <w:t xml:space="preserve"> Risk of Active Tuberculosis in the Five Years Following Infection . . . 15%? </w:t>
      </w:r>
      <w:r w:rsidRPr="00E750D1">
        <w:rPr>
          <w:rFonts w:ascii="Calibri" w:hAnsi="Calibri" w:cs="Times New Roman"/>
          <w:i/>
          <w:iCs/>
          <w:noProof/>
          <w:szCs w:val="24"/>
        </w:rPr>
        <w:t>Chest</w:t>
      </w:r>
      <w:r w:rsidRPr="00E750D1">
        <w:rPr>
          <w:rFonts w:ascii="Calibri" w:hAnsi="Calibri" w:cs="Times New Roman"/>
          <w:noProof/>
          <w:szCs w:val="24"/>
        </w:rPr>
        <w:t xml:space="preserve"> 2016; </w:t>
      </w:r>
      <w:r w:rsidRPr="00E750D1">
        <w:rPr>
          <w:rFonts w:ascii="Calibri" w:hAnsi="Calibri" w:cs="Times New Roman"/>
          <w:b/>
          <w:bCs/>
          <w:noProof/>
          <w:szCs w:val="24"/>
        </w:rPr>
        <w:t>149</w:t>
      </w:r>
      <w:r w:rsidRPr="00E750D1">
        <w:rPr>
          <w:rFonts w:ascii="Calibri" w:hAnsi="Calibri" w:cs="Times New Roman"/>
          <w:noProof/>
          <w:szCs w:val="24"/>
        </w:rPr>
        <w:t>: 516–25.</w:t>
      </w:r>
    </w:p>
    <w:p w:rsidR="00E750D1" w:rsidRPr="00E750D1" w:rsidRDefault="00E750D1" w:rsidP="00E750D1">
      <w:pPr>
        <w:widowControl w:val="0"/>
        <w:autoSpaceDE w:val="0"/>
        <w:autoSpaceDN w:val="0"/>
        <w:adjustRightInd w:val="0"/>
        <w:spacing w:line="240" w:lineRule="auto"/>
        <w:ind w:left="640" w:hanging="640"/>
        <w:rPr>
          <w:rFonts w:ascii="Calibri" w:hAnsi="Calibri" w:cs="Times New Roman"/>
          <w:noProof/>
          <w:szCs w:val="24"/>
        </w:rPr>
      </w:pPr>
      <w:r w:rsidRPr="00E750D1">
        <w:rPr>
          <w:rFonts w:ascii="Calibri" w:hAnsi="Calibri" w:cs="Times New Roman"/>
          <w:noProof/>
          <w:szCs w:val="24"/>
        </w:rPr>
        <w:lastRenderedPageBreak/>
        <w:t>10</w:t>
      </w:r>
      <w:r w:rsidRPr="00E750D1">
        <w:rPr>
          <w:rFonts w:ascii="Calibri" w:hAnsi="Calibri" w:cs="Times New Roman"/>
          <w:noProof/>
          <w:szCs w:val="24"/>
        </w:rPr>
        <w:tab/>
        <w:t xml:space="preserve">Reichler MR, Khan A, Sterling TR, </w:t>
      </w:r>
      <w:r w:rsidRPr="00E750D1">
        <w:rPr>
          <w:rFonts w:ascii="Calibri" w:hAnsi="Calibri" w:cs="Times New Roman"/>
          <w:i/>
          <w:iCs/>
          <w:noProof/>
          <w:szCs w:val="24"/>
        </w:rPr>
        <w:t>et al.</w:t>
      </w:r>
      <w:r w:rsidRPr="00E750D1">
        <w:rPr>
          <w:rFonts w:ascii="Calibri" w:hAnsi="Calibri" w:cs="Times New Roman"/>
          <w:noProof/>
          <w:szCs w:val="24"/>
        </w:rPr>
        <w:t xml:space="preserve"> Risk and Timing of Tuberculosis Among Close Contacts of Persons with Infectious Tuberculosis. </w:t>
      </w:r>
      <w:r w:rsidRPr="00E750D1">
        <w:rPr>
          <w:rFonts w:ascii="Calibri" w:hAnsi="Calibri" w:cs="Times New Roman"/>
          <w:i/>
          <w:iCs/>
          <w:noProof/>
          <w:szCs w:val="24"/>
        </w:rPr>
        <w:t>J Infect Dis</w:t>
      </w:r>
      <w:r w:rsidRPr="00E750D1">
        <w:rPr>
          <w:rFonts w:ascii="Calibri" w:hAnsi="Calibri" w:cs="Times New Roman"/>
          <w:noProof/>
          <w:szCs w:val="24"/>
        </w:rPr>
        <w:t xml:space="preserve"> 2018; published online May 15. DOI:10.1093/infdis/jiy265.</w:t>
      </w:r>
    </w:p>
    <w:p w:rsidR="00E750D1" w:rsidRPr="00E750D1" w:rsidRDefault="00E750D1" w:rsidP="00E750D1">
      <w:pPr>
        <w:widowControl w:val="0"/>
        <w:autoSpaceDE w:val="0"/>
        <w:autoSpaceDN w:val="0"/>
        <w:adjustRightInd w:val="0"/>
        <w:spacing w:line="240" w:lineRule="auto"/>
        <w:ind w:left="640" w:hanging="640"/>
        <w:rPr>
          <w:rFonts w:ascii="Calibri" w:hAnsi="Calibri" w:cs="Times New Roman"/>
          <w:noProof/>
          <w:szCs w:val="24"/>
        </w:rPr>
      </w:pPr>
      <w:r w:rsidRPr="00E750D1">
        <w:rPr>
          <w:rFonts w:ascii="Calibri" w:hAnsi="Calibri" w:cs="Times New Roman"/>
          <w:noProof/>
          <w:szCs w:val="24"/>
        </w:rPr>
        <w:t>11</w:t>
      </w:r>
      <w:r w:rsidRPr="00E750D1">
        <w:rPr>
          <w:rFonts w:ascii="Calibri" w:hAnsi="Calibri" w:cs="Times New Roman"/>
          <w:noProof/>
          <w:szCs w:val="24"/>
        </w:rPr>
        <w:tab/>
        <w:t xml:space="preserve">Altet N, Dominguez J, Souza-Galvão M-L de, </w:t>
      </w:r>
      <w:r w:rsidRPr="00E750D1">
        <w:rPr>
          <w:rFonts w:ascii="Calibri" w:hAnsi="Calibri" w:cs="Times New Roman"/>
          <w:i/>
          <w:iCs/>
          <w:noProof/>
          <w:szCs w:val="24"/>
        </w:rPr>
        <w:t>et al.</w:t>
      </w:r>
      <w:r w:rsidRPr="00E750D1">
        <w:rPr>
          <w:rFonts w:ascii="Calibri" w:hAnsi="Calibri" w:cs="Times New Roman"/>
          <w:noProof/>
          <w:szCs w:val="24"/>
        </w:rPr>
        <w:t xml:space="preserve"> Predicting the Development of Tuberculosis with the Tuberculin Skin Test and QuantiFERON Testing. </w:t>
      </w:r>
      <w:r w:rsidRPr="00E750D1">
        <w:rPr>
          <w:rFonts w:ascii="Calibri" w:hAnsi="Calibri" w:cs="Times New Roman"/>
          <w:i/>
          <w:iCs/>
          <w:noProof/>
          <w:szCs w:val="24"/>
        </w:rPr>
        <w:t>Ann Am Thorac Soc</w:t>
      </w:r>
      <w:r w:rsidRPr="00E750D1">
        <w:rPr>
          <w:rFonts w:ascii="Calibri" w:hAnsi="Calibri" w:cs="Times New Roman"/>
          <w:noProof/>
          <w:szCs w:val="24"/>
        </w:rPr>
        <w:t xml:space="preserve"> 2015; </w:t>
      </w:r>
      <w:r w:rsidRPr="00E750D1">
        <w:rPr>
          <w:rFonts w:ascii="Calibri" w:hAnsi="Calibri" w:cs="Times New Roman"/>
          <w:b/>
          <w:bCs/>
          <w:noProof/>
          <w:szCs w:val="24"/>
        </w:rPr>
        <w:t>12</w:t>
      </w:r>
      <w:r w:rsidRPr="00E750D1">
        <w:rPr>
          <w:rFonts w:ascii="Calibri" w:hAnsi="Calibri" w:cs="Times New Roman"/>
          <w:noProof/>
          <w:szCs w:val="24"/>
        </w:rPr>
        <w:t>: 680–8.</w:t>
      </w:r>
    </w:p>
    <w:p w:rsidR="00E750D1" w:rsidRPr="00E750D1" w:rsidRDefault="00E750D1" w:rsidP="00E750D1">
      <w:pPr>
        <w:widowControl w:val="0"/>
        <w:autoSpaceDE w:val="0"/>
        <w:autoSpaceDN w:val="0"/>
        <w:adjustRightInd w:val="0"/>
        <w:spacing w:line="240" w:lineRule="auto"/>
        <w:ind w:left="640" w:hanging="640"/>
        <w:rPr>
          <w:rFonts w:ascii="Calibri" w:hAnsi="Calibri" w:cs="Times New Roman"/>
          <w:noProof/>
          <w:szCs w:val="24"/>
        </w:rPr>
      </w:pPr>
      <w:r w:rsidRPr="00E750D1">
        <w:rPr>
          <w:rFonts w:ascii="Calibri" w:hAnsi="Calibri" w:cs="Times New Roman"/>
          <w:noProof/>
          <w:szCs w:val="24"/>
        </w:rPr>
        <w:t>12</w:t>
      </w:r>
      <w:r w:rsidRPr="00E750D1">
        <w:rPr>
          <w:rFonts w:ascii="Calibri" w:hAnsi="Calibri" w:cs="Times New Roman"/>
          <w:noProof/>
          <w:szCs w:val="24"/>
        </w:rPr>
        <w:tab/>
        <w:t xml:space="preserve">Erkens CGM, Slump E, Verhagen M, Schimmel H, Cobelens F, van den Hof S. Risk of developing tuberculosis disease among persons diagnosed with latent tuberculosis infection in the Netherlands. </w:t>
      </w:r>
      <w:r w:rsidRPr="00E750D1">
        <w:rPr>
          <w:rFonts w:ascii="Calibri" w:hAnsi="Calibri" w:cs="Times New Roman"/>
          <w:i/>
          <w:iCs/>
          <w:noProof/>
          <w:szCs w:val="24"/>
        </w:rPr>
        <w:t>Eur Respir J</w:t>
      </w:r>
      <w:r w:rsidRPr="00E750D1">
        <w:rPr>
          <w:rFonts w:ascii="Calibri" w:hAnsi="Calibri" w:cs="Times New Roman"/>
          <w:noProof/>
          <w:szCs w:val="24"/>
        </w:rPr>
        <w:t xml:space="preserve"> 2016; </w:t>
      </w:r>
      <w:r w:rsidRPr="00E750D1">
        <w:rPr>
          <w:rFonts w:ascii="Calibri" w:hAnsi="Calibri" w:cs="Times New Roman"/>
          <w:b/>
          <w:bCs/>
          <w:noProof/>
          <w:szCs w:val="24"/>
        </w:rPr>
        <w:t>48</w:t>
      </w:r>
      <w:r w:rsidRPr="00E750D1">
        <w:rPr>
          <w:rFonts w:ascii="Calibri" w:hAnsi="Calibri" w:cs="Times New Roman"/>
          <w:noProof/>
          <w:szCs w:val="24"/>
        </w:rPr>
        <w:t>: 1420–8.</w:t>
      </w:r>
    </w:p>
    <w:p w:rsidR="00E750D1" w:rsidRPr="00E750D1" w:rsidRDefault="00E750D1" w:rsidP="00E750D1">
      <w:pPr>
        <w:widowControl w:val="0"/>
        <w:autoSpaceDE w:val="0"/>
        <w:autoSpaceDN w:val="0"/>
        <w:adjustRightInd w:val="0"/>
        <w:spacing w:line="240" w:lineRule="auto"/>
        <w:ind w:left="640" w:hanging="640"/>
        <w:rPr>
          <w:rFonts w:ascii="Calibri" w:hAnsi="Calibri" w:cs="Times New Roman"/>
          <w:noProof/>
          <w:szCs w:val="24"/>
        </w:rPr>
      </w:pPr>
      <w:r w:rsidRPr="00E750D1">
        <w:rPr>
          <w:rFonts w:ascii="Calibri" w:hAnsi="Calibri" w:cs="Times New Roman"/>
          <w:noProof/>
          <w:szCs w:val="24"/>
        </w:rPr>
        <w:t>13</w:t>
      </w:r>
      <w:r w:rsidRPr="00E750D1">
        <w:rPr>
          <w:rFonts w:ascii="Calibri" w:hAnsi="Calibri" w:cs="Times New Roman"/>
          <w:noProof/>
          <w:szCs w:val="24"/>
        </w:rPr>
        <w:tab/>
        <w:t xml:space="preserve">Moyo N, Tay EL, Denholm JT. Evaluation of tuberculin skin testing in tuberculosis contacts in Victoria, Australia 2005-2013. </w:t>
      </w:r>
      <w:r w:rsidRPr="00E750D1">
        <w:rPr>
          <w:rFonts w:ascii="Calibri" w:hAnsi="Calibri" w:cs="Times New Roman"/>
          <w:i/>
          <w:iCs/>
          <w:noProof/>
          <w:szCs w:val="24"/>
        </w:rPr>
        <w:t>Public Heal Action</w:t>
      </w:r>
      <w:r w:rsidRPr="00E750D1">
        <w:rPr>
          <w:rFonts w:ascii="Calibri" w:hAnsi="Calibri" w:cs="Times New Roman"/>
          <w:noProof/>
          <w:szCs w:val="24"/>
        </w:rPr>
        <w:t xml:space="preserve"> 2015; </w:t>
      </w:r>
      <w:r w:rsidRPr="00E750D1">
        <w:rPr>
          <w:rFonts w:ascii="Calibri" w:hAnsi="Calibri" w:cs="Times New Roman"/>
          <w:b/>
          <w:bCs/>
          <w:noProof/>
          <w:szCs w:val="24"/>
        </w:rPr>
        <w:t>5</w:t>
      </w:r>
      <w:r w:rsidRPr="00E750D1">
        <w:rPr>
          <w:rFonts w:ascii="Calibri" w:hAnsi="Calibri" w:cs="Times New Roman"/>
          <w:noProof/>
          <w:szCs w:val="24"/>
        </w:rPr>
        <w:t>: 188–93.</w:t>
      </w:r>
    </w:p>
    <w:p w:rsidR="00E750D1" w:rsidRPr="00E750D1" w:rsidRDefault="00E750D1" w:rsidP="00E750D1">
      <w:pPr>
        <w:widowControl w:val="0"/>
        <w:autoSpaceDE w:val="0"/>
        <w:autoSpaceDN w:val="0"/>
        <w:adjustRightInd w:val="0"/>
        <w:spacing w:line="240" w:lineRule="auto"/>
        <w:ind w:left="640" w:hanging="640"/>
        <w:rPr>
          <w:rFonts w:ascii="Calibri" w:hAnsi="Calibri" w:cs="Times New Roman"/>
          <w:noProof/>
          <w:szCs w:val="24"/>
        </w:rPr>
      </w:pPr>
      <w:r w:rsidRPr="00E750D1">
        <w:rPr>
          <w:rFonts w:ascii="Calibri" w:hAnsi="Calibri" w:cs="Times New Roman"/>
          <w:noProof/>
          <w:szCs w:val="24"/>
        </w:rPr>
        <w:t>14</w:t>
      </w:r>
      <w:r w:rsidRPr="00E750D1">
        <w:rPr>
          <w:rFonts w:ascii="Calibri" w:hAnsi="Calibri" w:cs="Times New Roman"/>
          <w:noProof/>
          <w:szCs w:val="24"/>
        </w:rPr>
        <w:tab/>
        <w:t xml:space="preserve">Trauer JM, Moyo N, Tay E-L, </w:t>
      </w:r>
      <w:r w:rsidRPr="00E750D1">
        <w:rPr>
          <w:rFonts w:ascii="Calibri" w:hAnsi="Calibri" w:cs="Times New Roman"/>
          <w:i/>
          <w:iCs/>
          <w:noProof/>
          <w:szCs w:val="24"/>
        </w:rPr>
        <w:t>et al.</w:t>
      </w:r>
      <w:r w:rsidRPr="00E750D1">
        <w:rPr>
          <w:rFonts w:ascii="Calibri" w:hAnsi="Calibri" w:cs="Times New Roman"/>
          <w:noProof/>
          <w:szCs w:val="24"/>
        </w:rPr>
        <w:t xml:space="preserve"> Risk of active tuberculosis in the five years following infection </w:t>
      </w:r>
      <w:r w:rsidRPr="00E750D1">
        <w:rPr>
          <w:rFonts w:ascii="Cambria Math" w:hAnsi="Cambria Math" w:cs="Cambria Math"/>
          <w:noProof/>
          <w:szCs w:val="24"/>
        </w:rPr>
        <w:t>⋯</w:t>
      </w:r>
      <w:r w:rsidRPr="00E750D1">
        <w:rPr>
          <w:rFonts w:ascii="Calibri" w:hAnsi="Calibri" w:cs="Times New Roman"/>
          <w:noProof/>
          <w:szCs w:val="24"/>
        </w:rPr>
        <w:t xml:space="preserve"> 15%? </w:t>
      </w:r>
      <w:r w:rsidRPr="00E750D1">
        <w:rPr>
          <w:rFonts w:ascii="Calibri" w:hAnsi="Calibri" w:cs="Times New Roman"/>
          <w:i/>
          <w:iCs/>
          <w:noProof/>
          <w:szCs w:val="24"/>
        </w:rPr>
        <w:t>Chest</w:t>
      </w:r>
      <w:r w:rsidRPr="00E750D1">
        <w:rPr>
          <w:rFonts w:ascii="Calibri" w:hAnsi="Calibri" w:cs="Times New Roman"/>
          <w:noProof/>
          <w:szCs w:val="24"/>
        </w:rPr>
        <w:t xml:space="preserve"> 2016; </w:t>
      </w:r>
      <w:r w:rsidRPr="00E750D1">
        <w:rPr>
          <w:rFonts w:ascii="Calibri" w:hAnsi="Calibri" w:cs="Times New Roman"/>
          <w:b/>
          <w:bCs/>
          <w:noProof/>
          <w:szCs w:val="24"/>
        </w:rPr>
        <w:t>149</w:t>
      </w:r>
      <w:r w:rsidRPr="00E750D1">
        <w:rPr>
          <w:rFonts w:ascii="Calibri" w:hAnsi="Calibri" w:cs="Times New Roman"/>
          <w:noProof/>
          <w:szCs w:val="24"/>
        </w:rPr>
        <w:t>. DOI:10.1016/j.chest.2015.11.017.</w:t>
      </w:r>
    </w:p>
    <w:p w:rsidR="00E750D1" w:rsidRPr="00E750D1" w:rsidRDefault="00E750D1" w:rsidP="00E750D1">
      <w:pPr>
        <w:widowControl w:val="0"/>
        <w:autoSpaceDE w:val="0"/>
        <w:autoSpaceDN w:val="0"/>
        <w:adjustRightInd w:val="0"/>
        <w:spacing w:line="240" w:lineRule="auto"/>
        <w:ind w:left="640" w:hanging="640"/>
        <w:rPr>
          <w:rFonts w:ascii="Calibri" w:hAnsi="Calibri" w:cs="Times New Roman"/>
          <w:noProof/>
          <w:szCs w:val="24"/>
        </w:rPr>
      </w:pPr>
      <w:r w:rsidRPr="00E750D1">
        <w:rPr>
          <w:rFonts w:ascii="Calibri" w:hAnsi="Calibri" w:cs="Times New Roman"/>
          <w:noProof/>
          <w:szCs w:val="24"/>
        </w:rPr>
        <w:t>15</w:t>
      </w:r>
      <w:r w:rsidRPr="00E750D1">
        <w:rPr>
          <w:rFonts w:ascii="Calibri" w:hAnsi="Calibri" w:cs="Times New Roman"/>
          <w:noProof/>
          <w:szCs w:val="24"/>
        </w:rPr>
        <w:tab/>
        <w:t xml:space="preserve">Ragonnet R, Trauer JM, Scott N, Meehan MT, Denholm JT, McBryde ES. Optimally capturing latency dynamics in models of tuberculosis transmission. </w:t>
      </w:r>
      <w:r w:rsidRPr="00E750D1">
        <w:rPr>
          <w:rFonts w:ascii="Calibri" w:hAnsi="Calibri" w:cs="Times New Roman"/>
          <w:i/>
          <w:iCs/>
          <w:noProof/>
          <w:szCs w:val="24"/>
        </w:rPr>
        <w:t>Epidemics</w:t>
      </w:r>
      <w:r w:rsidRPr="00E750D1">
        <w:rPr>
          <w:rFonts w:ascii="Calibri" w:hAnsi="Calibri" w:cs="Times New Roman"/>
          <w:noProof/>
          <w:szCs w:val="24"/>
        </w:rPr>
        <w:t xml:space="preserve"> 2017; </w:t>
      </w:r>
      <w:r w:rsidRPr="00E750D1">
        <w:rPr>
          <w:rFonts w:ascii="Calibri" w:hAnsi="Calibri" w:cs="Times New Roman"/>
          <w:b/>
          <w:bCs/>
          <w:noProof/>
          <w:szCs w:val="24"/>
        </w:rPr>
        <w:t>21</w:t>
      </w:r>
      <w:r w:rsidRPr="00E750D1">
        <w:rPr>
          <w:rFonts w:ascii="Calibri" w:hAnsi="Calibri" w:cs="Times New Roman"/>
          <w:noProof/>
          <w:szCs w:val="24"/>
        </w:rPr>
        <w:t>: 39–47.</w:t>
      </w:r>
    </w:p>
    <w:p w:rsidR="00E750D1" w:rsidRPr="00E750D1" w:rsidRDefault="00E750D1" w:rsidP="00E750D1">
      <w:pPr>
        <w:widowControl w:val="0"/>
        <w:autoSpaceDE w:val="0"/>
        <w:autoSpaceDN w:val="0"/>
        <w:adjustRightInd w:val="0"/>
        <w:spacing w:line="240" w:lineRule="auto"/>
        <w:ind w:left="640" w:hanging="640"/>
        <w:rPr>
          <w:rFonts w:ascii="Calibri" w:hAnsi="Calibri" w:cs="Times New Roman"/>
          <w:noProof/>
          <w:szCs w:val="24"/>
        </w:rPr>
      </w:pPr>
      <w:r w:rsidRPr="00E750D1">
        <w:rPr>
          <w:rFonts w:ascii="Calibri" w:hAnsi="Calibri" w:cs="Times New Roman"/>
          <w:noProof/>
          <w:szCs w:val="24"/>
        </w:rPr>
        <w:t>16</w:t>
      </w:r>
      <w:r w:rsidRPr="00E750D1">
        <w:rPr>
          <w:rFonts w:ascii="Calibri" w:hAnsi="Calibri" w:cs="Times New Roman"/>
          <w:noProof/>
          <w:szCs w:val="24"/>
        </w:rPr>
        <w:tab/>
        <w:t xml:space="preserve">Menzies NA, Wolf E, Connors D, </w:t>
      </w:r>
      <w:r w:rsidRPr="00E750D1">
        <w:rPr>
          <w:rFonts w:ascii="Calibri" w:hAnsi="Calibri" w:cs="Times New Roman"/>
          <w:i/>
          <w:iCs/>
          <w:noProof/>
          <w:szCs w:val="24"/>
        </w:rPr>
        <w:t>et al.</w:t>
      </w:r>
      <w:r w:rsidRPr="00E750D1">
        <w:rPr>
          <w:rFonts w:ascii="Calibri" w:hAnsi="Calibri" w:cs="Times New Roman"/>
          <w:noProof/>
          <w:szCs w:val="24"/>
        </w:rPr>
        <w:t xml:space="preserve"> Progression from latent infection to active disease in dynamic tuberculosis transmission models: a systematic review of the validity of modelling assumptions. </w:t>
      </w:r>
      <w:r w:rsidRPr="00E750D1">
        <w:rPr>
          <w:rFonts w:ascii="Calibri" w:hAnsi="Calibri" w:cs="Times New Roman"/>
          <w:i/>
          <w:iCs/>
          <w:noProof/>
          <w:szCs w:val="24"/>
        </w:rPr>
        <w:t>Lancet Infect Dis</w:t>
      </w:r>
      <w:r w:rsidRPr="00E750D1">
        <w:rPr>
          <w:rFonts w:ascii="Calibri" w:hAnsi="Calibri" w:cs="Times New Roman"/>
          <w:noProof/>
          <w:szCs w:val="24"/>
        </w:rPr>
        <w:t xml:space="preserve"> 2018; </w:t>
      </w:r>
      <w:r w:rsidRPr="00E750D1">
        <w:rPr>
          <w:rFonts w:ascii="Calibri" w:hAnsi="Calibri" w:cs="Times New Roman"/>
          <w:b/>
          <w:bCs/>
          <w:noProof/>
          <w:szCs w:val="24"/>
        </w:rPr>
        <w:t>0</w:t>
      </w:r>
      <w:r w:rsidRPr="00E750D1">
        <w:rPr>
          <w:rFonts w:ascii="Calibri" w:hAnsi="Calibri" w:cs="Times New Roman"/>
          <w:noProof/>
          <w:szCs w:val="24"/>
        </w:rPr>
        <w:t>. DOI:10.1016/S1473-3099(18)30134-8.</w:t>
      </w:r>
    </w:p>
    <w:p w:rsidR="00E750D1" w:rsidRPr="00E750D1" w:rsidRDefault="00E750D1" w:rsidP="00E750D1">
      <w:pPr>
        <w:widowControl w:val="0"/>
        <w:autoSpaceDE w:val="0"/>
        <w:autoSpaceDN w:val="0"/>
        <w:adjustRightInd w:val="0"/>
        <w:spacing w:line="240" w:lineRule="auto"/>
        <w:ind w:left="640" w:hanging="640"/>
        <w:rPr>
          <w:rFonts w:ascii="Calibri" w:hAnsi="Calibri"/>
          <w:noProof/>
        </w:rPr>
      </w:pPr>
      <w:r w:rsidRPr="00E750D1">
        <w:rPr>
          <w:rFonts w:ascii="Calibri" w:hAnsi="Calibri" w:cs="Times New Roman"/>
          <w:noProof/>
          <w:szCs w:val="24"/>
        </w:rPr>
        <w:t>17</w:t>
      </w:r>
      <w:r w:rsidRPr="00E750D1">
        <w:rPr>
          <w:rFonts w:ascii="Calibri" w:hAnsi="Calibri" w:cs="Times New Roman"/>
          <w:noProof/>
          <w:szCs w:val="24"/>
        </w:rPr>
        <w:tab/>
        <w:t xml:space="preserve">Trauer JM, Ragonnet R, McBryde ES. Appropriate comparisons of tuberculosis latency structures with empiric data. </w:t>
      </w:r>
      <w:r w:rsidRPr="00E750D1">
        <w:rPr>
          <w:rFonts w:ascii="Calibri" w:hAnsi="Calibri" w:cs="Times New Roman"/>
          <w:i/>
          <w:iCs/>
          <w:noProof/>
          <w:szCs w:val="24"/>
        </w:rPr>
        <w:t>Lancet Infect Dis</w:t>
      </w:r>
      <w:r w:rsidRPr="00E750D1">
        <w:rPr>
          <w:rFonts w:ascii="Calibri" w:hAnsi="Calibri" w:cs="Times New Roman"/>
          <w:noProof/>
          <w:szCs w:val="24"/>
        </w:rPr>
        <w:t xml:space="preserve"> 2018; </w:t>
      </w:r>
      <w:r w:rsidRPr="00E750D1">
        <w:rPr>
          <w:rFonts w:ascii="Calibri" w:hAnsi="Calibri" w:cs="Times New Roman"/>
          <w:b/>
          <w:bCs/>
          <w:noProof/>
          <w:szCs w:val="24"/>
        </w:rPr>
        <w:t>18</w:t>
      </w:r>
      <w:r w:rsidRPr="00E750D1">
        <w:rPr>
          <w:rFonts w:ascii="Calibri" w:hAnsi="Calibri" w:cs="Times New Roman"/>
          <w:noProof/>
          <w:szCs w:val="24"/>
        </w:rPr>
        <w:t>: 720–1.</w:t>
      </w:r>
    </w:p>
    <w:p w:rsidR="00225FFD" w:rsidRPr="00225FFD" w:rsidRDefault="00225FFD" w:rsidP="00E750D1">
      <w:pPr>
        <w:widowControl w:val="0"/>
        <w:autoSpaceDE w:val="0"/>
        <w:autoSpaceDN w:val="0"/>
        <w:adjustRightInd w:val="0"/>
        <w:spacing w:line="240" w:lineRule="auto"/>
        <w:ind w:left="640" w:hanging="640"/>
      </w:pPr>
      <w:r>
        <w:fldChar w:fldCharType="end"/>
      </w:r>
    </w:p>
    <w:sectPr w:rsidR="00225FFD" w:rsidRPr="00225FF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1FF" w:rsidRDefault="00BF21FF" w:rsidP="0060099D">
      <w:pPr>
        <w:spacing w:after="0" w:line="240" w:lineRule="auto"/>
      </w:pPr>
      <w:r>
        <w:separator/>
      </w:r>
    </w:p>
  </w:endnote>
  <w:endnote w:type="continuationSeparator" w:id="0">
    <w:p w:rsidR="00BF21FF" w:rsidRDefault="00BF21FF" w:rsidP="0060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466707"/>
      <w:docPartObj>
        <w:docPartGallery w:val="Page Numbers (Bottom of Page)"/>
        <w:docPartUnique/>
      </w:docPartObj>
    </w:sdtPr>
    <w:sdtEndPr>
      <w:rPr>
        <w:noProof/>
      </w:rPr>
    </w:sdtEndPr>
    <w:sdtContent>
      <w:p w:rsidR="0060099D" w:rsidRDefault="0060099D">
        <w:pPr>
          <w:pStyle w:val="Footer"/>
          <w:jc w:val="right"/>
        </w:pPr>
        <w:r>
          <w:fldChar w:fldCharType="begin"/>
        </w:r>
        <w:r>
          <w:instrText xml:space="preserve"> PAGE   \* MERGEFORMAT </w:instrText>
        </w:r>
        <w:r>
          <w:fldChar w:fldCharType="separate"/>
        </w:r>
        <w:r w:rsidR="00991027">
          <w:rPr>
            <w:noProof/>
          </w:rPr>
          <w:t>4</w:t>
        </w:r>
        <w:r>
          <w:rPr>
            <w:noProof/>
          </w:rPr>
          <w:fldChar w:fldCharType="end"/>
        </w:r>
      </w:p>
    </w:sdtContent>
  </w:sdt>
  <w:p w:rsidR="0060099D" w:rsidRDefault="00600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1FF" w:rsidRDefault="00BF21FF" w:rsidP="0060099D">
      <w:pPr>
        <w:spacing w:after="0" w:line="240" w:lineRule="auto"/>
      </w:pPr>
      <w:r>
        <w:separator/>
      </w:r>
    </w:p>
  </w:footnote>
  <w:footnote w:type="continuationSeparator" w:id="0">
    <w:p w:rsidR="00BF21FF" w:rsidRDefault="00BF21FF" w:rsidP="00600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217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3B2401"/>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15EC33A8"/>
    <w:multiLevelType w:val="hybridMultilevel"/>
    <w:tmpl w:val="063CAE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9578D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F5232B"/>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2EA93846"/>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310954FD"/>
    <w:multiLevelType w:val="hybridMultilevel"/>
    <w:tmpl w:val="82C8CA1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2896EB8"/>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3D2B5FB9"/>
    <w:multiLevelType w:val="hybridMultilevel"/>
    <w:tmpl w:val="1C0EA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451111D"/>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481503E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AB15FF"/>
    <w:multiLevelType w:val="hybridMultilevel"/>
    <w:tmpl w:val="34FE5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E57341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271763E"/>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nsid w:val="57A768B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CFA1EBE"/>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nsid w:val="62B16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4D03D1D"/>
    <w:multiLevelType w:val="hybridMultilevel"/>
    <w:tmpl w:val="62783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97F6C6F"/>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6B4B7430"/>
    <w:multiLevelType w:val="hybridMultilevel"/>
    <w:tmpl w:val="64F69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12"/>
  </w:num>
  <w:num w:numId="5">
    <w:abstractNumId w:val="5"/>
  </w:num>
  <w:num w:numId="6">
    <w:abstractNumId w:val="9"/>
  </w:num>
  <w:num w:numId="7">
    <w:abstractNumId w:val="1"/>
  </w:num>
  <w:num w:numId="8">
    <w:abstractNumId w:val="15"/>
  </w:num>
  <w:num w:numId="9">
    <w:abstractNumId w:val="14"/>
  </w:num>
  <w:num w:numId="10">
    <w:abstractNumId w:val="16"/>
  </w:num>
  <w:num w:numId="11">
    <w:abstractNumId w:val="11"/>
  </w:num>
  <w:num w:numId="12">
    <w:abstractNumId w:val="4"/>
  </w:num>
  <w:num w:numId="13">
    <w:abstractNumId w:val="19"/>
  </w:num>
  <w:num w:numId="14">
    <w:abstractNumId w:val="2"/>
  </w:num>
  <w:num w:numId="15">
    <w:abstractNumId w:val="0"/>
  </w:num>
  <w:num w:numId="16">
    <w:abstractNumId w:val="3"/>
  </w:num>
  <w:num w:numId="17">
    <w:abstractNumId w:val="7"/>
  </w:num>
  <w:num w:numId="18">
    <w:abstractNumId w:val="13"/>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FD"/>
    <w:rsid w:val="00031B1A"/>
    <w:rsid w:val="000370F9"/>
    <w:rsid w:val="00045C57"/>
    <w:rsid w:val="001541F9"/>
    <w:rsid w:val="00176AC0"/>
    <w:rsid w:val="00193868"/>
    <w:rsid w:val="001B6D52"/>
    <w:rsid w:val="00220166"/>
    <w:rsid w:val="00225FFD"/>
    <w:rsid w:val="0032743F"/>
    <w:rsid w:val="00361175"/>
    <w:rsid w:val="00374457"/>
    <w:rsid w:val="003C7E41"/>
    <w:rsid w:val="003E48B3"/>
    <w:rsid w:val="004E100A"/>
    <w:rsid w:val="00512225"/>
    <w:rsid w:val="00596753"/>
    <w:rsid w:val="0060099D"/>
    <w:rsid w:val="00610321"/>
    <w:rsid w:val="00643B7E"/>
    <w:rsid w:val="007F7817"/>
    <w:rsid w:val="00874016"/>
    <w:rsid w:val="008A5ADF"/>
    <w:rsid w:val="008B1638"/>
    <w:rsid w:val="008E33F1"/>
    <w:rsid w:val="009027E2"/>
    <w:rsid w:val="00991027"/>
    <w:rsid w:val="009F1B38"/>
    <w:rsid w:val="00A222FE"/>
    <w:rsid w:val="00A4256B"/>
    <w:rsid w:val="00AA4014"/>
    <w:rsid w:val="00AB628E"/>
    <w:rsid w:val="00AD6A15"/>
    <w:rsid w:val="00AE722F"/>
    <w:rsid w:val="00AF0BEB"/>
    <w:rsid w:val="00AF0F36"/>
    <w:rsid w:val="00B1571D"/>
    <w:rsid w:val="00B7146C"/>
    <w:rsid w:val="00BF21FF"/>
    <w:rsid w:val="00C86B28"/>
    <w:rsid w:val="00C94BDA"/>
    <w:rsid w:val="00CA2867"/>
    <w:rsid w:val="00CA6DED"/>
    <w:rsid w:val="00CE621E"/>
    <w:rsid w:val="00D63684"/>
    <w:rsid w:val="00E70918"/>
    <w:rsid w:val="00E750D1"/>
    <w:rsid w:val="00E970C1"/>
    <w:rsid w:val="00ED1A4D"/>
    <w:rsid w:val="00F06E4E"/>
    <w:rsid w:val="00F51526"/>
    <w:rsid w:val="00F57CA9"/>
    <w:rsid w:val="00FC7B9F"/>
    <w:rsid w:val="00FC7F7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9F"/>
  </w:style>
  <w:style w:type="paragraph" w:styleId="Heading1">
    <w:name w:val="heading 1"/>
    <w:basedOn w:val="Normal"/>
    <w:next w:val="Normal"/>
    <w:link w:val="Heading1Char"/>
    <w:uiPriority w:val="9"/>
    <w:qFormat/>
    <w:rsid w:val="00AA401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A401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A401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aliases w:val="Table headings"/>
    <w:basedOn w:val="Normal"/>
    <w:next w:val="Normal"/>
    <w:link w:val="Heading4Char"/>
    <w:uiPriority w:val="9"/>
    <w:semiHidden/>
    <w:unhideWhenUsed/>
    <w:qFormat/>
    <w:rsid w:val="00AA4014"/>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A4014"/>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A4014"/>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A40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1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40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01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A401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AA4014"/>
    <w:rPr>
      <w:rFonts w:asciiTheme="majorHAnsi" w:eastAsiaTheme="majorEastAsia" w:hAnsiTheme="majorHAnsi" w:cstheme="majorBidi"/>
      <w:b/>
      <w:bCs/>
      <w:color w:val="5B9BD5" w:themeColor="accent1"/>
    </w:rPr>
  </w:style>
  <w:style w:type="character" w:customStyle="1" w:styleId="Heading4Char">
    <w:name w:val="Heading 4 Char"/>
    <w:aliases w:val="Table headings Char"/>
    <w:basedOn w:val="DefaultParagraphFont"/>
    <w:link w:val="Heading4"/>
    <w:uiPriority w:val="9"/>
    <w:semiHidden/>
    <w:rsid w:val="00AA401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AA401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AA4014"/>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AA40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401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401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A4014"/>
    <w:pPr>
      <w:spacing w:after="200" w:line="240" w:lineRule="auto"/>
    </w:pPr>
    <w:rPr>
      <w:b/>
      <w:bCs/>
      <w:color w:val="5B9BD5" w:themeColor="accent1"/>
      <w:sz w:val="18"/>
      <w:szCs w:val="18"/>
    </w:rPr>
  </w:style>
  <w:style w:type="paragraph" w:styleId="Title">
    <w:name w:val="Title"/>
    <w:basedOn w:val="Normal"/>
    <w:next w:val="Normal"/>
    <w:link w:val="TitleChar"/>
    <w:uiPriority w:val="10"/>
    <w:qFormat/>
    <w:rsid w:val="00AA401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A401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AA401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A4014"/>
    <w:rPr>
      <w:rFonts w:asciiTheme="majorHAnsi" w:eastAsiaTheme="majorEastAsia" w:hAnsiTheme="majorHAnsi" w:cstheme="majorBidi"/>
      <w:i/>
      <w:iCs/>
      <w:color w:val="5B9BD5" w:themeColor="accent1"/>
      <w:spacing w:val="15"/>
      <w:sz w:val="24"/>
      <w:szCs w:val="24"/>
    </w:rPr>
  </w:style>
  <w:style w:type="paragraph" w:styleId="NoSpacing">
    <w:name w:val="No Spacing"/>
    <w:basedOn w:val="Normal"/>
    <w:uiPriority w:val="1"/>
    <w:qFormat/>
    <w:rsid w:val="00AA4014"/>
    <w:pPr>
      <w:spacing w:after="0" w:line="240" w:lineRule="auto"/>
    </w:pPr>
  </w:style>
  <w:style w:type="paragraph" w:styleId="ListParagraph">
    <w:name w:val="List Paragraph"/>
    <w:aliases w:val="Table content"/>
    <w:basedOn w:val="Normal"/>
    <w:uiPriority w:val="34"/>
    <w:qFormat/>
    <w:rsid w:val="00FC7B9F"/>
    <w:pPr>
      <w:ind w:left="720"/>
      <w:contextualSpacing/>
    </w:pPr>
  </w:style>
  <w:style w:type="paragraph" w:styleId="Quote">
    <w:name w:val="Quote"/>
    <w:basedOn w:val="Normal"/>
    <w:next w:val="Normal"/>
    <w:link w:val="QuoteChar"/>
    <w:uiPriority w:val="29"/>
    <w:qFormat/>
    <w:rsid w:val="00AA4014"/>
    <w:rPr>
      <w:i/>
      <w:iCs/>
      <w:color w:val="000000" w:themeColor="text1"/>
    </w:rPr>
  </w:style>
  <w:style w:type="character" w:customStyle="1" w:styleId="QuoteChar">
    <w:name w:val="Quote Char"/>
    <w:basedOn w:val="DefaultParagraphFont"/>
    <w:link w:val="Quote"/>
    <w:uiPriority w:val="29"/>
    <w:rsid w:val="00AA4014"/>
    <w:rPr>
      <w:i/>
      <w:iCs/>
      <w:color w:val="000000" w:themeColor="text1"/>
    </w:rPr>
  </w:style>
  <w:style w:type="paragraph" w:styleId="IntenseQuote">
    <w:name w:val="Intense Quote"/>
    <w:basedOn w:val="Normal"/>
    <w:next w:val="Normal"/>
    <w:link w:val="IntenseQuoteChar"/>
    <w:uiPriority w:val="30"/>
    <w:qFormat/>
    <w:rsid w:val="00AA401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AA4014"/>
    <w:rPr>
      <w:b/>
      <w:bCs/>
      <w:i/>
      <w:iCs/>
      <w:color w:val="5B9BD5" w:themeColor="accent1"/>
    </w:rPr>
  </w:style>
  <w:style w:type="paragraph" w:styleId="TOCHeading">
    <w:name w:val="TOC Heading"/>
    <w:basedOn w:val="Heading1"/>
    <w:next w:val="Normal"/>
    <w:uiPriority w:val="39"/>
    <w:semiHidden/>
    <w:unhideWhenUsed/>
    <w:qFormat/>
    <w:rsid w:val="00AA4014"/>
    <w:pPr>
      <w:outlineLvl w:val="9"/>
    </w:pPr>
  </w:style>
  <w:style w:type="character" w:styleId="Strong">
    <w:name w:val="Strong"/>
    <w:basedOn w:val="DefaultParagraphFont"/>
    <w:uiPriority w:val="22"/>
    <w:qFormat/>
    <w:rsid w:val="00FC7B9F"/>
    <w:rPr>
      <w:b/>
      <w:bCs/>
    </w:rPr>
  </w:style>
  <w:style w:type="character" w:styleId="Hyperlink">
    <w:name w:val="Hyperlink"/>
    <w:basedOn w:val="DefaultParagraphFont"/>
    <w:uiPriority w:val="99"/>
    <w:unhideWhenUsed/>
    <w:rsid w:val="00E970C1"/>
    <w:rPr>
      <w:color w:val="0563C1" w:themeColor="hyperlink"/>
      <w:u w:val="single"/>
    </w:rPr>
  </w:style>
  <w:style w:type="character" w:styleId="Emphasis">
    <w:name w:val="Emphasis"/>
    <w:basedOn w:val="DefaultParagraphFont"/>
    <w:uiPriority w:val="20"/>
    <w:qFormat/>
    <w:rsid w:val="00610321"/>
    <w:rPr>
      <w:b/>
      <w:i/>
      <w:iCs/>
    </w:rPr>
  </w:style>
  <w:style w:type="paragraph" w:styleId="Header">
    <w:name w:val="header"/>
    <w:basedOn w:val="Normal"/>
    <w:link w:val="HeaderChar"/>
    <w:uiPriority w:val="99"/>
    <w:unhideWhenUsed/>
    <w:rsid w:val="00600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99D"/>
  </w:style>
  <w:style w:type="paragraph" w:styleId="Footer">
    <w:name w:val="footer"/>
    <w:basedOn w:val="Normal"/>
    <w:link w:val="FooterChar"/>
    <w:uiPriority w:val="99"/>
    <w:unhideWhenUsed/>
    <w:rsid w:val="00600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9F"/>
  </w:style>
  <w:style w:type="paragraph" w:styleId="Heading1">
    <w:name w:val="heading 1"/>
    <w:basedOn w:val="Normal"/>
    <w:next w:val="Normal"/>
    <w:link w:val="Heading1Char"/>
    <w:uiPriority w:val="9"/>
    <w:qFormat/>
    <w:rsid w:val="00AA401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A401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A401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aliases w:val="Table headings"/>
    <w:basedOn w:val="Normal"/>
    <w:next w:val="Normal"/>
    <w:link w:val="Heading4Char"/>
    <w:uiPriority w:val="9"/>
    <w:semiHidden/>
    <w:unhideWhenUsed/>
    <w:qFormat/>
    <w:rsid w:val="00AA4014"/>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A4014"/>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A4014"/>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A40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1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40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01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A401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AA4014"/>
    <w:rPr>
      <w:rFonts w:asciiTheme="majorHAnsi" w:eastAsiaTheme="majorEastAsia" w:hAnsiTheme="majorHAnsi" w:cstheme="majorBidi"/>
      <w:b/>
      <w:bCs/>
      <w:color w:val="5B9BD5" w:themeColor="accent1"/>
    </w:rPr>
  </w:style>
  <w:style w:type="character" w:customStyle="1" w:styleId="Heading4Char">
    <w:name w:val="Heading 4 Char"/>
    <w:aliases w:val="Table headings Char"/>
    <w:basedOn w:val="DefaultParagraphFont"/>
    <w:link w:val="Heading4"/>
    <w:uiPriority w:val="9"/>
    <w:semiHidden/>
    <w:rsid w:val="00AA401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AA401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AA4014"/>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AA40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401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401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A4014"/>
    <w:pPr>
      <w:spacing w:after="200" w:line="240" w:lineRule="auto"/>
    </w:pPr>
    <w:rPr>
      <w:b/>
      <w:bCs/>
      <w:color w:val="5B9BD5" w:themeColor="accent1"/>
      <w:sz w:val="18"/>
      <w:szCs w:val="18"/>
    </w:rPr>
  </w:style>
  <w:style w:type="paragraph" w:styleId="Title">
    <w:name w:val="Title"/>
    <w:basedOn w:val="Normal"/>
    <w:next w:val="Normal"/>
    <w:link w:val="TitleChar"/>
    <w:uiPriority w:val="10"/>
    <w:qFormat/>
    <w:rsid w:val="00AA401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A401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AA401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A4014"/>
    <w:rPr>
      <w:rFonts w:asciiTheme="majorHAnsi" w:eastAsiaTheme="majorEastAsia" w:hAnsiTheme="majorHAnsi" w:cstheme="majorBidi"/>
      <w:i/>
      <w:iCs/>
      <w:color w:val="5B9BD5" w:themeColor="accent1"/>
      <w:spacing w:val="15"/>
      <w:sz w:val="24"/>
      <w:szCs w:val="24"/>
    </w:rPr>
  </w:style>
  <w:style w:type="paragraph" w:styleId="NoSpacing">
    <w:name w:val="No Spacing"/>
    <w:basedOn w:val="Normal"/>
    <w:uiPriority w:val="1"/>
    <w:qFormat/>
    <w:rsid w:val="00AA4014"/>
    <w:pPr>
      <w:spacing w:after="0" w:line="240" w:lineRule="auto"/>
    </w:pPr>
  </w:style>
  <w:style w:type="paragraph" w:styleId="ListParagraph">
    <w:name w:val="List Paragraph"/>
    <w:aliases w:val="Table content"/>
    <w:basedOn w:val="Normal"/>
    <w:uiPriority w:val="34"/>
    <w:qFormat/>
    <w:rsid w:val="00FC7B9F"/>
    <w:pPr>
      <w:ind w:left="720"/>
      <w:contextualSpacing/>
    </w:pPr>
  </w:style>
  <w:style w:type="paragraph" w:styleId="Quote">
    <w:name w:val="Quote"/>
    <w:basedOn w:val="Normal"/>
    <w:next w:val="Normal"/>
    <w:link w:val="QuoteChar"/>
    <w:uiPriority w:val="29"/>
    <w:qFormat/>
    <w:rsid w:val="00AA4014"/>
    <w:rPr>
      <w:i/>
      <w:iCs/>
      <w:color w:val="000000" w:themeColor="text1"/>
    </w:rPr>
  </w:style>
  <w:style w:type="character" w:customStyle="1" w:styleId="QuoteChar">
    <w:name w:val="Quote Char"/>
    <w:basedOn w:val="DefaultParagraphFont"/>
    <w:link w:val="Quote"/>
    <w:uiPriority w:val="29"/>
    <w:rsid w:val="00AA4014"/>
    <w:rPr>
      <w:i/>
      <w:iCs/>
      <w:color w:val="000000" w:themeColor="text1"/>
    </w:rPr>
  </w:style>
  <w:style w:type="paragraph" w:styleId="IntenseQuote">
    <w:name w:val="Intense Quote"/>
    <w:basedOn w:val="Normal"/>
    <w:next w:val="Normal"/>
    <w:link w:val="IntenseQuoteChar"/>
    <w:uiPriority w:val="30"/>
    <w:qFormat/>
    <w:rsid w:val="00AA401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AA4014"/>
    <w:rPr>
      <w:b/>
      <w:bCs/>
      <w:i/>
      <w:iCs/>
      <w:color w:val="5B9BD5" w:themeColor="accent1"/>
    </w:rPr>
  </w:style>
  <w:style w:type="paragraph" w:styleId="TOCHeading">
    <w:name w:val="TOC Heading"/>
    <w:basedOn w:val="Heading1"/>
    <w:next w:val="Normal"/>
    <w:uiPriority w:val="39"/>
    <w:semiHidden/>
    <w:unhideWhenUsed/>
    <w:qFormat/>
    <w:rsid w:val="00AA4014"/>
    <w:pPr>
      <w:outlineLvl w:val="9"/>
    </w:pPr>
  </w:style>
  <w:style w:type="character" w:styleId="Strong">
    <w:name w:val="Strong"/>
    <w:basedOn w:val="DefaultParagraphFont"/>
    <w:uiPriority w:val="22"/>
    <w:qFormat/>
    <w:rsid w:val="00FC7B9F"/>
    <w:rPr>
      <w:b/>
      <w:bCs/>
    </w:rPr>
  </w:style>
  <w:style w:type="character" w:styleId="Hyperlink">
    <w:name w:val="Hyperlink"/>
    <w:basedOn w:val="DefaultParagraphFont"/>
    <w:uiPriority w:val="99"/>
    <w:unhideWhenUsed/>
    <w:rsid w:val="00E970C1"/>
    <w:rPr>
      <w:color w:val="0563C1" w:themeColor="hyperlink"/>
      <w:u w:val="single"/>
    </w:rPr>
  </w:style>
  <w:style w:type="character" w:styleId="Emphasis">
    <w:name w:val="Emphasis"/>
    <w:basedOn w:val="DefaultParagraphFont"/>
    <w:uiPriority w:val="20"/>
    <w:qFormat/>
    <w:rsid w:val="00610321"/>
    <w:rPr>
      <w:b/>
      <w:i/>
      <w:iCs/>
    </w:rPr>
  </w:style>
  <w:style w:type="paragraph" w:styleId="Header">
    <w:name w:val="header"/>
    <w:basedOn w:val="Normal"/>
    <w:link w:val="HeaderChar"/>
    <w:uiPriority w:val="99"/>
    <w:unhideWhenUsed/>
    <w:rsid w:val="00600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99D"/>
  </w:style>
  <w:style w:type="paragraph" w:styleId="Footer">
    <w:name w:val="footer"/>
    <w:basedOn w:val="Normal"/>
    <w:link w:val="FooterChar"/>
    <w:uiPriority w:val="99"/>
    <w:unhideWhenUsed/>
    <w:rsid w:val="00600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14070CF-0D1E-4D6B-BDE4-13C58052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7346</Words>
  <Characters>41878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 Trauer</cp:lastModifiedBy>
  <cp:revision>17</cp:revision>
  <dcterms:created xsi:type="dcterms:W3CDTF">2018-10-31T03:03:00Z</dcterms:created>
  <dcterms:modified xsi:type="dcterms:W3CDTF">2018-11-01T08:44:00Z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c85504b6-369d-35ed-a580-574fa5ca273b</vt:lpwstr>
  </property>
  <property fmtid="{D5CDD505-2E9C-101B-9397-08002B2CF9AE}" pid="4" name="Mendeley Citation Style_1">
    <vt:lpwstr>http://www.zotero.org/styles/the-lancet</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16th edition (author-date)</vt:lpwstr>
  </property>
  <property fmtid="{D5CDD505-2E9C-101B-9397-08002B2CF9AE}" pid="7" name="Mendeley Recent Style Id 1_1">
    <vt:lpwstr>http://www.zotero.org/styles/clinical-infectious-diseases</vt:lpwstr>
  </property>
  <property fmtid="{D5CDD505-2E9C-101B-9397-08002B2CF9AE}" pid="8" name="Mendeley Recent Style Name 1_1">
    <vt:lpwstr>Clinical Infectious Diseases</vt:lpwstr>
  </property>
  <property fmtid="{D5CDD505-2E9C-101B-9397-08002B2CF9AE}" pid="9" name="Mendeley Recent Style Id 2_1">
    <vt:lpwstr>http://www.zotero.org/styles/european-respiratory-journal</vt:lpwstr>
  </property>
  <property fmtid="{D5CDD505-2E9C-101B-9397-08002B2CF9AE}" pid="10" name="Mendeley Recent Style Name 2_1">
    <vt:lpwstr>European Respiratory Journal</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http://csl.mendeley.com/styles/485357241/springer-vancouver-brackets</vt:lpwstr>
  </property>
  <property fmtid="{D5CDD505-2E9C-101B-9397-08002B2CF9AE}" pid="22" name="Mendeley Recent Style Name 8_1">
    <vt:lpwstr>Springer Vancouver (brackets) - James Trauer</vt:lpwstr>
  </property>
  <property fmtid="{D5CDD505-2E9C-101B-9397-08002B2CF9AE}" pid="23" name="Mendeley Recent Style Id 9_1">
    <vt:lpwstr>http://www.zotero.org/styles/the-lancet</vt:lpwstr>
  </property>
  <property fmtid="{D5CDD505-2E9C-101B-9397-08002B2CF9AE}" pid="24" name="Mendeley Recent Style Name 9_1">
    <vt:lpwstr>The Lancet</vt:lpwstr>
  </property>
</Properties>
</file>