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334C" w:rsidRDefault="00C82D83" w:rsidP="00C34AE5">
      <w:pPr>
        <w:pStyle w:val="Authornames"/>
        <w:outlineLvl w:val="0"/>
        <w:rPr>
          <w:b/>
          <w:i/>
          <w:lang w:eastAsia="zh-CN"/>
        </w:rPr>
      </w:pPr>
      <w:r>
        <w:rPr>
          <w:b/>
          <w:i/>
          <w:lang w:eastAsia="zh-CN"/>
        </w:rPr>
        <w:t>Supplementary</w:t>
      </w:r>
    </w:p>
    <w:p w:rsidR="00C7334C" w:rsidRDefault="00C82D83">
      <w:pPr>
        <w:pStyle w:val="Authornames"/>
        <w:jc w:val="center"/>
        <w:rPr>
          <w:b/>
        </w:rPr>
      </w:pPr>
      <w:r>
        <w:rPr>
          <w:b/>
        </w:rPr>
        <w:t>Dual-Mode imaging and therapeutic effects of drug-loaded phase-transition nanoparticles combined with near-infrared laser and low-intensity ultrasound on ovarian cancer</w:t>
      </w:r>
    </w:p>
    <w:p w:rsidR="00C7334C" w:rsidRDefault="00C82D83">
      <w:pPr>
        <w:pStyle w:val="Affiliation"/>
        <w:rPr>
          <w:i w:val="0"/>
          <w:sz w:val="28"/>
        </w:rPr>
      </w:pPr>
      <w:proofErr w:type="spellStart"/>
      <w:r>
        <w:rPr>
          <w:rFonts w:hint="eastAsia"/>
          <w:i w:val="0"/>
          <w:sz w:val="28"/>
        </w:rPr>
        <w:t>Shuning</w:t>
      </w:r>
      <w:proofErr w:type="spellEnd"/>
      <w:r>
        <w:rPr>
          <w:rFonts w:hint="eastAsia"/>
          <w:i w:val="0"/>
          <w:sz w:val="28"/>
        </w:rPr>
        <w:t xml:space="preserve"> Chen</w:t>
      </w:r>
      <w:r>
        <w:rPr>
          <w:rFonts w:hint="eastAsia"/>
          <w:i w:val="0"/>
          <w:sz w:val="28"/>
          <w:vertAlign w:val="superscript"/>
        </w:rPr>
        <w:t>1,3#</w:t>
      </w:r>
      <w:r>
        <w:rPr>
          <w:rFonts w:hint="eastAsia"/>
          <w:i w:val="0"/>
          <w:sz w:val="28"/>
        </w:rPr>
        <w:t xml:space="preserve">, </w:t>
      </w:r>
      <w:proofErr w:type="spellStart"/>
      <w:r>
        <w:rPr>
          <w:rFonts w:hint="eastAsia"/>
          <w:i w:val="0"/>
          <w:sz w:val="28"/>
        </w:rPr>
        <w:t>Yujiao</w:t>
      </w:r>
      <w:proofErr w:type="spellEnd"/>
      <w:r>
        <w:rPr>
          <w:rFonts w:hint="eastAsia"/>
          <w:i w:val="0"/>
          <w:sz w:val="28"/>
        </w:rPr>
        <w:t xml:space="preserve"> Liu</w:t>
      </w:r>
      <w:r>
        <w:rPr>
          <w:rFonts w:hint="eastAsia"/>
          <w:i w:val="0"/>
          <w:sz w:val="28"/>
          <w:vertAlign w:val="superscript"/>
        </w:rPr>
        <w:t>1#</w:t>
      </w:r>
      <w:r>
        <w:rPr>
          <w:rFonts w:hint="eastAsia"/>
          <w:i w:val="0"/>
          <w:sz w:val="28"/>
        </w:rPr>
        <w:t xml:space="preserve">, </w:t>
      </w:r>
      <w:proofErr w:type="spellStart"/>
      <w:r>
        <w:rPr>
          <w:rFonts w:hint="eastAsia"/>
          <w:i w:val="0"/>
          <w:sz w:val="28"/>
        </w:rPr>
        <w:t>Shenyin</w:t>
      </w:r>
      <w:proofErr w:type="spellEnd"/>
      <w:r>
        <w:rPr>
          <w:rFonts w:hint="eastAsia"/>
          <w:i w:val="0"/>
          <w:sz w:val="28"/>
        </w:rPr>
        <w:t xml:space="preserve"> Zhu</w:t>
      </w:r>
      <w:r>
        <w:rPr>
          <w:rFonts w:hint="eastAsia"/>
          <w:i w:val="0"/>
          <w:sz w:val="28"/>
          <w:vertAlign w:val="superscript"/>
        </w:rPr>
        <w:t>2</w:t>
      </w:r>
      <w:r>
        <w:rPr>
          <w:rFonts w:hint="eastAsia"/>
          <w:i w:val="0"/>
          <w:sz w:val="28"/>
        </w:rPr>
        <w:t xml:space="preserve">, </w:t>
      </w:r>
      <w:proofErr w:type="spellStart"/>
      <w:r>
        <w:rPr>
          <w:rFonts w:hint="eastAsia"/>
          <w:i w:val="0"/>
          <w:sz w:val="28"/>
        </w:rPr>
        <w:t>Chunyan</w:t>
      </w:r>
      <w:proofErr w:type="spellEnd"/>
      <w:r>
        <w:rPr>
          <w:rFonts w:hint="eastAsia"/>
          <w:i w:val="0"/>
          <w:sz w:val="28"/>
        </w:rPr>
        <w:t xml:space="preserve"> Chen</w:t>
      </w:r>
      <w:r>
        <w:rPr>
          <w:rFonts w:hint="eastAsia"/>
          <w:i w:val="0"/>
          <w:sz w:val="28"/>
          <w:vertAlign w:val="superscript"/>
        </w:rPr>
        <w:t>1</w:t>
      </w:r>
      <w:r>
        <w:rPr>
          <w:rFonts w:hint="eastAsia"/>
          <w:i w:val="0"/>
          <w:sz w:val="28"/>
        </w:rPr>
        <w:t>, Wan Xie</w:t>
      </w:r>
      <w:r>
        <w:rPr>
          <w:rFonts w:hint="eastAsia"/>
          <w:i w:val="0"/>
          <w:sz w:val="28"/>
          <w:vertAlign w:val="superscript"/>
        </w:rPr>
        <w:t>1</w:t>
      </w:r>
      <w:r>
        <w:rPr>
          <w:rFonts w:hint="eastAsia"/>
          <w:i w:val="0"/>
          <w:sz w:val="28"/>
        </w:rPr>
        <w:t xml:space="preserve">, </w:t>
      </w:r>
      <w:proofErr w:type="spellStart"/>
      <w:r>
        <w:rPr>
          <w:rFonts w:hint="eastAsia"/>
          <w:i w:val="0"/>
          <w:sz w:val="28"/>
        </w:rPr>
        <w:t>Linlin</w:t>
      </w:r>
      <w:proofErr w:type="spellEnd"/>
      <w:r>
        <w:rPr>
          <w:rFonts w:hint="eastAsia"/>
          <w:i w:val="0"/>
          <w:sz w:val="28"/>
        </w:rPr>
        <w:t xml:space="preserve"> Xiao</w:t>
      </w:r>
      <w:r>
        <w:rPr>
          <w:i w:val="0"/>
          <w:sz w:val="28"/>
          <w:vertAlign w:val="superscript"/>
        </w:rPr>
        <w:t>1</w:t>
      </w:r>
      <w:r>
        <w:rPr>
          <w:i w:val="0"/>
          <w:sz w:val="28"/>
        </w:rPr>
        <w:t>, Yi</w:t>
      </w:r>
      <w:r>
        <w:rPr>
          <w:rFonts w:hint="eastAsia"/>
          <w:i w:val="0"/>
          <w:sz w:val="28"/>
        </w:rPr>
        <w:t xml:space="preserve"> Zhu</w:t>
      </w:r>
      <w:r>
        <w:rPr>
          <w:rFonts w:hint="eastAsia"/>
          <w:i w:val="0"/>
          <w:sz w:val="28"/>
          <w:vertAlign w:val="superscript"/>
        </w:rPr>
        <w:t>1</w:t>
      </w:r>
      <w:r>
        <w:rPr>
          <w:rFonts w:hint="eastAsia"/>
          <w:i w:val="0"/>
          <w:sz w:val="28"/>
        </w:rPr>
        <w:t>, Lan Hao</w:t>
      </w:r>
      <w:r>
        <w:rPr>
          <w:rFonts w:hint="eastAsia"/>
          <w:i w:val="0"/>
          <w:sz w:val="28"/>
          <w:vertAlign w:val="superscript"/>
        </w:rPr>
        <w:t>3</w:t>
      </w:r>
      <w:r>
        <w:rPr>
          <w:rFonts w:hint="eastAsia"/>
          <w:i w:val="0"/>
          <w:sz w:val="28"/>
        </w:rPr>
        <w:t xml:space="preserve">, </w:t>
      </w:r>
      <w:proofErr w:type="spellStart"/>
      <w:r>
        <w:rPr>
          <w:rFonts w:hint="eastAsia"/>
          <w:i w:val="0"/>
          <w:sz w:val="28"/>
        </w:rPr>
        <w:t>Zhigang</w:t>
      </w:r>
      <w:proofErr w:type="spellEnd"/>
      <w:r>
        <w:rPr>
          <w:rFonts w:hint="eastAsia"/>
          <w:i w:val="0"/>
          <w:sz w:val="28"/>
        </w:rPr>
        <w:t xml:space="preserve"> Wang</w:t>
      </w:r>
      <w:r>
        <w:rPr>
          <w:rFonts w:hint="eastAsia"/>
          <w:i w:val="0"/>
          <w:sz w:val="28"/>
          <w:vertAlign w:val="superscript"/>
        </w:rPr>
        <w:t>3</w:t>
      </w:r>
      <w:r>
        <w:rPr>
          <w:rFonts w:hint="eastAsia"/>
          <w:i w:val="0"/>
          <w:sz w:val="28"/>
        </w:rPr>
        <w:t xml:space="preserve">, </w:t>
      </w:r>
      <w:proofErr w:type="spellStart"/>
      <w:r>
        <w:rPr>
          <w:rFonts w:hint="eastAsia"/>
          <w:i w:val="0"/>
          <w:sz w:val="28"/>
        </w:rPr>
        <w:t>Jiangchuan</w:t>
      </w:r>
      <w:proofErr w:type="spellEnd"/>
      <w:r>
        <w:rPr>
          <w:rFonts w:hint="eastAsia"/>
          <w:i w:val="0"/>
          <w:sz w:val="28"/>
        </w:rPr>
        <w:t xml:space="preserve"> Sun</w:t>
      </w:r>
      <w:r>
        <w:rPr>
          <w:rFonts w:hint="eastAsia"/>
          <w:i w:val="0"/>
          <w:sz w:val="28"/>
          <w:vertAlign w:val="superscript"/>
        </w:rPr>
        <w:t>1, *</w:t>
      </w:r>
      <w:r>
        <w:rPr>
          <w:rFonts w:hint="eastAsia"/>
          <w:i w:val="0"/>
          <w:sz w:val="28"/>
        </w:rPr>
        <w:t>，</w:t>
      </w:r>
      <w:proofErr w:type="spellStart"/>
      <w:r>
        <w:rPr>
          <w:rFonts w:hint="eastAsia"/>
          <w:i w:val="0"/>
          <w:sz w:val="28"/>
        </w:rPr>
        <w:t>Shufang</w:t>
      </w:r>
      <w:proofErr w:type="spellEnd"/>
      <w:r>
        <w:rPr>
          <w:rFonts w:hint="eastAsia"/>
          <w:i w:val="0"/>
          <w:sz w:val="28"/>
        </w:rPr>
        <w:t xml:space="preserve"> Chang</w:t>
      </w:r>
      <w:r>
        <w:rPr>
          <w:i w:val="0"/>
          <w:sz w:val="28"/>
          <w:vertAlign w:val="superscript"/>
        </w:rPr>
        <w:t>1, *</w:t>
      </w:r>
    </w:p>
    <w:p w:rsidR="00C7334C" w:rsidRDefault="00C82D83">
      <w:pPr>
        <w:pStyle w:val="Correspondencedetails"/>
        <w:rPr>
          <w:i/>
        </w:rPr>
      </w:pPr>
      <w:r>
        <w:rPr>
          <w:i/>
        </w:rPr>
        <w:t xml:space="preserve">1Department of Obstetrics and </w:t>
      </w:r>
      <w:proofErr w:type="spellStart"/>
      <w:r>
        <w:rPr>
          <w:i/>
        </w:rPr>
        <w:t>Gynecology</w:t>
      </w:r>
      <w:proofErr w:type="spellEnd"/>
      <w:r>
        <w:rPr>
          <w:i/>
        </w:rPr>
        <w:t xml:space="preserve">, The Second Affiliated Hospital of Chongqing Medical University, Chongqing 400010, China </w:t>
      </w:r>
    </w:p>
    <w:p w:rsidR="00C7334C" w:rsidRDefault="00C82D83">
      <w:pPr>
        <w:pStyle w:val="Correspondencedetails"/>
        <w:rPr>
          <w:i/>
        </w:rPr>
      </w:pPr>
      <w:r>
        <w:rPr>
          <w:i/>
        </w:rPr>
        <w:t>2Department of Pharmacy, The First Affiliated Hospital of Chongqing Medical University, Chongqing 400016, China</w:t>
      </w:r>
      <w:r>
        <w:rPr>
          <w:rFonts w:ascii="MS Mincho" w:eastAsia="MS Mincho" w:hAnsi="MS Mincho" w:cs="MS Mincho" w:hint="eastAsia"/>
          <w:i/>
        </w:rPr>
        <w:t> </w:t>
      </w:r>
    </w:p>
    <w:p w:rsidR="00C7334C" w:rsidRDefault="00C82D83">
      <w:pPr>
        <w:pStyle w:val="Correspondencedetails"/>
        <w:rPr>
          <w:i/>
        </w:rPr>
      </w:pPr>
      <w:r>
        <w:rPr>
          <w:i/>
        </w:rPr>
        <w:t xml:space="preserve">3Institute of Ultrasound Imaging, Second Affiliated Hospital of Chongqing Medical University, Chongqing 400010, China </w:t>
      </w:r>
    </w:p>
    <w:p w:rsidR="00C7334C" w:rsidRDefault="00C82D83">
      <w:pPr>
        <w:pStyle w:val="Correspondencedetails"/>
        <w:rPr>
          <w:i/>
        </w:rPr>
      </w:pPr>
      <w:r>
        <w:rPr>
          <w:i/>
        </w:rPr>
        <w:t>#These authors contributed equally to this work.</w:t>
      </w:r>
    </w:p>
    <w:p w:rsidR="00C7334C" w:rsidRDefault="00C82D83">
      <w:pPr>
        <w:pStyle w:val="Notesoncontributors"/>
        <w:rPr>
          <w:i/>
          <w:sz w:val="24"/>
        </w:rPr>
      </w:pPr>
      <w:r>
        <w:rPr>
          <w:i/>
          <w:sz w:val="24"/>
        </w:rPr>
        <w:t xml:space="preserve">Correspondence to: </w:t>
      </w:r>
      <w:proofErr w:type="spellStart"/>
      <w:r>
        <w:rPr>
          <w:i/>
          <w:sz w:val="24"/>
        </w:rPr>
        <w:t>Shufang</w:t>
      </w:r>
      <w:proofErr w:type="spellEnd"/>
      <w:r>
        <w:rPr>
          <w:i/>
          <w:sz w:val="24"/>
        </w:rPr>
        <w:t xml:space="preserve"> Chang, MD, Professor of Obstetrics and </w:t>
      </w:r>
      <w:proofErr w:type="spellStart"/>
      <w:r>
        <w:rPr>
          <w:i/>
          <w:sz w:val="24"/>
        </w:rPr>
        <w:t>Gynecology</w:t>
      </w:r>
      <w:proofErr w:type="spellEnd"/>
      <w:r>
        <w:rPr>
          <w:i/>
          <w:sz w:val="24"/>
        </w:rPr>
        <w:t xml:space="preserve">. Department of Obstetrics and </w:t>
      </w:r>
      <w:proofErr w:type="spellStart"/>
      <w:r>
        <w:rPr>
          <w:i/>
          <w:sz w:val="24"/>
        </w:rPr>
        <w:t>Gynecology</w:t>
      </w:r>
      <w:proofErr w:type="spellEnd"/>
      <w:r>
        <w:rPr>
          <w:i/>
          <w:sz w:val="24"/>
        </w:rPr>
        <w:t xml:space="preserve">, The Second Affiliated Hospital of Chongqing Medical University, 74 </w:t>
      </w:r>
      <w:proofErr w:type="spellStart"/>
      <w:r>
        <w:rPr>
          <w:i/>
          <w:sz w:val="24"/>
        </w:rPr>
        <w:t>Linjian</w:t>
      </w:r>
      <w:proofErr w:type="spellEnd"/>
      <w:r>
        <w:rPr>
          <w:i/>
          <w:sz w:val="24"/>
        </w:rPr>
        <w:t xml:space="preserve"> Road, </w:t>
      </w:r>
      <w:proofErr w:type="spellStart"/>
      <w:r>
        <w:rPr>
          <w:i/>
          <w:sz w:val="24"/>
        </w:rPr>
        <w:t>Yuzhong</w:t>
      </w:r>
      <w:proofErr w:type="spellEnd"/>
      <w:r>
        <w:rPr>
          <w:i/>
          <w:sz w:val="24"/>
        </w:rPr>
        <w:t xml:space="preserve"> District, Chongqing 400010, China. Tel: +86 23 6369 3279, Fax: +86 23 6510 4238, Email: </w:t>
      </w:r>
      <w:hyperlink r:id="rId6" w:history="1">
        <w:r>
          <w:rPr>
            <w:rStyle w:val="a7"/>
            <w:i/>
            <w:sz w:val="24"/>
          </w:rPr>
          <w:t>shfch2005@163.com</w:t>
        </w:r>
      </w:hyperlink>
      <w:r>
        <w:rPr>
          <w:i/>
          <w:sz w:val="24"/>
        </w:rPr>
        <w:t xml:space="preserve"> or </w:t>
      </w:r>
      <w:proofErr w:type="spellStart"/>
      <w:r>
        <w:rPr>
          <w:i/>
          <w:sz w:val="24"/>
        </w:rPr>
        <w:t>Jiangchuan</w:t>
      </w:r>
      <w:proofErr w:type="spellEnd"/>
      <w:r>
        <w:rPr>
          <w:i/>
          <w:sz w:val="24"/>
        </w:rPr>
        <w:t xml:space="preserve"> Sun, Professor of Obstetrics and </w:t>
      </w:r>
      <w:proofErr w:type="spellStart"/>
      <w:r>
        <w:rPr>
          <w:i/>
          <w:sz w:val="24"/>
        </w:rPr>
        <w:t>Gynecology</w:t>
      </w:r>
      <w:proofErr w:type="spellEnd"/>
      <w:r>
        <w:rPr>
          <w:i/>
          <w:sz w:val="24"/>
        </w:rPr>
        <w:t xml:space="preserve">. Department of Obstetrics and </w:t>
      </w:r>
      <w:proofErr w:type="spellStart"/>
      <w:r>
        <w:rPr>
          <w:i/>
          <w:sz w:val="24"/>
        </w:rPr>
        <w:t>Gynecology</w:t>
      </w:r>
      <w:proofErr w:type="spellEnd"/>
      <w:r>
        <w:rPr>
          <w:i/>
          <w:sz w:val="24"/>
        </w:rPr>
        <w:t xml:space="preserve">, The Second Affiliated Hospital of Chongqing Medical University, 74 </w:t>
      </w:r>
      <w:proofErr w:type="spellStart"/>
      <w:r>
        <w:rPr>
          <w:i/>
          <w:sz w:val="24"/>
        </w:rPr>
        <w:t>Linjian</w:t>
      </w:r>
      <w:proofErr w:type="spellEnd"/>
      <w:r>
        <w:rPr>
          <w:i/>
          <w:sz w:val="24"/>
        </w:rPr>
        <w:t xml:space="preserve"> Road, </w:t>
      </w:r>
      <w:proofErr w:type="spellStart"/>
      <w:r>
        <w:rPr>
          <w:i/>
          <w:sz w:val="24"/>
        </w:rPr>
        <w:t>Yuzhong</w:t>
      </w:r>
      <w:proofErr w:type="spellEnd"/>
      <w:r>
        <w:rPr>
          <w:i/>
          <w:sz w:val="24"/>
        </w:rPr>
        <w:t xml:space="preserve"> District, Chongqing 400010, China. Tel: +86 23 6369 3483, Fax: +86 23 6510 4238, Email: </w:t>
      </w:r>
      <w:hyperlink r:id="rId7" w:history="1">
        <w:r>
          <w:rPr>
            <w:rStyle w:val="a7"/>
            <w:i/>
            <w:sz w:val="24"/>
          </w:rPr>
          <w:t>sunjiangchuan@126.com</w:t>
        </w:r>
      </w:hyperlink>
    </w:p>
    <w:p w:rsidR="00C7334C" w:rsidRDefault="00C82D83" w:rsidP="00C34AE5">
      <w:pPr>
        <w:pStyle w:val="Authornames"/>
        <w:spacing w:line="480" w:lineRule="auto"/>
        <w:outlineLvl w:val="0"/>
        <w:rPr>
          <w:b/>
          <w:sz w:val="24"/>
          <w:lang w:eastAsia="zh-CN"/>
        </w:rPr>
      </w:pPr>
      <w:r>
        <w:rPr>
          <w:b/>
          <w:sz w:val="24"/>
          <w:lang w:eastAsia="zh-CN"/>
        </w:rPr>
        <w:lastRenderedPageBreak/>
        <w:t>Supplementary Methods</w:t>
      </w:r>
    </w:p>
    <w:p w:rsidR="00C7334C" w:rsidRDefault="00C82D83">
      <w:pPr>
        <w:pStyle w:val="a8"/>
        <w:numPr>
          <w:ilvl w:val="0"/>
          <w:numId w:val="1"/>
        </w:numPr>
        <w:spacing w:line="480" w:lineRule="auto"/>
        <w:ind w:firstLineChars="0"/>
        <w:rPr>
          <w:rFonts w:ascii="Times New Roman" w:hAnsi="Times New Roman" w:cs="Times New Roman"/>
          <w:b/>
          <w:i/>
          <w:sz w:val="22"/>
        </w:rPr>
      </w:pPr>
      <w:r>
        <w:rPr>
          <w:rFonts w:ascii="Times New Roman" w:hAnsi="Times New Roman" w:cs="Times New Roman"/>
          <w:b/>
          <w:i/>
          <w:sz w:val="22"/>
        </w:rPr>
        <w:t>Dual-model imaging in vitro</w:t>
      </w:r>
    </w:p>
    <w:p w:rsidR="00C7334C" w:rsidRDefault="00C82D83">
      <w:pPr>
        <w:spacing w:line="480" w:lineRule="auto"/>
        <w:ind w:firstLineChars="200" w:firstLine="440"/>
        <w:rPr>
          <w:rFonts w:ascii="Times New Roman" w:hAnsi="Times New Roman" w:cs="Times New Roman"/>
          <w:sz w:val="22"/>
        </w:rPr>
      </w:pPr>
      <w:r>
        <w:rPr>
          <w:rFonts w:ascii="Times New Roman" w:hAnsi="Times New Roman" w:cs="Times New Roman"/>
          <w:sz w:val="22"/>
        </w:rPr>
        <w:t>B-mode, contrast mode and PA-mode imaging of the PIO_NPs were investigated. PBS for control, free ICG and O_NPs were also studied as comparison. We used an agar gel phantom (2% agar w/v in distilled water) to evaluate the function of PIO_NPs as a contrast agent for dual-mode imaging. A pipette tip was inserted into gel to create a hole into which the NPs or free ICG solution was deposited. During each agent exposed to laser-irradiation (808nm diode laser, Mid-River Ltd., Xi’an, China) using 1.5W/cm2 for 2 min, B-mode and contrast mode images were captured by ultrasonic diagnostic instrument (</w:t>
      </w:r>
      <w:proofErr w:type="spellStart"/>
      <w:r>
        <w:rPr>
          <w:rFonts w:ascii="Times New Roman" w:hAnsi="Times New Roman" w:cs="Times New Roman"/>
          <w:sz w:val="22"/>
        </w:rPr>
        <w:t>MyLab</w:t>
      </w:r>
      <w:proofErr w:type="spellEnd"/>
      <w:r>
        <w:rPr>
          <w:rFonts w:ascii="Times New Roman" w:hAnsi="Times New Roman" w:cs="Times New Roman"/>
          <w:sz w:val="22"/>
        </w:rPr>
        <w:t xml:space="preserve"> 90, </w:t>
      </w:r>
      <w:proofErr w:type="spellStart"/>
      <w:r>
        <w:rPr>
          <w:rFonts w:ascii="Times New Roman" w:hAnsi="Times New Roman" w:cs="Times New Roman"/>
          <w:sz w:val="22"/>
        </w:rPr>
        <w:t>Esaote</w:t>
      </w:r>
      <w:proofErr w:type="spellEnd"/>
      <w:r>
        <w:rPr>
          <w:rFonts w:ascii="Times New Roman" w:hAnsi="Times New Roman" w:cs="Times New Roman"/>
          <w:sz w:val="22"/>
        </w:rPr>
        <w:t>, Italy) using a liner probe (5-12MHz). Then, those images were analyzed using DFY (invented by the Institution of Ultrasound Imaging of Chongqing Medical University) to measure the Echo Intensity (EI) in B-mode and contrast mode separately. PA-mode images of the samples were obtained and analyzed using the VEVO LASR PA imaging system (VIVO 2100, FUJIFILM Visual Sonic, Inc., USA) by following method described above.</w:t>
      </w:r>
    </w:p>
    <w:p w:rsidR="00C82D83" w:rsidRDefault="00C82D83">
      <w:pPr>
        <w:spacing w:line="480" w:lineRule="auto"/>
        <w:ind w:firstLineChars="200" w:firstLine="440"/>
        <w:rPr>
          <w:rFonts w:ascii="Times New Roman" w:hAnsi="Times New Roman" w:cs="Times New Roman"/>
          <w:sz w:val="22"/>
        </w:rPr>
      </w:pPr>
    </w:p>
    <w:p w:rsidR="00C7334C" w:rsidRDefault="00C82D83">
      <w:pPr>
        <w:pStyle w:val="a8"/>
        <w:numPr>
          <w:ilvl w:val="0"/>
          <w:numId w:val="1"/>
        </w:numPr>
        <w:spacing w:line="480" w:lineRule="auto"/>
        <w:ind w:firstLineChars="0"/>
        <w:rPr>
          <w:rFonts w:ascii="Times New Roman" w:hAnsi="Times New Roman" w:cs="Times New Roman"/>
          <w:b/>
          <w:i/>
          <w:sz w:val="22"/>
        </w:rPr>
      </w:pPr>
      <w:r>
        <w:rPr>
          <w:rFonts w:ascii="Times New Roman" w:hAnsi="Times New Roman" w:cs="Times New Roman"/>
          <w:b/>
          <w:i/>
          <w:sz w:val="22"/>
        </w:rPr>
        <w:t>In vitro MTT assay</w:t>
      </w:r>
    </w:p>
    <w:p w:rsidR="00C7334C" w:rsidRDefault="00C82D83">
      <w:pPr>
        <w:spacing w:line="480" w:lineRule="auto"/>
        <w:rPr>
          <w:rFonts w:ascii="Times New Roman" w:hAnsi="Times New Roman" w:cs="Times New Roman"/>
          <w:sz w:val="22"/>
        </w:rPr>
      </w:pPr>
      <w:r>
        <w:rPr>
          <w:rFonts w:ascii="Times New Roman" w:hAnsi="Times New Roman" w:cs="Times New Roman"/>
          <w:sz w:val="22"/>
        </w:rPr>
        <w:t>The SKOV3 cells were seed into 48-well plate (1.4×10</w:t>
      </w:r>
      <w:r>
        <w:rPr>
          <w:rFonts w:ascii="Times New Roman" w:hAnsi="Times New Roman" w:cs="Times New Roman"/>
          <w:sz w:val="22"/>
          <w:vertAlign w:val="superscript"/>
        </w:rPr>
        <w:t>5</w:t>
      </w:r>
      <w:r>
        <w:rPr>
          <w:rFonts w:ascii="Times New Roman" w:hAnsi="Times New Roman" w:cs="Times New Roman"/>
          <w:sz w:val="22"/>
        </w:rPr>
        <w:t>/well) in 250μL of medium and cultured for 24h. To choose the appropriate treatment concentration, the medium was changed to different concentration PTX or PIO_NPs. After 4h incubation, sterile PBS washed cells thrice and each well add new complete medium. Then the treated cells were irradiated with 1.5W/cm2 808nm for 2min and exposed to 1.0 W/cm</w:t>
      </w:r>
      <w:r>
        <w:rPr>
          <w:rFonts w:ascii="Times New Roman" w:hAnsi="Times New Roman" w:cs="Times New Roman"/>
          <w:sz w:val="22"/>
          <w:vertAlign w:val="superscript"/>
        </w:rPr>
        <w:t>2</w:t>
      </w:r>
      <w:r>
        <w:rPr>
          <w:rFonts w:ascii="Times New Roman" w:hAnsi="Times New Roman" w:cs="Times New Roman"/>
          <w:sz w:val="22"/>
        </w:rPr>
        <w:t xml:space="preserve"> low-intensity for 1min (The role of laser and ultrasound is abbreviated as L.U). Afterwards cells were incubated for another 24h, the cell </w:t>
      </w:r>
      <w:r>
        <w:rPr>
          <w:rFonts w:ascii="Times New Roman" w:hAnsi="Times New Roman" w:cs="Times New Roman"/>
          <w:sz w:val="22"/>
        </w:rPr>
        <w:lastRenderedPageBreak/>
        <w:t>viability was quantified by MTT assay. We also use MTT assay to explore the effect of different treatments. After cell planted 24h, the medium was removed and replaced by 250μL culture media containing equivalent concentrations of free PTX, IO_NPs, PI_NPs and PIO_NPs (final ICG concentration 3.46μg/mL, PTX 6.90μg/mL). The rest of the procedure is the same as above.</w:t>
      </w:r>
    </w:p>
    <w:p w:rsidR="00C7334C" w:rsidRDefault="00C82D83">
      <w:pPr>
        <w:spacing w:line="480" w:lineRule="auto"/>
        <w:rPr>
          <w:rFonts w:ascii="Times New Roman" w:hAnsi="Times New Roman" w:cs="Times New Roman"/>
          <w:sz w:val="22"/>
        </w:rPr>
      </w:pPr>
      <w:r>
        <w:rPr>
          <w:rFonts w:ascii="Times New Roman" w:hAnsi="Times New Roman" w:cs="Times New Roman"/>
          <w:sz w:val="22"/>
        </w:rPr>
        <w:br w:type="page"/>
      </w:r>
    </w:p>
    <w:p w:rsidR="00C7334C" w:rsidRDefault="00C82D83" w:rsidP="00C34AE5">
      <w:pPr>
        <w:pStyle w:val="Authornames"/>
        <w:spacing w:line="480" w:lineRule="auto"/>
        <w:outlineLvl w:val="0"/>
        <w:rPr>
          <w:b/>
          <w:sz w:val="24"/>
          <w:lang w:eastAsia="zh-CN"/>
        </w:rPr>
      </w:pPr>
      <w:r>
        <w:rPr>
          <w:b/>
          <w:sz w:val="24"/>
          <w:lang w:eastAsia="zh-CN"/>
        </w:rPr>
        <w:lastRenderedPageBreak/>
        <w:t xml:space="preserve">Supplementary Figures </w:t>
      </w:r>
      <w:r>
        <w:rPr>
          <w:rFonts w:hint="eastAsia"/>
          <w:b/>
          <w:sz w:val="24"/>
          <w:lang w:eastAsia="zh-CN"/>
        </w:rPr>
        <w:t>and</w:t>
      </w:r>
      <w:r>
        <w:rPr>
          <w:b/>
          <w:sz w:val="24"/>
          <w:lang w:eastAsia="zh-CN"/>
        </w:rPr>
        <w:t xml:space="preserve"> </w:t>
      </w:r>
      <w:r>
        <w:rPr>
          <w:rFonts w:hint="eastAsia"/>
          <w:b/>
          <w:sz w:val="24"/>
          <w:lang w:eastAsia="zh-CN"/>
        </w:rPr>
        <w:t>Tables</w:t>
      </w:r>
    </w:p>
    <w:p w:rsidR="00C7334C" w:rsidRDefault="00C7334C">
      <w:pPr>
        <w:rPr>
          <w:lang w:val="en-GB"/>
        </w:rPr>
      </w:pPr>
    </w:p>
    <w:tbl>
      <w:tblPr>
        <w:tblW w:w="9274" w:type="dxa"/>
        <w:jc w:val="center"/>
        <w:tblLayout w:type="fixed"/>
        <w:tblLook w:val="04A0" w:firstRow="1" w:lastRow="0" w:firstColumn="1" w:lastColumn="0" w:noHBand="0" w:noVBand="1"/>
      </w:tblPr>
      <w:tblGrid>
        <w:gridCol w:w="972"/>
        <w:gridCol w:w="1155"/>
        <w:gridCol w:w="1276"/>
        <w:gridCol w:w="1361"/>
        <w:gridCol w:w="1190"/>
        <w:gridCol w:w="1126"/>
        <w:gridCol w:w="1026"/>
        <w:gridCol w:w="1168"/>
      </w:tblGrid>
      <w:tr w:rsidR="00C7334C">
        <w:trPr>
          <w:trHeight w:val="320"/>
          <w:jc w:val="center"/>
        </w:trPr>
        <w:tc>
          <w:tcPr>
            <w:tcW w:w="972" w:type="dxa"/>
            <w:tcBorders>
              <w:top w:val="single" w:sz="4" w:space="0" w:color="000000"/>
              <w:left w:val="nil"/>
              <w:bottom w:val="nil"/>
              <w:right w:val="nil"/>
            </w:tcBorders>
            <w:shd w:val="clear" w:color="000000" w:fill="E7E6E6"/>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 xml:space="preserve">　</w:t>
            </w:r>
          </w:p>
        </w:tc>
        <w:tc>
          <w:tcPr>
            <w:tcW w:w="1155" w:type="dxa"/>
            <w:tcBorders>
              <w:top w:val="single" w:sz="4" w:space="0" w:color="000000"/>
              <w:left w:val="nil"/>
              <w:bottom w:val="nil"/>
              <w:right w:val="nil"/>
            </w:tcBorders>
            <w:shd w:val="clear" w:color="000000" w:fill="E7E6E6"/>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Diameter</w:t>
            </w:r>
          </w:p>
        </w:tc>
        <w:tc>
          <w:tcPr>
            <w:tcW w:w="1276" w:type="dxa"/>
            <w:tcBorders>
              <w:top w:val="single" w:sz="4" w:space="0" w:color="000000"/>
              <w:left w:val="nil"/>
              <w:bottom w:val="nil"/>
              <w:right w:val="nil"/>
            </w:tcBorders>
            <w:shd w:val="clear" w:color="000000" w:fill="E7E6E6"/>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Zeta potential</w:t>
            </w:r>
          </w:p>
        </w:tc>
        <w:tc>
          <w:tcPr>
            <w:tcW w:w="1361" w:type="dxa"/>
            <w:tcBorders>
              <w:top w:val="single" w:sz="4" w:space="0" w:color="000000"/>
              <w:left w:val="nil"/>
              <w:bottom w:val="nil"/>
              <w:right w:val="nil"/>
            </w:tcBorders>
            <w:shd w:val="clear" w:color="000000" w:fill="E7E6E6"/>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Polydispersity</w:t>
            </w:r>
          </w:p>
        </w:tc>
        <w:tc>
          <w:tcPr>
            <w:tcW w:w="1190" w:type="dxa"/>
            <w:tcBorders>
              <w:top w:val="single" w:sz="4" w:space="0" w:color="000000"/>
              <w:left w:val="nil"/>
              <w:bottom w:val="nil"/>
              <w:right w:val="nil"/>
            </w:tcBorders>
            <w:shd w:val="clear" w:color="000000" w:fill="E7E6E6"/>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EE of PTX</w:t>
            </w:r>
          </w:p>
        </w:tc>
        <w:tc>
          <w:tcPr>
            <w:tcW w:w="1126" w:type="dxa"/>
            <w:tcBorders>
              <w:top w:val="single" w:sz="4" w:space="0" w:color="000000"/>
              <w:left w:val="nil"/>
              <w:bottom w:val="nil"/>
              <w:right w:val="nil"/>
            </w:tcBorders>
            <w:shd w:val="clear" w:color="000000" w:fill="E7E6E6"/>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EE of ICG</w:t>
            </w:r>
          </w:p>
        </w:tc>
        <w:tc>
          <w:tcPr>
            <w:tcW w:w="1026" w:type="dxa"/>
            <w:tcBorders>
              <w:top w:val="single" w:sz="4" w:space="0" w:color="000000"/>
              <w:left w:val="nil"/>
              <w:bottom w:val="nil"/>
              <w:right w:val="nil"/>
            </w:tcBorders>
            <w:shd w:val="clear" w:color="000000" w:fill="E7E6E6"/>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LE of PTX</w:t>
            </w:r>
          </w:p>
        </w:tc>
        <w:tc>
          <w:tcPr>
            <w:tcW w:w="1168" w:type="dxa"/>
            <w:tcBorders>
              <w:top w:val="single" w:sz="4" w:space="0" w:color="000000"/>
              <w:left w:val="nil"/>
              <w:bottom w:val="nil"/>
              <w:right w:val="nil"/>
            </w:tcBorders>
            <w:shd w:val="clear" w:color="000000" w:fill="E7E6E6"/>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LE of ICG</w:t>
            </w:r>
          </w:p>
        </w:tc>
      </w:tr>
      <w:tr w:rsidR="00C7334C">
        <w:trPr>
          <w:trHeight w:val="320"/>
          <w:jc w:val="center"/>
        </w:trPr>
        <w:tc>
          <w:tcPr>
            <w:tcW w:w="972" w:type="dxa"/>
            <w:tcBorders>
              <w:top w:val="nil"/>
              <w:left w:val="nil"/>
              <w:bottom w:val="nil"/>
              <w:right w:val="nil"/>
            </w:tcBorders>
            <w:shd w:val="clear" w:color="000000" w:fill="E7E6E6"/>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 xml:space="preserve">　</w:t>
            </w:r>
          </w:p>
        </w:tc>
        <w:tc>
          <w:tcPr>
            <w:tcW w:w="1155" w:type="dxa"/>
            <w:tcBorders>
              <w:top w:val="nil"/>
              <w:left w:val="nil"/>
              <w:bottom w:val="nil"/>
              <w:right w:val="nil"/>
            </w:tcBorders>
            <w:shd w:val="clear" w:color="000000" w:fill="E7E6E6"/>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(nm)</w:t>
            </w:r>
          </w:p>
        </w:tc>
        <w:tc>
          <w:tcPr>
            <w:tcW w:w="1276" w:type="dxa"/>
            <w:tcBorders>
              <w:top w:val="nil"/>
              <w:left w:val="nil"/>
              <w:bottom w:val="nil"/>
              <w:right w:val="nil"/>
            </w:tcBorders>
            <w:shd w:val="clear" w:color="000000" w:fill="E7E6E6"/>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(mV)</w:t>
            </w:r>
          </w:p>
        </w:tc>
        <w:tc>
          <w:tcPr>
            <w:tcW w:w="1361" w:type="dxa"/>
            <w:tcBorders>
              <w:top w:val="nil"/>
              <w:left w:val="nil"/>
              <w:bottom w:val="nil"/>
              <w:right w:val="nil"/>
            </w:tcBorders>
            <w:shd w:val="clear" w:color="000000" w:fill="E7E6E6"/>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 xml:space="preserve">　</w:t>
            </w:r>
          </w:p>
        </w:tc>
        <w:tc>
          <w:tcPr>
            <w:tcW w:w="1190" w:type="dxa"/>
            <w:tcBorders>
              <w:top w:val="nil"/>
              <w:left w:val="nil"/>
              <w:bottom w:val="nil"/>
              <w:right w:val="nil"/>
            </w:tcBorders>
            <w:shd w:val="clear" w:color="000000" w:fill="E7E6E6"/>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p>
        </w:tc>
        <w:tc>
          <w:tcPr>
            <w:tcW w:w="1126" w:type="dxa"/>
            <w:tcBorders>
              <w:top w:val="nil"/>
              <w:left w:val="nil"/>
              <w:bottom w:val="nil"/>
              <w:right w:val="nil"/>
            </w:tcBorders>
            <w:shd w:val="clear" w:color="000000" w:fill="E7E6E6"/>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p>
        </w:tc>
        <w:tc>
          <w:tcPr>
            <w:tcW w:w="1026" w:type="dxa"/>
            <w:tcBorders>
              <w:top w:val="nil"/>
              <w:left w:val="nil"/>
              <w:bottom w:val="nil"/>
              <w:right w:val="nil"/>
            </w:tcBorders>
            <w:shd w:val="clear" w:color="000000" w:fill="E7E6E6"/>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p>
        </w:tc>
        <w:tc>
          <w:tcPr>
            <w:tcW w:w="1168" w:type="dxa"/>
            <w:tcBorders>
              <w:top w:val="nil"/>
              <w:left w:val="nil"/>
              <w:bottom w:val="nil"/>
              <w:right w:val="nil"/>
            </w:tcBorders>
            <w:shd w:val="clear" w:color="000000" w:fill="E7E6E6"/>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p>
        </w:tc>
      </w:tr>
      <w:tr w:rsidR="00C7334C">
        <w:trPr>
          <w:trHeight w:val="320"/>
          <w:jc w:val="center"/>
        </w:trPr>
        <w:tc>
          <w:tcPr>
            <w:tcW w:w="972" w:type="dxa"/>
            <w:tcBorders>
              <w:top w:val="nil"/>
              <w:left w:val="nil"/>
              <w:bottom w:val="nil"/>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PIO_NPs</w:t>
            </w:r>
          </w:p>
        </w:tc>
        <w:tc>
          <w:tcPr>
            <w:tcW w:w="1155" w:type="dxa"/>
            <w:tcBorders>
              <w:top w:val="nil"/>
              <w:left w:val="nil"/>
              <w:bottom w:val="nil"/>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186.4±1.9</w:t>
            </w:r>
          </w:p>
        </w:tc>
        <w:tc>
          <w:tcPr>
            <w:tcW w:w="1276" w:type="dxa"/>
            <w:tcBorders>
              <w:top w:val="nil"/>
              <w:left w:val="nil"/>
              <w:bottom w:val="nil"/>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-19.43±0.55</w:t>
            </w:r>
          </w:p>
        </w:tc>
        <w:tc>
          <w:tcPr>
            <w:tcW w:w="1361" w:type="dxa"/>
            <w:tcBorders>
              <w:top w:val="nil"/>
              <w:left w:val="nil"/>
              <w:bottom w:val="nil"/>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0.112±0.019</w:t>
            </w:r>
          </w:p>
        </w:tc>
        <w:tc>
          <w:tcPr>
            <w:tcW w:w="1190" w:type="dxa"/>
            <w:tcBorders>
              <w:top w:val="nil"/>
              <w:left w:val="nil"/>
              <w:bottom w:val="nil"/>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64.29±2.76</w:t>
            </w:r>
          </w:p>
        </w:tc>
        <w:tc>
          <w:tcPr>
            <w:tcW w:w="1126" w:type="dxa"/>
            <w:tcBorders>
              <w:top w:val="nil"/>
              <w:left w:val="nil"/>
              <w:bottom w:val="nil"/>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57.27±0.77</w:t>
            </w:r>
          </w:p>
        </w:tc>
        <w:tc>
          <w:tcPr>
            <w:tcW w:w="1026" w:type="dxa"/>
            <w:tcBorders>
              <w:top w:val="nil"/>
              <w:left w:val="nil"/>
              <w:bottom w:val="nil"/>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3.64±0.16</w:t>
            </w:r>
          </w:p>
        </w:tc>
        <w:tc>
          <w:tcPr>
            <w:tcW w:w="1168" w:type="dxa"/>
            <w:tcBorders>
              <w:top w:val="nil"/>
              <w:left w:val="nil"/>
              <w:bottom w:val="nil"/>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1.73±0.15</w:t>
            </w:r>
          </w:p>
        </w:tc>
      </w:tr>
      <w:tr w:rsidR="00C7334C">
        <w:trPr>
          <w:trHeight w:val="320"/>
          <w:jc w:val="center"/>
        </w:trPr>
        <w:tc>
          <w:tcPr>
            <w:tcW w:w="972" w:type="dxa"/>
            <w:tcBorders>
              <w:top w:val="nil"/>
              <w:left w:val="nil"/>
              <w:bottom w:val="nil"/>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 xml:space="preserve"> IO_NPs</w:t>
            </w:r>
          </w:p>
        </w:tc>
        <w:tc>
          <w:tcPr>
            <w:tcW w:w="1155" w:type="dxa"/>
            <w:tcBorders>
              <w:top w:val="nil"/>
              <w:left w:val="nil"/>
              <w:bottom w:val="nil"/>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191.0±5.1</w:t>
            </w:r>
          </w:p>
        </w:tc>
        <w:tc>
          <w:tcPr>
            <w:tcW w:w="1276" w:type="dxa"/>
            <w:tcBorders>
              <w:top w:val="nil"/>
              <w:left w:val="nil"/>
              <w:bottom w:val="nil"/>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-20.40±1.55</w:t>
            </w:r>
          </w:p>
        </w:tc>
        <w:tc>
          <w:tcPr>
            <w:tcW w:w="1361" w:type="dxa"/>
            <w:tcBorders>
              <w:top w:val="nil"/>
              <w:left w:val="nil"/>
              <w:bottom w:val="nil"/>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0.092±0.003</w:t>
            </w:r>
          </w:p>
        </w:tc>
        <w:tc>
          <w:tcPr>
            <w:tcW w:w="1190" w:type="dxa"/>
            <w:tcBorders>
              <w:top w:val="nil"/>
              <w:left w:val="nil"/>
              <w:bottom w:val="nil"/>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p>
        </w:tc>
        <w:tc>
          <w:tcPr>
            <w:tcW w:w="1126" w:type="dxa"/>
            <w:tcBorders>
              <w:top w:val="nil"/>
              <w:left w:val="nil"/>
              <w:bottom w:val="nil"/>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52.45±1.34</w:t>
            </w:r>
          </w:p>
        </w:tc>
        <w:tc>
          <w:tcPr>
            <w:tcW w:w="1026" w:type="dxa"/>
            <w:tcBorders>
              <w:top w:val="nil"/>
              <w:left w:val="nil"/>
              <w:bottom w:val="nil"/>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p>
        </w:tc>
        <w:tc>
          <w:tcPr>
            <w:tcW w:w="1168" w:type="dxa"/>
            <w:tcBorders>
              <w:top w:val="nil"/>
              <w:left w:val="nil"/>
              <w:bottom w:val="nil"/>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1.30±0.30</w:t>
            </w:r>
          </w:p>
        </w:tc>
      </w:tr>
      <w:tr w:rsidR="00C7334C">
        <w:trPr>
          <w:trHeight w:val="320"/>
          <w:jc w:val="center"/>
        </w:trPr>
        <w:tc>
          <w:tcPr>
            <w:tcW w:w="972" w:type="dxa"/>
            <w:tcBorders>
              <w:top w:val="nil"/>
              <w:left w:val="nil"/>
              <w:bottom w:val="single" w:sz="4" w:space="0" w:color="000000"/>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 xml:space="preserve"> PI_NPs</w:t>
            </w:r>
          </w:p>
        </w:tc>
        <w:tc>
          <w:tcPr>
            <w:tcW w:w="1155" w:type="dxa"/>
            <w:tcBorders>
              <w:top w:val="nil"/>
              <w:left w:val="nil"/>
              <w:bottom w:val="single" w:sz="4" w:space="0" w:color="000000"/>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214.3±6.3</w:t>
            </w:r>
          </w:p>
        </w:tc>
        <w:tc>
          <w:tcPr>
            <w:tcW w:w="1276" w:type="dxa"/>
            <w:tcBorders>
              <w:top w:val="nil"/>
              <w:left w:val="nil"/>
              <w:bottom w:val="single" w:sz="4" w:space="0" w:color="000000"/>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-13.67±2.65</w:t>
            </w:r>
          </w:p>
        </w:tc>
        <w:tc>
          <w:tcPr>
            <w:tcW w:w="1361" w:type="dxa"/>
            <w:tcBorders>
              <w:top w:val="nil"/>
              <w:left w:val="nil"/>
              <w:bottom w:val="single" w:sz="4" w:space="0" w:color="000000"/>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0.162±0.042</w:t>
            </w:r>
          </w:p>
        </w:tc>
        <w:tc>
          <w:tcPr>
            <w:tcW w:w="1190" w:type="dxa"/>
            <w:tcBorders>
              <w:top w:val="nil"/>
              <w:left w:val="nil"/>
              <w:bottom w:val="single" w:sz="4" w:space="0" w:color="000000"/>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57.59±3.36</w:t>
            </w:r>
          </w:p>
        </w:tc>
        <w:tc>
          <w:tcPr>
            <w:tcW w:w="1126" w:type="dxa"/>
            <w:tcBorders>
              <w:top w:val="nil"/>
              <w:left w:val="nil"/>
              <w:bottom w:val="single" w:sz="4" w:space="0" w:color="000000"/>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51.44±2.26</w:t>
            </w:r>
          </w:p>
        </w:tc>
        <w:tc>
          <w:tcPr>
            <w:tcW w:w="1026" w:type="dxa"/>
            <w:tcBorders>
              <w:top w:val="nil"/>
              <w:left w:val="nil"/>
              <w:bottom w:val="single" w:sz="4" w:space="0" w:color="000000"/>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3.46±0.21</w:t>
            </w:r>
          </w:p>
        </w:tc>
        <w:tc>
          <w:tcPr>
            <w:tcW w:w="1168" w:type="dxa"/>
            <w:tcBorders>
              <w:top w:val="nil"/>
              <w:left w:val="nil"/>
              <w:bottom w:val="single" w:sz="4" w:space="0" w:color="000000"/>
              <w:right w:val="nil"/>
            </w:tcBorders>
            <w:shd w:val="clear" w:color="000000" w:fill="FFFFFF"/>
            <w:vAlign w:val="center"/>
          </w:tcPr>
          <w:p w:rsidR="00C7334C" w:rsidRDefault="00C82D83">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1.11±0.05</w:t>
            </w:r>
          </w:p>
        </w:tc>
      </w:tr>
    </w:tbl>
    <w:p w:rsidR="007E3C8E" w:rsidRPr="007E3C8E" w:rsidRDefault="00C82D83" w:rsidP="007E3C8E">
      <w:pPr>
        <w:rPr>
          <w:rFonts w:ascii="Times New Roman" w:hAnsi="Times New Roman" w:cs="Times New Roman"/>
        </w:rPr>
      </w:pPr>
      <w:r>
        <w:rPr>
          <w:rFonts w:ascii="Times New Roman" w:hAnsi="Times New Roman" w:cs="Times New Roman" w:hint="eastAsia"/>
          <w:b/>
          <w:sz w:val="22"/>
        </w:rPr>
        <w:t>T</w:t>
      </w:r>
      <w:r>
        <w:rPr>
          <w:rFonts w:ascii="Times New Roman" w:hAnsi="Times New Roman" w:cs="Times New Roman"/>
          <w:b/>
          <w:sz w:val="22"/>
        </w:rPr>
        <w:t>able</w:t>
      </w:r>
      <w:r>
        <w:rPr>
          <w:rFonts w:ascii="Times New Roman" w:hAnsi="Times New Roman" w:cs="Times New Roman" w:hint="eastAsia"/>
          <w:b/>
          <w:sz w:val="22"/>
        </w:rPr>
        <w:t xml:space="preserve"> S1</w:t>
      </w:r>
      <w:r>
        <w:rPr>
          <w:rFonts w:ascii="Times New Roman" w:hAnsi="Times New Roman" w:cs="Times New Roman" w:hint="eastAsia"/>
          <w:sz w:val="22"/>
        </w:rPr>
        <w:t>.</w:t>
      </w:r>
      <w:r>
        <w:rPr>
          <w:rFonts w:ascii="Times New Roman" w:hAnsi="Times New Roman" w:cs="Times New Roman"/>
        </w:rPr>
        <w:t xml:space="preserve"> </w:t>
      </w:r>
      <w:r>
        <w:rPr>
          <w:rFonts w:ascii="Times New Roman" w:hAnsi="Times New Roman" w:cs="Times New Roman"/>
          <w:sz w:val="22"/>
          <w:szCs w:val="22"/>
        </w:rPr>
        <w:t>Size and zeta potential of PIO_NPs, IO_NPs, PI_NPs. LE and EE of PTX or ICG for different nanoparticles.</w:t>
      </w:r>
      <w:r w:rsidR="007E3C8E" w:rsidRPr="007E3C8E">
        <w:rPr>
          <w:rFonts w:ascii="Times New Roman" w:hAnsi="Times New Roman" w:cs="Times New Roman"/>
          <w:sz w:val="22"/>
          <w:szCs w:val="22"/>
        </w:rPr>
        <w:t xml:space="preserve"> </w:t>
      </w:r>
      <w:r w:rsidR="007E3C8E">
        <w:rPr>
          <w:rFonts w:ascii="Times New Roman" w:hAnsi="Times New Roman" w:cs="Times New Roman"/>
          <w:sz w:val="22"/>
          <w:szCs w:val="22"/>
        </w:rPr>
        <w:t>Values are mean± SD (n=3).</w:t>
      </w:r>
    </w:p>
    <w:p w:rsidR="00C7334C" w:rsidRDefault="007C0EB0" w:rsidP="007E3C8E">
      <w:pPr>
        <w:rPr>
          <w:rFonts w:ascii="Times New Roman" w:hAnsi="Times New Roman" w:cs="Times New Roman"/>
        </w:rPr>
      </w:pPr>
      <w:r>
        <w:rPr>
          <w:rFonts w:ascii="Times New Roman" w:hAnsi="Times New Roman" w:cs="Times New Roman"/>
          <w:b/>
          <w:sz w:val="22"/>
          <w:szCs w:val="22"/>
        </w:rPr>
        <w:t>Notes</w:t>
      </w:r>
      <w:r w:rsidR="007E3C8E">
        <w:rPr>
          <w:rFonts w:ascii="Times New Roman" w:hAnsi="Times New Roman" w:cs="Times New Roman"/>
          <w:b/>
          <w:sz w:val="22"/>
          <w:szCs w:val="22"/>
        </w:rPr>
        <w:t xml:space="preserve">: </w:t>
      </w:r>
      <w:r w:rsidR="00C82D83">
        <w:rPr>
          <w:rFonts w:ascii="Times New Roman" w:hAnsi="Times New Roman" w:cs="Times New Roman"/>
          <w:sz w:val="22"/>
          <w:szCs w:val="22"/>
        </w:rPr>
        <w:t>EE</w:t>
      </w:r>
      <w:r w:rsidR="007E3C8E">
        <w:rPr>
          <w:rFonts w:ascii="Times New Roman" w:hAnsi="Times New Roman" w:cs="Times New Roman"/>
          <w:sz w:val="22"/>
          <w:szCs w:val="22"/>
        </w:rPr>
        <w:t xml:space="preserve">, </w:t>
      </w:r>
      <w:r w:rsidR="00C82D83">
        <w:rPr>
          <w:rFonts w:ascii="Times New Roman" w:hAnsi="Times New Roman" w:cs="Times New Roman"/>
          <w:sz w:val="22"/>
          <w:szCs w:val="22"/>
        </w:rPr>
        <w:t>drug encapsulation efficiency</w:t>
      </w:r>
      <w:r w:rsidR="00C82D83">
        <w:rPr>
          <w:rFonts w:ascii="Times New Roman" w:hAnsi="Times New Roman" w:cs="Times New Roman" w:hint="eastAsia"/>
          <w:sz w:val="22"/>
          <w:szCs w:val="22"/>
        </w:rPr>
        <w:t xml:space="preserve">; </w:t>
      </w:r>
      <w:r w:rsidR="00C82D83">
        <w:rPr>
          <w:rFonts w:ascii="Times New Roman" w:hAnsi="Times New Roman" w:cs="Times New Roman"/>
          <w:sz w:val="22"/>
          <w:szCs w:val="22"/>
        </w:rPr>
        <w:t>LE</w:t>
      </w:r>
      <w:r w:rsidR="007E3C8E">
        <w:rPr>
          <w:rFonts w:ascii="Times New Roman" w:hAnsi="Times New Roman" w:cs="Times New Roman"/>
          <w:sz w:val="22"/>
          <w:szCs w:val="22"/>
        </w:rPr>
        <w:t xml:space="preserve">, </w:t>
      </w:r>
      <w:r w:rsidR="00C82D83">
        <w:rPr>
          <w:rFonts w:ascii="Times New Roman" w:hAnsi="Times New Roman" w:cs="Times New Roman"/>
          <w:sz w:val="22"/>
          <w:szCs w:val="22"/>
        </w:rPr>
        <w:t xml:space="preserve">drug loading efficiency. </w:t>
      </w:r>
    </w:p>
    <w:p w:rsidR="00C7334C" w:rsidRDefault="00C7334C">
      <w:pPr>
        <w:rPr>
          <w:rFonts w:ascii="Times New Roman" w:hAnsi="Times New Roman" w:cs="Times New Roman"/>
        </w:rPr>
      </w:pPr>
    </w:p>
    <w:p w:rsidR="00C7334C" w:rsidRDefault="00C82D83">
      <w:pPr>
        <w:spacing w:line="480" w:lineRule="auto"/>
        <w:jc w:val="center"/>
        <w:rPr>
          <w:rFonts w:ascii="Times New Roman" w:hAnsi="Times New Roman" w:cs="Times New Roman"/>
          <w:sz w:val="22"/>
        </w:rPr>
      </w:pPr>
      <w:r>
        <w:rPr>
          <w:rFonts w:ascii="Times New Roman" w:hAnsi="Times New Roman" w:cs="Times New Roman" w:hint="eastAsia"/>
          <w:noProof/>
          <w:sz w:val="22"/>
        </w:rPr>
        <w:drawing>
          <wp:inline distT="0" distB="0" distL="0" distR="0">
            <wp:extent cx="2383155" cy="3361690"/>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4389" cy="3377798"/>
                    </a:xfrm>
                    <a:prstGeom prst="rect">
                      <a:avLst/>
                    </a:prstGeom>
                  </pic:spPr>
                </pic:pic>
              </a:graphicData>
            </a:graphic>
          </wp:inline>
        </w:drawing>
      </w:r>
    </w:p>
    <w:p w:rsidR="00C7334C" w:rsidRDefault="00C82D83" w:rsidP="007E3C8E">
      <w:pPr>
        <w:outlineLvl w:val="0"/>
        <w:rPr>
          <w:rFonts w:ascii="Times New Roman" w:hAnsi="Times New Roman" w:cs="Times New Roman"/>
          <w:sz w:val="22"/>
        </w:rPr>
      </w:pPr>
      <w:r>
        <w:rPr>
          <w:rFonts w:ascii="Times New Roman" w:hAnsi="Times New Roman" w:cs="Times New Roman" w:hint="eastAsia"/>
          <w:b/>
          <w:sz w:val="22"/>
        </w:rPr>
        <w:t>Figure S1</w:t>
      </w:r>
      <w:r>
        <w:rPr>
          <w:rFonts w:ascii="Times New Roman" w:hAnsi="Times New Roman" w:cs="Times New Roman" w:hint="eastAsia"/>
          <w:sz w:val="22"/>
        </w:rPr>
        <w:t>.</w:t>
      </w:r>
      <w:r>
        <w:t xml:space="preserve"> </w:t>
      </w:r>
      <w:r>
        <w:rPr>
          <w:rFonts w:ascii="Times New Roman" w:hAnsi="Times New Roman" w:cs="Times New Roman"/>
          <w:sz w:val="22"/>
        </w:rPr>
        <w:t>The PTX contained in PIO_NPs were detected by HPLC at different times</w:t>
      </w:r>
      <w:r w:rsidR="007E3C8E" w:rsidRPr="007E3C8E">
        <w:rPr>
          <w:rFonts w:ascii="Times New Roman" w:hAnsi="Times New Roman" w:cs="Times New Roman"/>
          <w:sz w:val="22"/>
        </w:rPr>
        <w:t xml:space="preserve"> </w:t>
      </w:r>
      <w:r w:rsidR="007E3C8E">
        <w:rPr>
          <w:rFonts w:ascii="Times New Roman" w:hAnsi="Times New Roman" w:cs="Times New Roman" w:hint="eastAsia"/>
          <w:sz w:val="22"/>
        </w:rPr>
        <w:t>a</w:t>
      </w:r>
      <w:r w:rsidR="007E3C8E" w:rsidRPr="007E3C8E">
        <w:rPr>
          <w:rFonts w:ascii="Times New Roman" w:hAnsi="Times New Roman" w:cs="Times New Roman"/>
          <w:sz w:val="22"/>
        </w:rPr>
        <w:t>t 37°C and pH 7.4</w:t>
      </w:r>
      <w:r w:rsidR="007E3C8E">
        <w:rPr>
          <w:rFonts w:ascii="Times New Roman" w:hAnsi="Times New Roman" w:cs="Times New Roman" w:hint="eastAsia"/>
          <w:sz w:val="22"/>
        </w:rPr>
        <w:t xml:space="preserve">. </w:t>
      </w:r>
      <w:r w:rsidR="007E3C8E">
        <w:rPr>
          <w:rFonts w:ascii="Times New Roman" w:hAnsi="Times New Roman" w:cs="Times New Roman"/>
          <w:sz w:val="22"/>
        </w:rPr>
        <w:t>T</w:t>
      </w:r>
      <w:r w:rsidR="007E3C8E" w:rsidRPr="007E3C8E">
        <w:rPr>
          <w:rFonts w:ascii="Times New Roman" w:hAnsi="Times New Roman" w:cs="Times New Roman"/>
          <w:sz w:val="22"/>
        </w:rPr>
        <w:t xml:space="preserve">he release of PTX was increased </w:t>
      </w:r>
      <w:r w:rsidR="007E3C8E">
        <w:rPr>
          <w:rFonts w:ascii="Times New Roman" w:hAnsi="Times New Roman" w:cs="Times New Roman"/>
          <w:sz w:val="22"/>
        </w:rPr>
        <w:t xml:space="preserve">after </w:t>
      </w:r>
      <w:r w:rsidR="007E3C8E" w:rsidRPr="007E3C8E">
        <w:rPr>
          <w:rFonts w:ascii="Times New Roman" w:hAnsi="Times New Roman" w:cs="Times New Roman"/>
          <w:sz w:val="22"/>
        </w:rPr>
        <w:t>laser</w:t>
      </w:r>
      <w:r w:rsidR="007E3C8E">
        <w:rPr>
          <w:rFonts w:ascii="Times New Roman" w:hAnsi="Times New Roman" w:cs="Times New Roman"/>
          <w:sz w:val="22"/>
        </w:rPr>
        <w:t xml:space="preserve"> and ultrasound exposure at 4 h.</w:t>
      </w:r>
    </w:p>
    <w:p w:rsidR="00C7334C" w:rsidRDefault="00C7334C">
      <w:pPr>
        <w:spacing w:line="480" w:lineRule="auto"/>
        <w:jc w:val="center"/>
        <w:rPr>
          <w:rFonts w:ascii="Times New Roman" w:hAnsi="Times New Roman" w:cs="Times New Roman"/>
          <w:sz w:val="22"/>
        </w:rPr>
      </w:pPr>
    </w:p>
    <w:p w:rsidR="00C7334C" w:rsidRDefault="00C7334C">
      <w:pPr>
        <w:spacing w:line="480" w:lineRule="auto"/>
        <w:jc w:val="center"/>
        <w:rPr>
          <w:rFonts w:ascii="Times New Roman" w:hAnsi="Times New Roman" w:cs="Times New Roman"/>
          <w:sz w:val="22"/>
        </w:rPr>
      </w:pPr>
    </w:p>
    <w:p w:rsidR="00C7334C" w:rsidRDefault="00C7334C">
      <w:pPr>
        <w:spacing w:line="480" w:lineRule="auto"/>
        <w:jc w:val="center"/>
        <w:rPr>
          <w:rFonts w:ascii="Times New Roman" w:hAnsi="Times New Roman" w:cs="Times New Roman"/>
          <w:sz w:val="22"/>
        </w:rPr>
      </w:pPr>
    </w:p>
    <w:p w:rsidR="00C7334C" w:rsidRDefault="00C7334C">
      <w:pPr>
        <w:spacing w:line="480" w:lineRule="auto"/>
        <w:jc w:val="center"/>
        <w:rPr>
          <w:rFonts w:ascii="Times New Roman" w:hAnsi="Times New Roman" w:cs="Times New Roman"/>
          <w:sz w:val="22"/>
        </w:rPr>
      </w:pPr>
    </w:p>
    <w:p w:rsidR="00C7334C" w:rsidRDefault="00C7334C">
      <w:pPr>
        <w:spacing w:line="480" w:lineRule="auto"/>
        <w:rPr>
          <w:rFonts w:ascii="Times New Roman" w:hAnsi="Times New Roman" w:cs="Times New Roman"/>
          <w:sz w:val="22"/>
        </w:rPr>
      </w:pPr>
    </w:p>
    <w:p w:rsidR="00C7334C" w:rsidRDefault="00C34AE5">
      <w:pPr>
        <w:spacing w:line="480" w:lineRule="auto"/>
        <w:jc w:val="center"/>
        <w:rPr>
          <w:rFonts w:ascii="Times New Roman" w:hAnsi="Times New Roman" w:cs="Times New Roman"/>
          <w:sz w:val="22"/>
        </w:rPr>
      </w:pPr>
      <w:r>
        <w:rPr>
          <w:rFonts w:ascii="Times New Roman" w:hAnsi="Times New Roman" w:cs="Times New Roman"/>
          <w:noProof/>
          <w:sz w:val="22"/>
        </w:rPr>
        <w:lastRenderedPageBreak/>
        <w:drawing>
          <wp:inline distT="0" distB="0" distL="0" distR="0">
            <wp:extent cx="2448911" cy="1698025"/>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FBS.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5298" cy="1709388"/>
                    </a:xfrm>
                    <a:prstGeom prst="rect">
                      <a:avLst/>
                    </a:prstGeom>
                  </pic:spPr>
                </pic:pic>
              </a:graphicData>
            </a:graphic>
          </wp:inline>
        </w:drawing>
      </w:r>
    </w:p>
    <w:p w:rsidR="00C7334C" w:rsidRDefault="00C82D83" w:rsidP="007C0EB0">
      <w:pPr>
        <w:rPr>
          <w:rFonts w:ascii="Times New Roman" w:hAnsi="Times New Roman" w:cs="Times New Roman"/>
          <w:sz w:val="22"/>
        </w:rPr>
      </w:pPr>
      <w:r>
        <w:rPr>
          <w:rFonts w:ascii="Times New Roman" w:hAnsi="Times New Roman" w:cs="Times New Roman" w:hint="eastAsia"/>
          <w:b/>
          <w:sz w:val="22"/>
        </w:rPr>
        <w:t>Figure S</w:t>
      </w:r>
      <w:r>
        <w:rPr>
          <w:rFonts w:ascii="Times New Roman" w:hAnsi="Times New Roman" w:cs="Times New Roman"/>
          <w:b/>
          <w:sz w:val="22"/>
        </w:rPr>
        <w:t>2.</w:t>
      </w:r>
      <w:r>
        <w:rPr>
          <w:rFonts w:ascii="Times New Roman" w:hAnsi="Times New Roman" w:cs="Times New Roman"/>
          <w:sz w:val="22"/>
          <w:szCs w:val="22"/>
        </w:rPr>
        <w:t xml:space="preserve"> Normalized absorption of PIO_NPs and free ICG</w:t>
      </w:r>
      <w:r>
        <w:rPr>
          <w:rFonts w:ascii="Times New Roman" w:eastAsia="宋体" w:hAnsi="Times New Roman" w:cs="Times New Roman"/>
          <w:color w:val="000000"/>
          <w:kern w:val="0"/>
          <w:sz w:val="24"/>
          <w:shd w:val="clear" w:color="auto" w:fill="FFFFFF"/>
        </w:rPr>
        <w:t xml:space="preserve"> in 10% fetal bovine serum</w:t>
      </w:r>
      <w:r>
        <w:rPr>
          <w:rFonts w:ascii="Times New Roman" w:hAnsi="Times New Roman" w:cs="Times New Roman"/>
          <w:sz w:val="22"/>
          <w:szCs w:val="22"/>
        </w:rPr>
        <w:t xml:space="preserve"> every three days.</w:t>
      </w:r>
      <w:r w:rsidR="007C0EB0" w:rsidRPr="007C0EB0">
        <w:t xml:space="preserve"> </w:t>
      </w:r>
      <w:r w:rsidR="007C0EB0" w:rsidRPr="007C0EB0">
        <w:rPr>
          <w:rFonts w:ascii="Times New Roman" w:hAnsi="Times New Roman" w:cs="Times New Roman"/>
          <w:sz w:val="22"/>
          <w:szCs w:val="22"/>
        </w:rPr>
        <w:t>After 15-day observation, PIO_NPs decreased the intensity of absorption by about 25%, while</w:t>
      </w:r>
      <w:r w:rsidR="007C0EB0">
        <w:rPr>
          <w:rFonts w:ascii="Times New Roman" w:hAnsi="Times New Roman" w:cs="Times New Roman"/>
          <w:sz w:val="22"/>
          <w:szCs w:val="22"/>
        </w:rPr>
        <w:t xml:space="preserve"> free ICG was decreased nearly 80</w:t>
      </w:r>
      <w:r w:rsidR="007C0EB0" w:rsidRPr="007C0EB0">
        <w:rPr>
          <w:rFonts w:ascii="Times New Roman" w:hAnsi="Times New Roman" w:cs="Times New Roman"/>
          <w:sz w:val="22"/>
          <w:szCs w:val="22"/>
        </w:rPr>
        <w:t>%</w:t>
      </w:r>
      <w:r w:rsidR="007C0EB0">
        <w:rPr>
          <w:rFonts w:ascii="Times New Roman" w:hAnsi="Times New Roman" w:cs="Times New Roman"/>
          <w:sz w:val="22"/>
          <w:szCs w:val="22"/>
        </w:rPr>
        <w:t>.</w:t>
      </w:r>
    </w:p>
    <w:p w:rsidR="00C7334C" w:rsidRDefault="00C7334C" w:rsidP="00E93A22">
      <w:pPr>
        <w:spacing w:line="480" w:lineRule="auto"/>
        <w:rPr>
          <w:rFonts w:ascii="Times New Roman" w:hAnsi="Times New Roman" w:cs="Times New Roman" w:hint="eastAsia"/>
          <w:sz w:val="22"/>
        </w:rPr>
      </w:pPr>
    </w:p>
    <w:p w:rsidR="00C7334C" w:rsidRDefault="00C82D83">
      <w:pPr>
        <w:spacing w:line="480" w:lineRule="auto"/>
        <w:jc w:val="center"/>
        <w:rPr>
          <w:rFonts w:ascii="Times New Roman" w:hAnsi="Times New Roman" w:cs="Times New Roman"/>
          <w:sz w:val="22"/>
        </w:rPr>
      </w:pPr>
      <w:r>
        <w:rPr>
          <w:rFonts w:ascii="Times New Roman" w:hAnsi="Times New Roman" w:cs="Times New Roman"/>
          <w:noProof/>
          <w:sz w:val="22"/>
        </w:rPr>
        <w:drawing>
          <wp:inline distT="0" distB="0" distL="0" distR="0">
            <wp:extent cx="3867807" cy="1839771"/>
            <wp:effectExtent l="0" t="0" r="571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7928" cy="1849342"/>
                    </a:xfrm>
                    <a:prstGeom prst="rect">
                      <a:avLst/>
                    </a:prstGeom>
                  </pic:spPr>
                </pic:pic>
              </a:graphicData>
            </a:graphic>
          </wp:inline>
        </w:drawing>
      </w:r>
    </w:p>
    <w:p w:rsidR="00C7334C" w:rsidRDefault="00C82D83" w:rsidP="007C0EB0">
      <w:pPr>
        <w:rPr>
          <w:rFonts w:ascii="Times New Roman" w:hAnsi="Times New Roman" w:cs="Times New Roman"/>
          <w:sz w:val="22"/>
        </w:rPr>
      </w:pPr>
      <w:r>
        <w:rPr>
          <w:rFonts w:ascii="Times New Roman" w:hAnsi="Times New Roman" w:cs="Times New Roman" w:hint="eastAsia"/>
          <w:b/>
          <w:sz w:val="22"/>
        </w:rPr>
        <w:t>Figure S</w:t>
      </w:r>
      <w:r>
        <w:rPr>
          <w:rFonts w:ascii="Times New Roman" w:hAnsi="Times New Roman" w:cs="Times New Roman"/>
          <w:b/>
          <w:sz w:val="22"/>
        </w:rPr>
        <w:t xml:space="preserve">3. </w:t>
      </w:r>
      <w:r>
        <w:rPr>
          <w:rFonts w:ascii="Times New Roman" w:hAnsi="Times New Roman" w:cs="Times New Roman"/>
          <w:sz w:val="22"/>
        </w:rPr>
        <w:t>Flow analysis of mean fluorescence intensity in SKOV3 cells incubated with media (black</w:t>
      </w:r>
      <w:r w:rsidR="007C0EB0">
        <w:rPr>
          <w:rFonts w:ascii="Times New Roman" w:hAnsi="Times New Roman" w:cs="Times New Roman"/>
          <w:sz w:val="22"/>
        </w:rPr>
        <w:t xml:space="preserve"> line</w:t>
      </w:r>
      <w:r>
        <w:rPr>
          <w:rFonts w:ascii="Times New Roman" w:hAnsi="Times New Roman" w:cs="Times New Roman"/>
          <w:sz w:val="22"/>
        </w:rPr>
        <w:t>), ICG (blue</w:t>
      </w:r>
      <w:r w:rsidR="007C0EB0">
        <w:rPr>
          <w:rFonts w:ascii="Times New Roman" w:hAnsi="Times New Roman" w:cs="Times New Roman"/>
          <w:sz w:val="22"/>
        </w:rPr>
        <w:t xml:space="preserve"> line</w:t>
      </w:r>
      <w:r>
        <w:rPr>
          <w:rFonts w:ascii="Times New Roman" w:hAnsi="Times New Roman" w:cs="Times New Roman"/>
          <w:sz w:val="22"/>
        </w:rPr>
        <w:t>) and PIO_NPs (red</w:t>
      </w:r>
      <w:r w:rsidR="007C0EB0">
        <w:rPr>
          <w:rFonts w:ascii="Times New Roman" w:hAnsi="Times New Roman" w:cs="Times New Roman"/>
          <w:sz w:val="22"/>
        </w:rPr>
        <w:t xml:space="preserve"> line</w:t>
      </w:r>
      <w:r>
        <w:rPr>
          <w:rFonts w:ascii="Times New Roman" w:hAnsi="Times New Roman" w:cs="Times New Roman"/>
          <w:sz w:val="22"/>
        </w:rPr>
        <w:t>)</w:t>
      </w:r>
      <w:r w:rsidR="007C0EB0" w:rsidRPr="007C0EB0">
        <w:rPr>
          <w:rFonts w:ascii="Times New Roman" w:hAnsi="Times New Roman" w:cs="Times New Roman"/>
          <w:sz w:val="22"/>
        </w:rPr>
        <w:t xml:space="preserve"> </w:t>
      </w:r>
      <w:r w:rsidR="007C0EB0">
        <w:rPr>
          <w:rFonts w:ascii="Times New Roman" w:hAnsi="Times New Roman" w:cs="Times New Roman"/>
          <w:sz w:val="22"/>
        </w:rPr>
        <w:t>(</w:t>
      </w:r>
      <w:r w:rsidR="007C0EB0">
        <w:rPr>
          <w:rFonts w:ascii="Times New Roman" w:hAnsi="Times New Roman" w:cs="Times New Roman"/>
          <w:b/>
          <w:sz w:val="22"/>
        </w:rPr>
        <w:t>a</w:t>
      </w:r>
      <w:r w:rsidR="007C0EB0">
        <w:rPr>
          <w:rFonts w:ascii="Times New Roman" w:hAnsi="Times New Roman" w:cs="Times New Roman"/>
          <w:sz w:val="22"/>
        </w:rPr>
        <w:t>)</w:t>
      </w:r>
      <w:r>
        <w:rPr>
          <w:rFonts w:ascii="Times New Roman" w:hAnsi="Times New Roman" w:cs="Times New Roman"/>
          <w:sz w:val="22"/>
        </w:rPr>
        <w:t>. Mean fluorescence intensity of different groups</w:t>
      </w:r>
      <w:r w:rsidR="007C0EB0">
        <w:rPr>
          <w:rFonts w:ascii="Times New Roman" w:hAnsi="Times New Roman" w:cs="Times New Roman"/>
          <w:sz w:val="22"/>
        </w:rPr>
        <w:t xml:space="preserve"> (</w:t>
      </w:r>
      <w:r w:rsidR="007C0EB0">
        <w:rPr>
          <w:rFonts w:ascii="Times New Roman" w:hAnsi="Times New Roman" w:cs="Times New Roman"/>
          <w:b/>
          <w:sz w:val="22"/>
        </w:rPr>
        <w:t>b</w:t>
      </w:r>
      <w:r w:rsidR="007C0EB0">
        <w:rPr>
          <w:rFonts w:ascii="Times New Roman" w:hAnsi="Times New Roman" w:cs="Times New Roman"/>
          <w:sz w:val="22"/>
        </w:rPr>
        <w:t>)</w:t>
      </w:r>
      <w:r>
        <w:rPr>
          <w:rFonts w:ascii="Times New Roman" w:hAnsi="Times New Roman" w:cs="Times New Roman"/>
          <w:sz w:val="22"/>
        </w:rPr>
        <w:t xml:space="preserve">. The PIO_NPs group was </w:t>
      </w:r>
      <w:r w:rsidR="007C0EB0">
        <w:rPr>
          <w:rFonts w:ascii="Times New Roman" w:hAnsi="Times New Roman" w:cs="Times New Roman"/>
          <w:sz w:val="22"/>
        </w:rPr>
        <w:t xml:space="preserve">significantly </w:t>
      </w:r>
      <w:r>
        <w:rPr>
          <w:rFonts w:ascii="Times New Roman" w:hAnsi="Times New Roman" w:cs="Times New Roman"/>
          <w:sz w:val="22"/>
        </w:rPr>
        <w:t>higher than others, *P&lt; 0.005.</w:t>
      </w:r>
    </w:p>
    <w:p w:rsidR="00C7334C" w:rsidRPr="007C0EB0" w:rsidRDefault="00C7334C">
      <w:pPr>
        <w:spacing w:line="480" w:lineRule="auto"/>
        <w:jc w:val="center"/>
        <w:rPr>
          <w:rFonts w:ascii="Times New Roman" w:hAnsi="Times New Roman" w:cs="Times New Roman"/>
          <w:sz w:val="22"/>
        </w:rPr>
      </w:pPr>
    </w:p>
    <w:p w:rsidR="00C7334C" w:rsidRDefault="00C82D83">
      <w:pPr>
        <w:spacing w:line="480" w:lineRule="auto"/>
        <w:jc w:val="center"/>
        <w:rPr>
          <w:rFonts w:ascii="Times New Roman" w:hAnsi="Times New Roman" w:cs="Times New Roman"/>
          <w:sz w:val="22"/>
        </w:rPr>
      </w:pPr>
      <w:r>
        <w:rPr>
          <w:rFonts w:ascii="Times New Roman" w:hAnsi="Times New Roman" w:cs="Times New Roman"/>
          <w:noProof/>
          <w:sz w:val="22"/>
        </w:rPr>
        <w:drawing>
          <wp:inline distT="0" distB="0" distL="0" distR="0">
            <wp:extent cx="3987800" cy="1879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3070" cy="1901305"/>
                    </a:xfrm>
                    <a:prstGeom prst="rect">
                      <a:avLst/>
                    </a:prstGeom>
                  </pic:spPr>
                </pic:pic>
              </a:graphicData>
            </a:graphic>
          </wp:inline>
        </w:drawing>
      </w:r>
    </w:p>
    <w:p w:rsidR="00C7334C" w:rsidRDefault="00C82D83" w:rsidP="00A54C3C">
      <w:pPr>
        <w:rPr>
          <w:rFonts w:ascii="Times New Roman" w:hAnsi="Times New Roman" w:cs="Times New Roman"/>
          <w:sz w:val="22"/>
        </w:rPr>
      </w:pPr>
      <w:r>
        <w:rPr>
          <w:rFonts w:ascii="Times New Roman" w:hAnsi="Times New Roman" w:cs="Times New Roman" w:hint="eastAsia"/>
          <w:b/>
          <w:sz w:val="22"/>
        </w:rPr>
        <w:t>Figure S</w:t>
      </w:r>
      <w:r>
        <w:rPr>
          <w:rFonts w:ascii="Times New Roman" w:hAnsi="Times New Roman" w:cs="Times New Roman"/>
          <w:b/>
          <w:sz w:val="22"/>
        </w:rPr>
        <w:t>4.</w:t>
      </w:r>
      <w:r>
        <w:t xml:space="preserve"> </w:t>
      </w:r>
      <w:r>
        <w:rPr>
          <w:rFonts w:ascii="Times New Roman" w:hAnsi="Times New Roman" w:cs="Times New Roman"/>
          <w:sz w:val="22"/>
        </w:rPr>
        <w:t xml:space="preserve">Cytotoxicity of different concentration of PTX, PIO_NPs and PIO_NPs plus laser and </w:t>
      </w:r>
      <w:r w:rsidR="007E3C8E">
        <w:rPr>
          <w:rFonts w:ascii="Times New Roman" w:hAnsi="Times New Roman" w:cs="Times New Roman"/>
          <w:sz w:val="22"/>
        </w:rPr>
        <w:t>ultrasound</w:t>
      </w:r>
      <w:r w:rsidR="00A54C3C">
        <w:rPr>
          <w:rFonts w:ascii="Times New Roman" w:hAnsi="Times New Roman" w:cs="Times New Roman"/>
          <w:sz w:val="22"/>
        </w:rPr>
        <w:t xml:space="preserve"> (</w:t>
      </w:r>
      <w:r w:rsidR="00A54C3C">
        <w:rPr>
          <w:rFonts w:ascii="Times New Roman" w:hAnsi="Times New Roman" w:cs="Times New Roman"/>
          <w:b/>
          <w:sz w:val="22"/>
        </w:rPr>
        <w:t>a</w:t>
      </w:r>
      <w:r w:rsidR="00A54C3C">
        <w:rPr>
          <w:rFonts w:ascii="Times New Roman" w:hAnsi="Times New Roman" w:cs="Times New Roman"/>
          <w:sz w:val="22"/>
        </w:rPr>
        <w:t>)</w:t>
      </w:r>
      <w:r w:rsidR="007E3C8E">
        <w:rPr>
          <w:rFonts w:ascii="Times New Roman" w:hAnsi="Times New Roman" w:cs="Times New Roman"/>
          <w:sz w:val="22"/>
        </w:rPr>
        <w:t xml:space="preserve">. </w:t>
      </w:r>
      <w:r>
        <w:rPr>
          <w:rFonts w:ascii="Times New Roman" w:hAnsi="Times New Roman" w:cs="Times New Roman"/>
          <w:sz w:val="22"/>
        </w:rPr>
        <w:t xml:space="preserve">Cytotoxicity of different treatment </w:t>
      </w:r>
      <w:r w:rsidR="007E3C8E">
        <w:rPr>
          <w:rFonts w:ascii="Times New Roman" w:hAnsi="Times New Roman" w:cs="Times New Roman"/>
          <w:sz w:val="22"/>
        </w:rPr>
        <w:t>groups</w:t>
      </w:r>
      <w:r w:rsidR="00A54C3C">
        <w:rPr>
          <w:rFonts w:ascii="Times New Roman" w:hAnsi="Times New Roman" w:cs="Times New Roman"/>
          <w:sz w:val="22"/>
        </w:rPr>
        <w:t xml:space="preserve"> (</w:t>
      </w:r>
      <w:r w:rsidR="00A54C3C">
        <w:rPr>
          <w:rFonts w:ascii="Times New Roman" w:hAnsi="Times New Roman" w:cs="Times New Roman"/>
          <w:b/>
          <w:sz w:val="22"/>
        </w:rPr>
        <w:t>b</w:t>
      </w:r>
      <w:r w:rsidR="00A54C3C">
        <w:rPr>
          <w:rFonts w:ascii="Times New Roman" w:hAnsi="Times New Roman" w:cs="Times New Roman"/>
          <w:sz w:val="22"/>
        </w:rPr>
        <w:t>)</w:t>
      </w:r>
      <w:r w:rsidR="007E3C8E">
        <w:rPr>
          <w:rFonts w:ascii="Times New Roman" w:hAnsi="Times New Roman" w:cs="Times New Roman"/>
          <w:sz w:val="22"/>
        </w:rPr>
        <w:t>.</w:t>
      </w:r>
      <w:r w:rsidR="00A54C3C">
        <w:rPr>
          <w:rFonts w:ascii="Times New Roman" w:hAnsi="Times New Roman" w:cs="Times New Roman"/>
          <w:sz w:val="22"/>
        </w:rPr>
        <w:t xml:space="preserve"> </w:t>
      </w:r>
      <w:r>
        <w:rPr>
          <w:rFonts w:ascii="Times New Roman" w:hAnsi="Times New Roman" w:cs="Times New Roman"/>
          <w:sz w:val="22"/>
        </w:rPr>
        <w:t>Compared with control, *P&lt;0.005; PIO_NPs+L.U</w:t>
      </w:r>
      <w:r w:rsidR="00A54C3C">
        <w:rPr>
          <w:rFonts w:ascii="Times New Roman" w:hAnsi="Times New Roman" w:cs="Times New Roman"/>
          <w:sz w:val="22"/>
        </w:rPr>
        <w:t xml:space="preserve"> group</w:t>
      </w:r>
      <w:r>
        <w:rPr>
          <w:rFonts w:ascii="Times New Roman" w:hAnsi="Times New Roman" w:cs="Times New Roman"/>
          <w:sz w:val="22"/>
        </w:rPr>
        <w:t xml:space="preserve"> compared with other groups, #P&lt;0.005.</w:t>
      </w:r>
    </w:p>
    <w:p w:rsidR="00C7334C" w:rsidRDefault="00C7334C">
      <w:pPr>
        <w:spacing w:line="480" w:lineRule="auto"/>
        <w:rPr>
          <w:rFonts w:ascii="Times New Roman" w:hAnsi="Times New Roman" w:cs="Times New Roman" w:hint="eastAsia"/>
          <w:sz w:val="22"/>
        </w:rPr>
      </w:pPr>
      <w:bookmarkStart w:id="0" w:name="_GoBack"/>
      <w:bookmarkEnd w:id="0"/>
    </w:p>
    <w:p w:rsidR="00C7334C" w:rsidRDefault="00C82D83">
      <w:pPr>
        <w:spacing w:line="480" w:lineRule="auto"/>
        <w:jc w:val="center"/>
        <w:rPr>
          <w:rFonts w:ascii="Times New Roman" w:hAnsi="Times New Roman" w:cs="Times New Roman"/>
          <w:sz w:val="22"/>
        </w:rPr>
      </w:pPr>
      <w:r>
        <w:rPr>
          <w:rFonts w:ascii="Times New Roman" w:hAnsi="Times New Roman" w:cs="Times New Roman" w:hint="eastAsia"/>
          <w:noProof/>
          <w:sz w:val="22"/>
        </w:rPr>
        <w:lastRenderedPageBreak/>
        <w:drawing>
          <wp:inline distT="0" distB="0" distL="0" distR="0">
            <wp:extent cx="3773805" cy="38131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0218" cy="3829225"/>
                    </a:xfrm>
                    <a:prstGeom prst="rect">
                      <a:avLst/>
                    </a:prstGeom>
                  </pic:spPr>
                </pic:pic>
              </a:graphicData>
            </a:graphic>
          </wp:inline>
        </w:drawing>
      </w:r>
    </w:p>
    <w:p w:rsidR="00C7334C" w:rsidRDefault="00C82D83" w:rsidP="00A54C3C">
      <w:pPr>
        <w:rPr>
          <w:rFonts w:ascii="Times New Roman" w:hAnsi="Times New Roman" w:cs="Times New Roman"/>
          <w:sz w:val="22"/>
        </w:rPr>
      </w:pPr>
      <w:r>
        <w:rPr>
          <w:rFonts w:ascii="Times New Roman" w:hAnsi="Times New Roman" w:cs="Times New Roman" w:hint="eastAsia"/>
          <w:b/>
          <w:sz w:val="22"/>
        </w:rPr>
        <w:t>Figure S</w:t>
      </w:r>
      <w:r>
        <w:rPr>
          <w:rFonts w:ascii="Times New Roman" w:hAnsi="Times New Roman" w:cs="Times New Roman"/>
          <w:b/>
          <w:sz w:val="22"/>
        </w:rPr>
        <w:t xml:space="preserve">5. </w:t>
      </w:r>
      <w:r>
        <w:rPr>
          <w:rFonts w:ascii="Times New Roman" w:hAnsi="Times New Roman" w:cs="Times New Roman"/>
          <w:sz w:val="22"/>
        </w:rPr>
        <w:t>Dual-mode imaging in vitro. B-mode and contrast mode (CEUS) imaging of different groups before and after irradiation(</w:t>
      </w:r>
      <w:r w:rsidRPr="00A54C3C">
        <w:rPr>
          <w:rFonts w:ascii="Times New Roman" w:hAnsi="Times New Roman" w:cs="Times New Roman"/>
          <w:b/>
          <w:sz w:val="22"/>
        </w:rPr>
        <w:t>a</w:t>
      </w:r>
      <w:r w:rsidR="00A54C3C">
        <w:rPr>
          <w:rFonts w:ascii="Times New Roman" w:hAnsi="Times New Roman" w:cs="Times New Roman"/>
          <w:sz w:val="22"/>
        </w:rPr>
        <w:t>).</w:t>
      </w:r>
      <w:r>
        <w:rPr>
          <w:rFonts w:ascii="Times New Roman" w:hAnsi="Times New Roman" w:cs="Times New Roman"/>
          <w:sz w:val="22"/>
        </w:rPr>
        <w:t xml:space="preserve"> Echo intensity (EI) in B-mode (</w:t>
      </w:r>
      <w:r w:rsidRPr="00A54C3C">
        <w:rPr>
          <w:rFonts w:ascii="Times New Roman" w:hAnsi="Times New Roman" w:cs="Times New Roman"/>
          <w:b/>
          <w:sz w:val="22"/>
        </w:rPr>
        <w:t>b</w:t>
      </w:r>
      <w:r>
        <w:rPr>
          <w:rFonts w:ascii="Times New Roman" w:hAnsi="Times New Roman" w:cs="Times New Roman"/>
          <w:sz w:val="22"/>
        </w:rPr>
        <w:t>) and in CEUS (c) of different groups. After irradiation, Echo intensity of O_NPs and PIO_NPs increase significantly</w:t>
      </w:r>
      <w:r w:rsidR="00A54C3C">
        <w:rPr>
          <w:rFonts w:ascii="Times New Roman" w:hAnsi="Times New Roman" w:cs="Times New Roman"/>
          <w:sz w:val="22"/>
        </w:rPr>
        <w:t>, * P&lt;0.005</w:t>
      </w:r>
      <w:r>
        <w:rPr>
          <w:rFonts w:ascii="Times New Roman" w:hAnsi="Times New Roman" w:cs="Times New Roman"/>
          <w:sz w:val="22"/>
        </w:rPr>
        <w:t>. B-Mode and PA-Mode imaging of different groups before and after irradiation (</w:t>
      </w:r>
      <w:r w:rsidRPr="002A3DD5">
        <w:rPr>
          <w:rFonts w:ascii="Times New Roman" w:hAnsi="Times New Roman" w:cs="Times New Roman"/>
          <w:b/>
          <w:sz w:val="22"/>
        </w:rPr>
        <w:t>d</w:t>
      </w:r>
      <w:r>
        <w:rPr>
          <w:rFonts w:ascii="Times New Roman" w:hAnsi="Times New Roman" w:cs="Times New Roman"/>
          <w:sz w:val="22"/>
        </w:rPr>
        <w:t>). Echo intensity (</w:t>
      </w:r>
      <w:r w:rsidRPr="002A3DD5">
        <w:rPr>
          <w:rFonts w:ascii="Times New Roman" w:hAnsi="Times New Roman" w:cs="Times New Roman"/>
          <w:b/>
          <w:sz w:val="22"/>
        </w:rPr>
        <w:t>e</w:t>
      </w:r>
      <w:r>
        <w:rPr>
          <w:rFonts w:ascii="Times New Roman" w:hAnsi="Times New Roman" w:cs="Times New Roman"/>
          <w:sz w:val="22"/>
        </w:rPr>
        <w:t>) and Photoacoustic average value (</w:t>
      </w:r>
      <w:r w:rsidRPr="002A3DD5">
        <w:rPr>
          <w:rFonts w:ascii="Times New Roman" w:hAnsi="Times New Roman" w:cs="Times New Roman"/>
          <w:b/>
          <w:sz w:val="22"/>
        </w:rPr>
        <w:t>f</w:t>
      </w:r>
      <w:r>
        <w:rPr>
          <w:rFonts w:ascii="Times New Roman" w:hAnsi="Times New Roman" w:cs="Times New Roman"/>
          <w:sz w:val="22"/>
        </w:rPr>
        <w:t xml:space="preserve">) were measured. PA value of PIO_NPs increased after </w:t>
      </w:r>
      <w:r w:rsidR="002A3DD5">
        <w:rPr>
          <w:rFonts w:ascii="Times New Roman" w:hAnsi="Times New Roman" w:cs="Times New Roman"/>
          <w:sz w:val="22"/>
        </w:rPr>
        <w:t>irradiation, but it</w:t>
      </w:r>
      <w:r>
        <w:rPr>
          <w:rFonts w:ascii="Times New Roman" w:hAnsi="Times New Roman" w:cs="Times New Roman"/>
          <w:sz w:val="22"/>
        </w:rPr>
        <w:t xml:space="preserve"> decreased in ICG group</w:t>
      </w:r>
      <w:r w:rsidR="002A3DD5">
        <w:rPr>
          <w:rFonts w:ascii="Times New Roman" w:hAnsi="Times New Roman" w:cs="Times New Roman"/>
          <w:sz w:val="22"/>
        </w:rPr>
        <w:t xml:space="preserve"> significantly</w:t>
      </w:r>
      <w:r>
        <w:rPr>
          <w:rFonts w:ascii="Times New Roman" w:hAnsi="Times New Roman" w:cs="Times New Roman"/>
          <w:sz w:val="22"/>
        </w:rPr>
        <w:t>. All values are mean± SD (n=3), * P&lt;0.005.</w:t>
      </w:r>
    </w:p>
    <w:p w:rsidR="00C7334C" w:rsidRDefault="00C7334C">
      <w:pPr>
        <w:spacing w:line="480" w:lineRule="auto"/>
        <w:rPr>
          <w:rFonts w:ascii="Times New Roman" w:hAnsi="Times New Roman" w:cs="Times New Roman"/>
          <w:sz w:val="22"/>
        </w:rPr>
      </w:pPr>
    </w:p>
    <w:p w:rsidR="00C7334C" w:rsidRDefault="00C7334C">
      <w:pPr>
        <w:spacing w:line="480" w:lineRule="auto"/>
        <w:rPr>
          <w:rFonts w:ascii="Times New Roman" w:hAnsi="Times New Roman" w:cs="Times New Roman"/>
          <w:sz w:val="22"/>
        </w:rPr>
      </w:pPr>
    </w:p>
    <w:p w:rsidR="00C7334C" w:rsidRDefault="00C7334C">
      <w:pPr>
        <w:spacing w:line="480" w:lineRule="auto"/>
        <w:rPr>
          <w:rFonts w:ascii="Times New Roman" w:hAnsi="Times New Roman" w:cs="Times New Roman"/>
          <w:sz w:val="22"/>
        </w:rPr>
      </w:pPr>
    </w:p>
    <w:p w:rsidR="00C7334C" w:rsidRDefault="00C82D83">
      <w:pPr>
        <w:spacing w:line="480" w:lineRule="auto"/>
        <w:jc w:val="center"/>
        <w:rPr>
          <w:rFonts w:ascii="Times New Roman" w:hAnsi="Times New Roman" w:cs="Times New Roman"/>
          <w:sz w:val="22"/>
        </w:rPr>
      </w:pPr>
      <w:r>
        <w:rPr>
          <w:rFonts w:ascii="Times New Roman" w:hAnsi="Times New Roman" w:cs="Times New Roman" w:hint="eastAsia"/>
          <w:noProof/>
          <w:sz w:val="22"/>
        </w:rPr>
        <w:drawing>
          <wp:inline distT="0" distB="0" distL="0" distR="0">
            <wp:extent cx="4171315" cy="1079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3220" cy="1087892"/>
                    </a:xfrm>
                    <a:prstGeom prst="rect">
                      <a:avLst/>
                    </a:prstGeom>
                  </pic:spPr>
                </pic:pic>
              </a:graphicData>
            </a:graphic>
          </wp:inline>
        </w:drawing>
      </w:r>
    </w:p>
    <w:p w:rsidR="00C7334C" w:rsidRDefault="00C82D83" w:rsidP="002A3DD5">
      <w:pPr>
        <w:rPr>
          <w:rFonts w:ascii="Times New Roman" w:hAnsi="Times New Roman" w:cs="Times New Roman"/>
          <w:sz w:val="22"/>
        </w:rPr>
      </w:pPr>
      <w:r>
        <w:rPr>
          <w:rFonts w:ascii="Times New Roman" w:hAnsi="Times New Roman" w:cs="Times New Roman" w:hint="eastAsia"/>
          <w:b/>
          <w:sz w:val="22"/>
        </w:rPr>
        <w:t>Figure S</w:t>
      </w:r>
      <w:r>
        <w:rPr>
          <w:rFonts w:ascii="Times New Roman" w:hAnsi="Times New Roman" w:cs="Times New Roman"/>
          <w:b/>
          <w:sz w:val="22"/>
        </w:rPr>
        <w:t xml:space="preserve">6. </w:t>
      </w:r>
      <w:r>
        <w:rPr>
          <w:rFonts w:ascii="Times New Roman" w:hAnsi="Times New Roman" w:cs="Times New Roman"/>
          <w:sz w:val="22"/>
        </w:rPr>
        <w:t>PA imaging in different time after injected PIO_NPs. PA signals can be acquired within 2 to 12 hours, with the strongest at 6 h.</w:t>
      </w:r>
    </w:p>
    <w:sectPr w:rsidR="00C7334C">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015757"/>
    <w:multiLevelType w:val="multilevel"/>
    <w:tmpl w:val="5801575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2AA"/>
    <w:rsid w:val="00016897"/>
    <w:rsid w:val="00016BB3"/>
    <w:rsid w:val="0004226C"/>
    <w:rsid w:val="0008484B"/>
    <w:rsid w:val="00091682"/>
    <w:rsid w:val="00132B5D"/>
    <w:rsid w:val="00154C35"/>
    <w:rsid w:val="001A6193"/>
    <w:rsid w:val="001C3B4A"/>
    <w:rsid w:val="001E07A9"/>
    <w:rsid w:val="001E3F38"/>
    <w:rsid w:val="002362AA"/>
    <w:rsid w:val="002816D0"/>
    <w:rsid w:val="002A17A6"/>
    <w:rsid w:val="002A3DD5"/>
    <w:rsid w:val="00304F72"/>
    <w:rsid w:val="00370974"/>
    <w:rsid w:val="00390A40"/>
    <w:rsid w:val="003A368C"/>
    <w:rsid w:val="0049760B"/>
    <w:rsid w:val="004A74F1"/>
    <w:rsid w:val="004B3C20"/>
    <w:rsid w:val="004C1008"/>
    <w:rsid w:val="004F65A7"/>
    <w:rsid w:val="006C5745"/>
    <w:rsid w:val="00737D79"/>
    <w:rsid w:val="00742166"/>
    <w:rsid w:val="00777FBA"/>
    <w:rsid w:val="007B3212"/>
    <w:rsid w:val="007C0EB0"/>
    <w:rsid w:val="007E3C8E"/>
    <w:rsid w:val="008430E9"/>
    <w:rsid w:val="00860004"/>
    <w:rsid w:val="00921C84"/>
    <w:rsid w:val="00936328"/>
    <w:rsid w:val="009B2D6C"/>
    <w:rsid w:val="009D2007"/>
    <w:rsid w:val="009F154A"/>
    <w:rsid w:val="00A11115"/>
    <w:rsid w:val="00A54C3C"/>
    <w:rsid w:val="00AF3143"/>
    <w:rsid w:val="00B1065F"/>
    <w:rsid w:val="00B16A61"/>
    <w:rsid w:val="00B36366"/>
    <w:rsid w:val="00B577FD"/>
    <w:rsid w:val="00B86DFA"/>
    <w:rsid w:val="00BC6942"/>
    <w:rsid w:val="00BE24A1"/>
    <w:rsid w:val="00C34AE5"/>
    <w:rsid w:val="00C7334C"/>
    <w:rsid w:val="00C82D83"/>
    <w:rsid w:val="00C85019"/>
    <w:rsid w:val="00CC7843"/>
    <w:rsid w:val="00CE6568"/>
    <w:rsid w:val="00D337BC"/>
    <w:rsid w:val="00D3653C"/>
    <w:rsid w:val="00E065E6"/>
    <w:rsid w:val="00E21996"/>
    <w:rsid w:val="00E93A22"/>
    <w:rsid w:val="00F076B8"/>
    <w:rsid w:val="00F358EF"/>
    <w:rsid w:val="476909E7"/>
    <w:rsid w:val="4E801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7C55A20"/>
  <w15:docId w15:val="{560C6C61-FE3F-AF4E-AFA5-7348A899B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nhideWhenUsed/>
    <w:qFormat/>
    <w:rPr>
      <w:color w:val="0563C1" w:themeColor="hyperlink"/>
      <w:u w:val="single"/>
    </w:rPr>
  </w:style>
  <w:style w:type="paragraph" w:customStyle="1" w:styleId="Authornames">
    <w:name w:val="Author names"/>
    <w:basedOn w:val="a"/>
    <w:next w:val="a"/>
    <w:qFormat/>
    <w:pPr>
      <w:widowControl/>
      <w:spacing w:before="240" w:line="360" w:lineRule="auto"/>
      <w:jc w:val="left"/>
    </w:pPr>
    <w:rPr>
      <w:rFonts w:ascii="Times New Roman" w:eastAsia="宋体" w:hAnsi="Times New Roman" w:cs="Times New Roman"/>
      <w:kern w:val="0"/>
      <w:sz w:val="28"/>
      <w:lang w:val="en-GB" w:eastAsia="en-GB"/>
    </w:rPr>
  </w:style>
  <w:style w:type="paragraph" w:customStyle="1" w:styleId="Affiliation">
    <w:name w:val="Affiliation"/>
    <w:basedOn w:val="a"/>
    <w:qFormat/>
    <w:pPr>
      <w:widowControl/>
      <w:spacing w:before="240" w:line="360" w:lineRule="auto"/>
      <w:jc w:val="left"/>
    </w:pPr>
    <w:rPr>
      <w:rFonts w:ascii="Times New Roman" w:eastAsia="宋体" w:hAnsi="Times New Roman" w:cs="Times New Roman"/>
      <w:i/>
      <w:kern w:val="0"/>
      <w:sz w:val="24"/>
      <w:lang w:val="en-GB" w:eastAsia="en-GB"/>
    </w:rPr>
  </w:style>
  <w:style w:type="paragraph" w:customStyle="1" w:styleId="Correspondencedetails">
    <w:name w:val="Correspondence details"/>
    <w:basedOn w:val="a"/>
    <w:qFormat/>
    <w:pPr>
      <w:widowControl/>
      <w:spacing w:before="240" w:line="360" w:lineRule="auto"/>
      <w:jc w:val="left"/>
    </w:pPr>
    <w:rPr>
      <w:rFonts w:ascii="Times New Roman" w:eastAsia="宋体" w:hAnsi="Times New Roman" w:cs="Times New Roman"/>
      <w:kern w:val="0"/>
      <w:sz w:val="24"/>
      <w:lang w:val="en-GB" w:eastAsia="en-GB"/>
    </w:rPr>
  </w:style>
  <w:style w:type="paragraph" w:customStyle="1" w:styleId="Notesoncontributors">
    <w:name w:val="Notes on contributors"/>
    <w:basedOn w:val="a"/>
    <w:qFormat/>
    <w:pPr>
      <w:widowControl/>
      <w:spacing w:before="240" w:line="360" w:lineRule="auto"/>
      <w:jc w:val="left"/>
    </w:pPr>
    <w:rPr>
      <w:rFonts w:ascii="Times New Roman" w:eastAsia="宋体" w:hAnsi="Times New Roman" w:cs="Times New Roman"/>
      <w:kern w:val="0"/>
      <w:sz w:val="22"/>
      <w:lang w:val="en-GB" w:eastAsia="en-GB"/>
    </w:rPr>
  </w:style>
  <w:style w:type="paragraph" w:styleId="a8">
    <w:name w:val="List Paragraph"/>
    <w:basedOn w:val="a"/>
    <w:uiPriority w:val="34"/>
    <w:qFormat/>
    <w:pPr>
      <w:ind w:firstLineChars="200" w:firstLine="420"/>
    </w:p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paragraph" w:styleId="a9">
    <w:name w:val="Balloon Text"/>
    <w:basedOn w:val="a"/>
    <w:link w:val="aa"/>
    <w:uiPriority w:val="99"/>
    <w:semiHidden/>
    <w:unhideWhenUsed/>
    <w:rsid w:val="00C34AE5"/>
    <w:rPr>
      <w:rFonts w:ascii="宋体" w:eastAsia="宋体"/>
      <w:sz w:val="18"/>
      <w:szCs w:val="18"/>
    </w:rPr>
  </w:style>
  <w:style w:type="character" w:customStyle="1" w:styleId="aa">
    <w:name w:val="批注框文本 字符"/>
    <w:basedOn w:val="a0"/>
    <w:link w:val="a9"/>
    <w:uiPriority w:val="99"/>
    <w:semiHidden/>
    <w:rsid w:val="00C34AE5"/>
    <w:rPr>
      <w:rFonts w:ascii="宋体" w:eastAsia="宋体"/>
      <w:kern w:val="2"/>
      <w:sz w:val="18"/>
      <w:szCs w:val="18"/>
    </w:rPr>
  </w:style>
  <w:style w:type="paragraph" w:styleId="ab">
    <w:name w:val="Revision"/>
    <w:hidden/>
    <w:uiPriority w:val="99"/>
    <w:semiHidden/>
    <w:rsid w:val="00C34AE5"/>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hyperlink" Target="mailto:sunjiangchuan@126.com" TargetMode="Externa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hfch2005@163.com" TargetMode="Externa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855</Words>
  <Characters>4878</Characters>
  <Application>Microsoft Office Word</Application>
  <DocSecurity>0</DocSecurity>
  <Lines>40</Lines>
  <Paragraphs>11</Paragraphs>
  <ScaleCrop>false</ScaleCrop>
  <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23</cp:revision>
  <dcterms:created xsi:type="dcterms:W3CDTF">2018-06-08T10:22:00Z</dcterms:created>
  <dcterms:modified xsi:type="dcterms:W3CDTF">2018-07-26T15:28:00Z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