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1AD3" w14:textId="77777777" w:rsidR="002326B7" w:rsidRPr="00FF7D3B" w:rsidRDefault="002326B7" w:rsidP="00B76083">
      <w:pPr>
        <w:spacing w:line="480" w:lineRule="auto"/>
        <w:rPr>
          <w:b/>
        </w:rPr>
      </w:pPr>
      <w:r w:rsidRPr="00FF7D3B">
        <w:rPr>
          <w:b/>
        </w:rPr>
        <w:t>Figure legend</w:t>
      </w:r>
      <w:r w:rsidR="008B573F" w:rsidRPr="00FF7D3B">
        <w:rPr>
          <w:b/>
        </w:rPr>
        <w:t>s</w:t>
      </w:r>
      <w:r w:rsidRPr="00FF7D3B">
        <w:rPr>
          <w:b/>
        </w:rPr>
        <w:t xml:space="preserve"> for supplemental figures</w:t>
      </w:r>
    </w:p>
    <w:p w14:paraId="14D6EB2B" w14:textId="5378D88B" w:rsidR="0079100F" w:rsidRPr="004A4718" w:rsidRDefault="002326B7" w:rsidP="00B76083">
      <w:pPr>
        <w:spacing w:line="480" w:lineRule="auto"/>
        <w:jc w:val="both"/>
      </w:pPr>
      <w:r w:rsidRPr="00B76083">
        <w:rPr>
          <w:b/>
        </w:rPr>
        <w:t>Figure S1</w:t>
      </w:r>
      <w:r w:rsidR="003416F6">
        <w:rPr>
          <w:b/>
        </w:rPr>
        <w:t>.</w:t>
      </w:r>
      <w:r w:rsidRPr="002326B7">
        <w:t xml:space="preserve"> </w:t>
      </w:r>
      <w:proofErr w:type="gramStart"/>
      <w:r w:rsidRPr="002326B7">
        <w:t>q-PCR</w:t>
      </w:r>
      <w:proofErr w:type="gramEnd"/>
      <w:r w:rsidRPr="002326B7">
        <w:t xml:space="preserve"> analysis and immunoblo</w:t>
      </w:r>
      <w:r w:rsidR="007C2382">
        <w:t>tting showing knockdown of ATG16L1, ATG7, ATG14 and EPG</w:t>
      </w:r>
      <w:r w:rsidRPr="002326B7">
        <w:t>5 in B</w:t>
      </w:r>
      <w:r w:rsidR="007C2382">
        <w:t>ECs. (</w:t>
      </w:r>
      <w:r w:rsidR="007C2382" w:rsidRPr="00B76083">
        <w:rPr>
          <w:b/>
        </w:rPr>
        <w:t>A-D</w:t>
      </w:r>
      <w:r w:rsidR="006263D5">
        <w:t xml:space="preserve">) </w:t>
      </w:r>
      <w:r w:rsidR="007C2382">
        <w:t xml:space="preserve">mRNA level of </w:t>
      </w:r>
      <w:r w:rsidR="007C2382" w:rsidRPr="007C2382">
        <w:rPr>
          <w:i/>
        </w:rPr>
        <w:t>ATG16L1</w:t>
      </w:r>
      <w:r w:rsidR="00087C5A">
        <w:rPr>
          <w:i/>
        </w:rPr>
        <w:t xml:space="preserve"> </w:t>
      </w:r>
      <w:r w:rsidR="007C2382">
        <w:t>(</w:t>
      </w:r>
      <w:r w:rsidR="007C2382" w:rsidRPr="00B76083">
        <w:rPr>
          <w:b/>
        </w:rPr>
        <w:t>A</w:t>
      </w:r>
      <w:r w:rsidR="007C2382">
        <w:t xml:space="preserve">), </w:t>
      </w:r>
      <w:r w:rsidR="007C2382" w:rsidRPr="007C2382">
        <w:rPr>
          <w:i/>
        </w:rPr>
        <w:t>ATG7</w:t>
      </w:r>
      <w:r w:rsidR="00087C5A">
        <w:rPr>
          <w:i/>
        </w:rPr>
        <w:t xml:space="preserve"> </w:t>
      </w:r>
      <w:r w:rsidR="007C2382">
        <w:t>(</w:t>
      </w:r>
      <w:r w:rsidR="007C2382" w:rsidRPr="00B76083">
        <w:rPr>
          <w:b/>
        </w:rPr>
        <w:t>B</w:t>
      </w:r>
      <w:r w:rsidR="007C2382">
        <w:t xml:space="preserve">), </w:t>
      </w:r>
      <w:r w:rsidR="007C2382" w:rsidRPr="007C2382">
        <w:rPr>
          <w:i/>
        </w:rPr>
        <w:t>ATG14</w:t>
      </w:r>
      <w:r w:rsidR="00087C5A">
        <w:rPr>
          <w:i/>
        </w:rPr>
        <w:t xml:space="preserve"> </w:t>
      </w:r>
      <w:r w:rsidR="007C2382">
        <w:t>(</w:t>
      </w:r>
      <w:r w:rsidR="007C2382" w:rsidRPr="00B76083">
        <w:rPr>
          <w:b/>
        </w:rPr>
        <w:t>C</w:t>
      </w:r>
      <w:r w:rsidR="007C2382">
        <w:t xml:space="preserve">) and </w:t>
      </w:r>
      <w:r w:rsidR="007C2382" w:rsidRPr="007C2382">
        <w:rPr>
          <w:i/>
        </w:rPr>
        <w:t>EPG</w:t>
      </w:r>
      <w:r w:rsidRPr="007C2382">
        <w:rPr>
          <w:i/>
        </w:rPr>
        <w:t>5</w:t>
      </w:r>
      <w:r w:rsidR="00087C5A">
        <w:rPr>
          <w:i/>
        </w:rPr>
        <w:t xml:space="preserve"> </w:t>
      </w:r>
      <w:r w:rsidRPr="002326B7">
        <w:t>(</w:t>
      </w:r>
      <w:r w:rsidRPr="00B76083">
        <w:rPr>
          <w:b/>
        </w:rPr>
        <w:t>D</w:t>
      </w:r>
      <w:r w:rsidRPr="002326B7">
        <w:t>) i</w:t>
      </w:r>
      <w:r w:rsidR="00A31F18">
        <w:t>n BECs</w:t>
      </w:r>
      <w:bookmarkStart w:id="0" w:name="_GoBack"/>
      <w:bookmarkEnd w:id="0"/>
      <w:r w:rsidR="007C2382">
        <w:t xml:space="preserve"> cells treated with </w:t>
      </w:r>
      <w:r w:rsidR="007C2382" w:rsidRPr="00A31F18">
        <w:rPr>
          <w:i/>
        </w:rPr>
        <w:t>ATG16L1</w:t>
      </w:r>
      <w:r w:rsidR="007C2382" w:rsidRPr="00FF7D3B">
        <w:t xml:space="preserve"> siRNA, </w:t>
      </w:r>
      <w:r w:rsidR="007C2382" w:rsidRPr="00A31F18">
        <w:rPr>
          <w:i/>
        </w:rPr>
        <w:t>ATG7</w:t>
      </w:r>
      <w:r w:rsidR="007C2382" w:rsidRPr="00FF7D3B">
        <w:t xml:space="preserve"> siRNA, </w:t>
      </w:r>
      <w:r w:rsidR="007C2382" w:rsidRPr="00A31F18">
        <w:rPr>
          <w:i/>
        </w:rPr>
        <w:t>ATG14</w:t>
      </w:r>
      <w:r w:rsidR="007C2382" w:rsidRPr="00FF7D3B">
        <w:t xml:space="preserve"> siRNA and </w:t>
      </w:r>
      <w:r w:rsidR="007C2382" w:rsidRPr="00A31F18">
        <w:rPr>
          <w:i/>
        </w:rPr>
        <w:t>EPG</w:t>
      </w:r>
      <w:r w:rsidRPr="00A31F18">
        <w:rPr>
          <w:i/>
        </w:rPr>
        <w:t>5</w:t>
      </w:r>
      <w:r w:rsidRPr="00FF7D3B">
        <w:t xml:space="preserve"> siRNA</w:t>
      </w:r>
      <w:r w:rsidRPr="002326B7">
        <w:t>. (</w:t>
      </w:r>
      <w:r w:rsidRPr="00B76083">
        <w:rPr>
          <w:b/>
        </w:rPr>
        <w:t>E-F</w:t>
      </w:r>
      <w:r w:rsidRPr="002326B7">
        <w:t>)</w:t>
      </w:r>
      <w:r w:rsidR="00087C5A">
        <w:t xml:space="preserve"> </w:t>
      </w:r>
      <w:r w:rsidRPr="002326B7">
        <w:t>W</w:t>
      </w:r>
      <w:r w:rsidR="007C2382">
        <w:t>estern blot of knockdown of ATG16L1 and ATG</w:t>
      </w:r>
      <w:r w:rsidRPr="002326B7">
        <w:t xml:space="preserve">7 in BECs </w:t>
      </w:r>
      <w:r w:rsidR="007C2382">
        <w:t xml:space="preserve">treated with </w:t>
      </w:r>
      <w:r w:rsidR="007C2382" w:rsidRPr="00A31F18">
        <w:rPr>
          <w:i/>
        </w:rPr>
        <w:t>ATG16</w:t>
      </w:r>
      <w:r w:rsidR="004A4718" w:rsidRPr="00A31F18">
        <w:rPr>
          <w:i/>
        </w:rPr>
        <w:t>L</w:t>
      </w:r>
      <w:r w:rsidR="007C2382" w:rsidRPr="00A31F18">
        <w:rPr>
          <w:i/>
        </w:rPr>
        <w:t>1</w:t>
      </w:r>
      <w:r w:rsidR="007C2382" w:rsidRPr="001743A8">
        <w:t xml:space="preserve"> </w:t>
      </w:r>
      <w:r w:rsidR="007C2382">
        <w:t xml:space="preserve">siRNA and </w:t>
      </w:r>
      <w:r w:rsidR="007C2382" w:rsidRPr="00A31F18">
        <w:rPr>
          <w:i/>
        </w:rPr>
        <w:t>ATG</w:t>
      </w:r>
      <w:r w:rsidRPr="00A31F18">
        <w:rPr>
          <w:i/>
        </w:rPr>
        <w:t>7</w:t>
      </w:r>
      <w:r w:rsidRPr="007C2382">
        <w:rPr>
          <w:i/>
        </w:rPr>
        <w:t xml:space="preserve"> </w:t>
      </w:r>
      <w:r w:rsidRPr="002326B7">
        <w:t xml:space="preserve">siRNA.  </w:t>
      </w:r>
    </w:p>
    <w:p w14:paraId="14089449" w14:textId="666D47A0" w:rsidR="00DC26AB" w:rsidRDefault="007C2382" w:rsidP="00B76083">
      <w:pPr>
        <w:spacing w:line="480" w:lineRule="auto"/>
        <w:jc w:val="both"/>
      </w:pPr>
      <w:r w:rsidRPr="00B76083">
        <w:rPr>
          <w:b/>
        </w:rPr>
        <w:t>Figure S2</w:t>
      </w:r>
      <w:r w:rsidR="003416F6">
        <w:rPr>
          <w:b/>
        </w:rPr>
        <w:t>.</w:t>
      </w:r>
      <w:r>
        <w:t xml:space="preserve">  Knockdown of </w:t>
      </w:r>
      <w:r w:rsidRPr="007C2382">
        <w:rPr>
          <w:i/>
        </w:rPr>
        <w:t>ATG</w:t>
      </w:r>
      <w:r w:rsidR="00DC26AB" w:rsidRPr="00DC26AB">
        <w:t xml:space="preserve"> genes does not affect cell growth. Cell growth ass</w:t>
      </w:r>
      <w:r>
        <w:t xml:space="preserve">ay by crystal violet for BECs transfected with </w:t>
      </w:r>
      <w:r w:rsidR="00FF7D3B">
        <w:t>indicated</w:t>
      </w:r>
      <w:r w:rsidR="00FF7D3B" w:rsidRPr="00FF7D3B">
        <w:t xml:space="preserve"> </w:t>
      </w:r>
      <w:r w:rsidR="00DF130C">
        <w:t>s</w:t>
      </w:r>
      <w:r w:rsidR="00DC26AB" w:rsidRPr="00DC26AB">
        <w:t>iRNA.</w:t>
      </w:r>
      <w:r w:rsidR="00501B51">
        <w:t xml:space="preserve"> </w:t>
      </w:r>
    </w:p>
    <w:p w14:paraId="282D68D2" w14:textId="1B42AA21" w:rsidR="00450A8D" w:rsidRDefault="00450A8D" w:rsidP="00B76083">
      <w:pPr>
        <w:spacing w:line="480" w:lineRule="auto"/>
        <w:jc w:val="both"/>
      </w:pPr>
      <w:r w:rsidRPr="00B76083">
        <w:rPr>
          <w:b/>
        </w:rPr>
        <w:t>Fig</w:t>
      </w:r>
      <w:r w:rsidR="003416F6" w:rsidRPr="00B76083">
        <w:rPr>
          <w:b/>
        </w:rPr>
        <w:t>ure</w:t>
      </w:r>
      <w:r w:rsidRPr="00B76083">
        <w:rPr>
          <w:b/>
        </w:rPr>
        <w:t xml:space="preserve"> S3.</w:t>
      </w:r>
      <w:r w:rsidRPr="00450A8D">
        <w:t xml:space="preserve"> Loss of </w:t>
      </w:r>
      <w:r w:rsidRPr="007C2382">
        <w:rPr>
          <w:i/>
        </w:rPr>
        <w:t>Atg16l1</w:t>
      </w:r>
      <w:r w:rsidRPr="00450A8D">
        <w:t xml:space="preserve"> or </w:t>
      </w:r>
      <w:r w:rsidRPr="007C2382">
        <w:rPr>
          <w:i/>
        </w:rPr>
        <w:t>Atg7</w:t>
      </w:r>
      <w:r w:rsidRPr="00450A8D">
        <w:t xml:space="preserve"> but not </w:t>
      </w:r>
      <w:r w:rsidRPr="007C2382">
        <w:rPr>
          <w:i/>
        </w:rPr>
        <w:t>Atg14</w:t>
      </w:r>
      <w:r w:rsidRPr="00450A8D">
        <w:t xml:space="preserve"> or </w:t>
      </w:r>
      <w:r w:rsidRPr="007C2382">
        <w:rPr>
          <w:i/>
        </w:rPr>
        <w:t>Epg5</w:t>
      </w:r>
      <w:r w:rsidRPr="00450A8D">
        <w:t xml:space="preserve"> leads to urothelial architecture alteration</w:t>
      </w:r>
      <w:r w:rsidR="0067379E">
        <w:t>.</w:t>
      </w:r>
      <w:r w:rsidRPr="00450A8D">
        <w:t xml:space="preserve"> More representative</w:t>
      </w:r>
      <w:r w:rsidR="007C2382">
        <w:t xml:space="preserve"> </w:t>
      </w:r>
      <w:r w:rsidRPr="00450A8D">
        <w:t>TEM images of superficial cell</w:t>
      </w:r>
      <w:r w:rsidR="007C2382">
        <w:t xml:space="preserve"> ultrastructure in </w:t>
      </w:r>
      <w:r w:rsidR="007C2382" w:rsidRPr="007C2382">
        <w:rPr>
          <w:i/>
        </w:rPr>
        <w:t>Atg16l1</w:t>
      </w:r>
      <w:r w:rsidR="007C2382" w:rsidRPr="007C2382">
        <w:rPr>
          <w:i/>
          <w:vertAlign w:val="superscript"/>
        </w:rPr>
        <w:t>fl/fl</w:t>
      </w:r>
      <w:r w:rsidRPr="007C2382">
        <w:rPr>
          <w:i/>
        </w:rPr>
        <w:t>Upk3a</w:t>
      </w:r>
      <w:r w:rsidR="006263D5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-</w:t>
      </w:r>
      <w:r w:rsidRPr="00450A8D">
        <w:t xml:space="preserve"> and </w:t>
      </w:r>
      <w:r w:rsidR="007C2382" w:rsidRPr="007C2382">
        <w:rPr>
          <w:i/>
        </w:rPr>
        <w:t>Atg16l1</w:t>
      </w:r>
      <w:r w:rsidR="007C2382" w:rsidRPr="007C2382">
        <w:rPr>
          <w:i/>
          <w:vertAlign w:val="superscript"/>
        </w:rPr>
        <w:t>fl/fl</w:t>
      </w:r>
      <w:r w:rsidR="007C2382" w:rsidRPr="007C2382">
        <w:rPr>
          <w:i/>
        </w:rPr>
        <w:t>Upk3a</w:t>
      </w:r>
      <w:r w:rsidR="007C2382" w:rsidRPr="00450A8D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+</w:t>
      </w:r>
      <w:r w:rsidR="007B3B73">
        <w:t xml:space="preserve"> </w:t>
      </w:r>
      <w:r w:rsidR="007C2382">
        <w:t>(</w:t>
      </w:r>
      <w:r w:rsidR="007C2382" w:rsidRPr="00B76083">
        <w:rPr>
          <w:b/>
        </w:rPr>
        <w:t>A</w:t>
      </w:r>
      <w:r w:rsidRPr="00450A8D">
        <w:t xml:space="preserve">), </w:t>
      </w:r>
      <w:r w:rsidR="007C2382">
        <w:rPr>
          <w:i/>
        </w:rPr>
        <w:t>Atg7</w:t>
      </w:r>
      <w:r w:rsidR="007C2382" w:rsidRPr="007C2382">
        <w:rPr>
          <w:i/>
          <w:vertAlign w:val="superscript"/>
        </w:rPr>
        <w:t>fl/fl</w:t>
      </w:r>
      <w:r w:rsidR="007C2382" w:rsidRPr="007C2382">
        <w:rPr>
          <w:i/>
        </w:rPr>
        <w:t>Upk3a</w:t>
      </w:r>
      <w:r w:rsidR="007C2382" w:rsidRPr="00450A8D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-</w:t>
      </w:r>
      <w:r w:rsidR="007C2382">
        <w:t xml:space="preserve"> </w:t>
      </w:r>
      <w:r w:rsidRPr="00450A8D">
        <w:t xml:space="preserve">and </w:t>
      </w:r>
      <w:r w:rsidR="007C2382">
        <w:rPr>
          <w:i/>
        </w:rPr>
        <w:t>Atg7</w:t>
      </w:r>
      <w:r w:rsidR="007C2382" w:rsidRPr="007C2382">
        <w:rPr>
          <w:i/>
          <w:vertAlign w:val="superscript"/>
        </w:rPr>
        <w:t>fl/fl</w:t>
      </w:r>
      <w:r w:rsidR="007C2382" w:rsidRPr="007C2382">
        <w:rPr>
          <w:i/>
        </w:rPr>
        <w:t>Upk3a</w:t>
      </w:r>
      <w:r w:rsidR="007C2382" w:rsidRPr="00450A8D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+</w:t>
      </w:r>
      <w:r w:rsidRPr="00450A8D">
        <w:t xml:space="preserve"> (</w:t>
      </w:r>
      <w:r w:rsidRPr="00B76083">
        <w:rPr>
          <w:b/>
        </w:rPr>
        <w:t>B</w:t>
      </w:r>
      <w:r w:rsidRPr="00450A8D">
        <w:t xml:space="preserve">), </w:t>
      </w:r>
      <w:r w:rsidR="007C2382">
        <w:rPr>
          <w:i/>
        </w:rPr>
        <w:t>Atg14</w:t>
      </w:r>
      <w:r w:rsidR="007C2382" w:rsidRPr="007C2382">
        <w:rPr>
          <w:i/>
          <w:vertAlign w:val="superscript"/>
        </w:rPr>
        <w:t>fl/fl</w:t>
      </w:r>
      <w:r w:rsidR="007C2382" w:rsidRPr="007C2382">
        <w:rPr>
          <w:i/>
        </w:rPr>
        <w:t>Upk3a</w:t>
      </w:r>
      <w:r w:rsidR="007C2382" w:rsidRPr="00450A8D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-</w:t>
      </w:r>
      <w:r w:rsidRPr="00450A8D">
        <w:t xml:space="preserve"> and </w:t>
      </w:r>
      <w:r w:rsidR="007C2382">
        <w:rPr>
          <w:i/>
        </w:rPr>
        <w:t>Atg14</w:t>
      </w:r>
      <w:r w:rsidR="007C2382" w:rsidRPr="007C2382">
        <w:rPr>
          <w:i/>
          <w:vertAlign w:val="superscript"/>
        </w:rPr>
        <w:t>fl/fl</w:t>
      </w:r>
      <w:r w:rsidR="007C2382" w:rsidRPr="007C2382">
        <w:rPr>
          <w:i/>
        </w:rPr>
        <w:t>Upk3a</w:t>
      </w:r>
      <w:r w:rsidR="007C2382" w:rsidRPr="00450A8D">
        <w:t xml:space="preserve"> </w:t>
      </w:r>
      <w:proofErr w:type="spellStart"/>
      <w:r w:rsidR="006263D5" w:rsidRPr="006263D5">
        <w:rPr>
          <w:i/>
        </w:rPr>
        <w:t>C</w:t>
      </w:r>
      <w:r w:rsidR="007B3B73" w:rsidRPr="006263D5">
        <w:rPr>
          <w:i/>
        </w:rPr>
        <w:t>re</w:t>
      </w:r>
      <w:proofErr w:type="spellEnd"/>
      <w:r w:rsidR="007B3B73" w:rsidRPr="006263D5">
        <w:rPr>
          <w:i/>
          <w:vertAlign w:val="superscript"/>
        </w:rPr>
        <w:t>+</w:t>
      </w:r>
      <w:r w:rsidR="007C2382">
        <w:t xml:space="preserve">  (</w:t>
      </w:r>
      <w:r w:rsidR="007C2382" w:rsidRPr="00B76083">
        <w:rPr>
          <w:b/>
        </w:rPr>
        <w:t>C</w:t>
      </w:r>
      <w:r w:rsidR="007C2382">
        <w:t xml:space="preserve">) and WT and </w:t>
      </w:r>
      <w:r w:rsidR="007C2382" w:rsidRPr="007B3B73">
        <w:rPr>
          <w:i/>
        </w:rPr>
        <w:t>e</w:t>
      </w:r>
      <w:r w:rsidRPr="007B3B73">
        <w:rPr>
          <w:i/>
        </w:rPr>
        <w:t>pg5</w:t>
      </w:r>
      <w:r w:rsidRPr="007B3B73">
        <w:rPr>
          <w:vertAlign w:val="superscript"/>
        </w:rPr>
        <w:t>-/-</w:t>
      </w:r>
      <w:r w:rsidRPr="00450A8D">
        <w:t xml:space="preserve"> mice (D). Red arrowhead, multivesicular bodies; blue arrow, lysosomes. n=3 mice. Bar</w:t>
      </w:r>
      <w:r w:rsidR="00F578FE">
        <w:t xml:space="preserve">: </w:t>
      </w:r>
      <w:r w:rsidRPr="00450A8D">
        <w:t>2 µ</w:t>
      </w:r>
      <w:proofErr w:type="spellStart"/>
      <w:r w:rsidRPr="00450A8D">
        <w:t>m.</w:t>
      </w:r>
      <w:proofErr w:type="spellEnd"/>
      <w:r w:rsidR="0067379E">
        <w:t xml:space="preserve"> </w:t>
      </w:r>
    </w:p>
    <w:sectPr w:rsidR="004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7"/>
    <w:rsid w:val="00087C5A"/>
    <w:rsid w:val="001743A8"/>
    <w:rsid w:val="002326B7"/>
    <w:rsid w:val="003416F6"/>
    <w:rsid w:val="00450A8D"/>
    <w:rsid w:val="004A4718"/>
    <w:rsid w:val="00501B51"/>
    <w:rsid w:val="006263D5"/>
    <w:rsid w:val="0067379E"/>
    <w:rsid w:val="0079100F"/>
    <w:rsid w:val="007B3B73"/>
    <w:rsid w:val="007C2382"/>
    <w:rsid w:val="008B573F"/>
    <w:rsid w:val="00A31F18"/>
    <w:rsid w:val="00B76083"/>
    <w:rsid w:val="00C37358"/>
    <w:rsid w:val="00DC26AB"/>
    <w:rsid w:val="00DF130C"/>
    <w:rsid w:val="00F578F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03E3"/>
  <w15:chartTrackingRefBased/>
  <w15:docId w15:val="{3B561F85-8945-4FB2-B43B-ACB3E00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Caihong</dc:creator>
  <cp:keywords/>
  <dc:description/>
  <cp:lastModifiedBy>Wang, Caihong</cp:lastModifiedBy>
  <cp:revision>3</cp:revision>
  <dcterms:created xsi:type="dcterms:W3CDTF">2018-09-06T19:09:00Z</dcterms:created>
  <dcterms:modified xsi:type="dcterms:W3CDTF">2018-09-06T19:11:00Z</dcterms:modified>
</cp:coreProperties>
</file>