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13" w:rsidRDefault="00CB5F13" w:rsidP="00CB5F13">
      <w:pPr>
        <w:spacing w:after="160" w:line="259" w:lineRule="auto"/>
        <w:jc w:val="center"/>
      </w:pPr>
      <w:r>
        <w:t>ONLINE APPENDIX FOR:</w:t>
      </w:r>
    </w:p>
    <w:p w:rsidR="00CB5F13" w:rsidRDefault="00CB5F13" w:rsidP="00CB5F13">
      <w:pPr>
        <w:jc w:val="center"/>
        <w:rPr>
          <w:b/>
          <w:sz w:val="44"/>
          <w:szCs w:val="52"/>
        </w:rPr>
      </w:pPr>
    </w:p>
    <w:p w:rsidR="00CB5F13" w:rsidRDefault="00CB5F13" w:rsidP="00CB5F13">
      <w:pPr>
        <w:jc w:val="center"/>
        <w:rPr>
          <w:b/>
          <w:sz w:val="44"/>
          <w:szCs w:val="52"/>
        </w:rPr>
      </w:pPr>
    </w:p>
    <w:p w:rsidR="00CB5F13" w:rsidRPr="001338B9" w:rsidRDefault="00CB5F13" w:rsidP="00CB5F13">
      <w:pPr>
        <w:jc w:val="center"/>
        <w:rPr>
          <w:b/>
          <w:sz w:val="44"/>
          <w:szCs w:val="52"/>
        </w:rPr>
      </w:pPr>
      <w:bookmarkStart w:id="0" w:name="_GoBack"/>
      <w:bookmarkEnd w:id="0"/>
      <w:r>
        <w:rPr>
          <w:b/>
          <w:sz w:val="44"/>
          <w:szCs w:val="52"/>
        </w:rPr>
        <w:t>Problem detection</w:t>
      </w:r>
      <w:r w:rsidRPr="001338B9">
        <w:rPr>
          <w:b/>
          <w:sz w:val="44"/>
          <w:szCs w:val="52"/>
        </w:rPr>
        <w:t xml:space="preserve"> in </w:t>
      </w:r>
      <w:r>
        <w:rPr>
          <w:b/>
          <w:sz w:val="44"/>
          <w:szCs w:val="52"/>
        </w:rPr>
        <w:t>l</w:t>
      </w:r>
      <w:r w:rsidRPr="001338B9">
        <w:rPr>
          <w:b/>
          <w:sz w:val="44"/>
          <w:szCs w:val="52"/>
        </w:rPr>
        <w:t xml:space="preserve">egislative </w:t>
      </w:r>
      <w:r>
        <w:rPr>
          <w:b/>
          <w:sz w:val="44"/>
          <w:szCs w:val="52"/>
        </w:rPr>
        <w:t>o</w:t>
      </w:r>
      <w:r w:rsidRPr="001338B9">
        <w:rPr>
          <w:b/>
          <w:sz w:val="44"/>
          <w:szCs w:val="52"/>
        </w:rPr>
        <w:t>versight:</w:t>
      </w:r>
    </w:p>
    <w:p w:rsidR="00CB5F13" w:rsidRPr="001338B9" w:rsidRDefault="00CB5F13" w:rsidP="00CB5F13">
      <w:pPr>
        <w:jc w:val="center"/>
        <w:rPr>
          <w:sz w:val="20"/>
        </w:rPr>
      </w:pPr>
      <w:r>
        <w:rPr>
          <w:b/>
          <w:sz w:val="44"/>
          <w:szCs w:val="52"/>
        </w:rPr>
        <w:t>An analysis of l</w:t>
      </w:r>
      <w:r w:rsidRPr="001338B9">
        <w:rPr>
          <w:b/>
          <w:sz w:val="44"/>
          <w:szCs w:val="52"/>
        </w:rPr>
        <w:t xml:space="preserve">egislative </w:t>
      </w:r>
      <w:r>
        <w:rPr>
          <w:b/>
          <w:sz w:val="44"/>
          <w:szCs w:val="52"/>
        </w:rPr>
        <w:t>c</w:t>
      </w:r>
      <w:r w:rsidRPr="001338B9">
        <w:rPr>
          <w:b/>
          <w:sz w:val="44"/>
          <w:szCs w:val="52"/>
        </w:rPr>
        <w:t>ommittee</w:t>
      </w:r>
      <w:r>
        <w:rPr>
          <w:b/>
          <w:sz w:val="44"/>
          <w:szCs w:val="52"/>
        </w:rPr>
        <w:t xml:space="preserve"> agendas</w:t>
      </w:r>
      <w:r w:rsidRPr="001338B9">
        <w:rPr>
          <w:b/>
          <w:sz w:val="44"/>
          <w:szCs w:val="52"/>
        </w:rPr>
        <w:t xml:space="preserve"> in </w:t>
      </w:r>
      <w:r>
        <w:rPr>
          <w:b/>
          <w:sz w:val="44"/>
          <w:szCs w:val="52"/>
        </w:rPr>
        <w:t>the U.K.</w:t>
      </w:r>
      <w:r w:rsidRPr="001338B9">
        <w:rPr>
          <w:b/>
          <w:sz w:val="44"/>
          <w:szCs w:val="52"/>
        </w:rPr>
        <w:t xml:space="preserve"> and U</w:t>
      </w:r>
      <w:r>
        <w:rPr>
          <w:b/>
          <w:sz w:val="44"/>
          <w:szCs w:val="52"/>
        </w:rPr>
        <w:t>.</w:t>
      </w:r>
      <w:r w:rsidRPr="001338B9">
        <w:rPr>
          <w:b/>
          <w:sz w:val="44"/>
          <w:szCs w:val="52"/>
        </w:rPr>
        <w:t>S</w:t>
      </w:r>
      <w:r>
        <w:rPr>
          <w:b/>
          <w:sz w:val="44"/>
          <w:szCs w:val="52"/>
        </w:rPr>
        <w:t>.</w:t>
      </w:r>
    </w:p>
    <w:p w:rsidR="00CB5F13" w:rsidRDefault="00CB5F13" w:rsidP="00CB5F13">
      <w:pPr>
        <w:jc w:val="center"/>
      </w:pPr>
    </w:p>
    <w:p w:rsidR="00CB5F13" w:rsidRDefault="00CB5F13" w:rsidP="00CB5F13">
      <w:pPr>
        <w:jc w:val="center"/>
      </w:pPr>
    </w:p>
    <w:p w:rsidR="00CB5F13" w:rsidRDefault="00CB5F13" w:rsidP="00CB5F13">
      <w:pPr>
        <w:jc w:val="center"/>
      </w:pPr>
    </w:p>
    <w:p w:rsidR="00CB5F13" w:rsidRDefault="00CB5F13" w:rsidP="00CB5F13">
      <w:pPr>
        <w:jc w:val="center"/>
      </w:pPr>
    </w:p>
    <w:p w:rsidR="00CB5F13" w:rsidRDefault="00CB5F13" w:rsidP="00CB5F13">
      <w:pPr>
        <w:jc w:val="center"/>
      </w:pPr>
    </w:p>
    <w:p w:rsidR="00CB5F13" w:rsidRDefault="00CB5F13" w:rsidP="00CB5F13">
      <w:pPr>
        <w:jc w:val="center"/>
      </w:pPr>
    </w:p>
    <w:p w:rsidR="00CB5F13" w:rsidRDefault="00CB5F13" w:rsidP="00CB5F13">
      <w:pPr>
        <w:jc w:val="center"/>
      </w:pPr>
    </w:p>
    <w:p w:rsidR="00CB5F13" w:rsidRDefault="00CB5F13" w:rsidP="00CB5F13">
      <w:pPr>
        <w:jc w:val="center"/>
      </w:pPr>
    </w:p>
    <w:p w:rsidR="00CB5F13" w:rsidRDefault="00CB5F13" w:rsidP="00CB5F13">
      <w:pPr>
        <w:jc w:val="center"/>
      </w:pPr>
    </w:p>
    <w:p w:rsidR="00CB5F13" w:rsidRDefault="00CB5F13" w:rsidP="00CB5F13">
      <w:pPr>
        <w:jc w:val="center"/>
      </w:pPr>
    </w:p>
    <w:p w:rsidR="00CB5F13" w:rsidRPr="006B26E6" w:rsidRDefault="00CB5F13" w:rsidP="00CB5F13">
      <w:pPr>
        <w:spacing w:line="480" w:lineRule="auto"/>
        <w:jc w:val="center"/>
        <w:rPr>
          <w:bCs/>
          <w:sz w:val="22"/>
          <w:szCs w:val="22"/>
        </w:rPr>
      </w:pPr>
      <w:r w:rsidRPr="006B26E6">
        <w:rPr>
          <w:bCs/>
          <w:sz w:val="22"/>
          <w:szCs w:val="22"/>
        </w:rPr>
        <w:t>Shaun Bevan (</w:t>
      </w:r>
      <w:hyperlink r:id="rId6" w:history="1">
        <w:r w:rsidRPr="001F57FB">
          <w:rPr>
            <w:rStyle w:val="Hyperlink"/>
            <w:sz w:val="22"/>
            <w:szCs w:val="22"/>
          </w:rPr>
          <w:t>Shaun.Bevan@gmail.com</w:t>
        </w:r>
      </w:hyperlink>
      <w:r w:rsidRPr="006B26E6">
        <w:rPr>
          <w:bCs/>
          <w:sz w:val="22"/>
          <w:szCs w:val="22"/>
        </w:rPr>
        <w:t xml:space="preserve"> )</w:t>
      </w:r>
    </w:p>
    <w:p w:rsidR="00CB5F13" w:rsidRDefault="00CB5F13" w:rsidP="00CB5F13">
      <w:pPr>
        <w:spacing w:line="480" w:lineRule="auto"/>
        <w:jc w:val="center"/>
        <w:rPr>
          <w:bCs/>
          <w:sz w:val="22"/>
          <w:szCs w:val="22"/>
        </w:rPr>
      </w:pPr>
      <w:r>
        <w:rPr>
          <w:bCs/>
          <w:sz w:val="22"/>
          <w:szCs w:val="22"/>
        </w:rPr>
        <w:t xml:space="preserve">Department of </w:t>
      </w:r>
      <w:r w:rsidRPr="006B26E6">
        <w:rPr>
          <w:bCs/>
          <w:sz w:val="22"/>
          <w:szCs w:val="22"/>
        </w:rPr>
        <w:t>Politics and International Rel</w:t>
      </w:r>
      <w:r>
        <w:rPr>
          <w:bCs/>
          <w:sz w:val="22"/>
          <w:szCs w:val="22"/>
        </w:rPr>
        <w:t>ations, University of Edinburgh, UK</w:t>
      </w:r>
    </w:p>
    <w:p w:rsidR="00CB5F13" w:rsidRPr="006B26E6" w:rsidRDefault="00CB5F13" w:rsidP="00CB5F13">
      <w:pPr>
        <w:spacing w:line="480" w:lineRule="auto"/>
        <w:jc w:val="center"/>
        <w:rPr>
          <w:bCs/>
          <w:sz w:val="22"/>
          <w:szCs w:val="22"/>
        </w:rPr>
      </w:pPr>
    </w:p>
    <w:p w:rsidR="00CB5F13" w:rsidRPr="006B26E6" w:rsidRDefault="00CB5F13" w:rsidP="00CB5F13">
      <w:pPr>
        <w:spacing w:line="480" w:lineRule="auto"/>
        <w:jc w:val="center"/>
        <w:outlineLvl w:val="0"/>
        <w:rPr>
          <w:iCs/>
          <w:sz w:val="22"/>
          <w:szCs w:val="22"/>
        </w:rPr>
      </w:pPr>
      <w:r w:rsidRPr="006B26E6">
        <w:rPr>
          <w:iCs/>
          <w:sz w:val="22"/>
          <w:szCs w:val="22"/>
        </w:rPr>
        <w:t>Will Jennings (</w:t>
      </w:r>
      <w:hyperlink r:id="rId7" w:history="1">
        <w:r w:rsidRPr="006B26E6">
          <w:rPr>
            <w:rStyle w:val="Hyperlink"/>
            <w:sz w:val="22"/>
            <w:szCs w:val="22"/>
          </w:rPr>
          <w:t>w.j.jennings@soton.ac.uk</w:t>
        </w:r>
      </w:hyperlink>
      <w:hyperlink r:id="rId8" w:history="1"/>
      <w:r w:rsidRPr="006B26E6">
        <w:rPr>
          <w:iCs/>
          <w:sz w:val="22"/>
          <w:szCs w:val="22"/>
        </w:rPr>
        <w:t>)</w:t>
      </w:r>
    </w:p>
    <w:p w:rsidR="00CB5F13" w:rsidRPr="006B26E6" w:rsidRDefault="00CB5F13" w:rsidP="00CB5F13">
      <w:pPr>
        <w:spacing w:line="480" w:lineRule="auto"/>
        <w:jc w:val="center"/>
        <w:rPr>
          <w:sz w:val="22"/>
          <w:szCs w:val="22"/>
        </w:rPr>
      </w:pPr>
      <w:r>
        <w:rPr>
          <w:sz w:val="22"/>
          <w:szCs w:val="22"/>
        </w:rPr>
        <w:t>Department of Politics and International Relations</w:t>
      </w:r>
      <w:r w:rsidRPr="006B26E6">
        <w:rPr>
          <w:sz w:val="22"/>
          <w:szCs w:val="22"/>
        </w:rPr>
        <w:t>, University of Southampton, UK</w:t>
      </w:r>
    </w:p>
    <w:p w:rsidR="00CB5F13" w:rsidRPr="006B26E6" w:rsidRDefault="00CB5F13" w:rsidP="00CB5F13">
      <w:pPr>
        <w:spacing w:line="480" w:lineRule="auto"/>
        <w:jc w:val="center"/>
        <w:rPr>
          <w:sz w:val="22"/>
          <w:szCs w:val="22"/>
        </w:rPr>
      </w:pPr>
    </w:p>
    <w:p w:rsidR="00CB5F13" w:rsidRPr="006B26E6" w:rsidRDefault="00CB5F13" w:rsidP="00CB5F13">
      <w:pPr>
        <w:spacing w:line="480" w:lineRule="auto"/>
        <w:jc w:val="center"/>
        <w:rPr>
          <w:sz w:val="22"/>
          <w:szCs w:val="22"/>
          <w:lang w:val="de-DE"/>
        </w:rPr>
      </w:pPr>
      <w:r w:rsidRPr="006B26E6">
        <w:rPr>
          <w:sz w:val="22"/>
          <w:szCs w:val="22"/>
          <w:lang w:val="de-DE"/>
        </w:rPr>
        <w:t>Mark Pickup (</w:t>
      </w:r>
      <w:r w:rsidR="00E820A2">
        <w:rPr>
          <w:rStyle w:val="Hyperlink"/>
          <w:sz w:val="22"/>
          <w:szCs w:val="22"/>
          <w:lang w:val="de-DE"/>
        </w:rPr>
        <w:fldChar w:fldCharType="begin"/>
      </w:r>
      <w:r>
        <w:rPr>
          <w:rStyle w:val="Hyperlink"/>
          <w:sz w:val="22"/>
          <w:szCs w:val="22"/>
          <w:lang w:val="de-DE"/>
        </w:rPr>
        <w:instrText xml:space="preserve"> HYPERLINK "mailto:mark.pickup@gmail.com" </w:instrText>
      </w:r>
      <w:r w:rsidR="00E820A2">
        <w:rPr>
          <w:rStyle w:val="Hyperlink"/>
          <w:sz w:val="22"/>
          <w:szCs w:val="22"/>
          <w:lang w:val="de-DE"/>
        </w:rPr>
        <w:fldChar w:fldCharType="separate"/>
      </w:r>
      <w:r w:rsidRPr="006B26E6">
        <w:rPr>
          <w:rStyle w:val="Hyperlink"/>
          <w:sz w:val="22"/>
          <w:szCs w:val="22"/>
          <w:lang w:val="de-DE"/>
        </w:rPr>
        <w:t>mark.pickup@gmail.com</w:t>
      </w:r>
      <w:r w:rsidR="00E820A2">
        <w:rPr>
          <w:rStyle w:val="Hyperlink"/>
          <w:sz w:val="22"/>
          <w:szCs w:val="22"/>
          <w:lang w:val="de-DE"/>
        </w:rPr>
        <w:fldChar w:fldCharType="end"/>
      </w:r>
      <w:r w:rsidRPr="006B26E6">
        <w:rPr>
          <w:sz w:val="22"/>
          <w:szCs w:val="22"/>
          <w:lang w:val="de-DE"/>
        </w:rPr>
        <w:t>)</w:t>
      </w:r>
    </w:p>
    <w:p w:rsidR="00CB5F13" w:rsidRDefault="00CB5F13" w:rsidP="00CB5F13">
      <w:pPr>
        <w:spacing w:line="480" w:lineRule="auto"/>
        <w:jc w:val="center"/>
        <w:rPr>
          <w:sz w:val="22"/>
          <w:szCs w:val="22"/>
        </w:rPr>
      </w:pPr>
      <w:r w:rsidRPr="006B26E6">
        <w:rPr>
          <w:sz w:val="22"/>
          <w:szCs w:val="22"/>
        </w:rPr>
        <w:t>Department of Political Science, Simon Fraser University, Canada</w:t>
      </w:r>
    </w:p>
    <w:p w:rsidR="00CB5F13" w:rsidRDefault="00CB5F13" w:rsidP="00CB5F13">
      <w:pPr>
        <w:spacing w:after="160" w:line="259" w:lineRule="auto"/>
      </w:pPr>
    </w:p>
    <w:p w:rsidR="00CB5F13" w:rsidRDefault="00CB5F13" w:rsidP="00CB5F13">
      <w:pPr>
        <w:spacing w:after="160" w:line="259" w:lineRule="auto"/>
      </w:pPr>
    </w:p>
    <w:p w:rsidR="00CB5F13" w:rsidRDefault="00CB5F13">
      <w:pPr>
        <w:spacing w:after="160" w:line="259" w:lineRule="auto"/>
      </w:pPr>
      <w:r>
        <w:br w:type="page"/>
      </w:r>
    </w:p>
    <w:p w:rsidR="00DE7F92" w:rsidRDefault="00DE7F92" w:rsidP="00DE7F92">
      <w:pPr>
        <w:spacing w:after="200" w:line="480" w:lineRule="auto"/>
      </w:pPr>
      <w:r>
        <w:lastRenderedPageBreak/>
        <w:t>ONLINE APPENDIX A: Problem Status Measures</w:t>
      </w:r>
    </w:p>
    <w:p w:rsidR="00DE7F92" w:rsidRDefault="00DE7F92" w:rsidP="00DE7F92">
      <w:pPr>
        <w:spacing w:line="480" w:lineRule="auto"/>
      </w:pPr>
      <w:r>
        <w:t xml:space="preserve">Measures of problem status were gathered from official government sources and chosen based on their availability over time as quarterly data. In most cases only a single series was found that could be easily and directly tied to each issue area. GDP growth is the clear exception where other measures of economic performance such as inflation and unemployment are easily obtainable. However, given that these alternative measures are often tied to particular parts of society and even the interests of certain political parties we chose to use GDP growth. </w:t>
      </w:r>
    </w:p>
    <w:p w:rsidR="00DE7F92" w:rsidRDefault="00DE7F92" w:rsidP="00DE7F92">
      <w:pPr>
        <w:spacing w:line="480" w:lineRule="auto"/>
        <w:rPr>
          <w:b/>
        </w:rPr>
      </w:pPr>
    </w:p>
    <w:p w:rsidR="00DE7F92" w:rsidRPr="004C2551" w:rsidRDefault="00DE7F92" w:rsidP="00DE7F92">
      <w:pPr>
        <w:spacing w:line="480" w:lineRule="auto"/>
        <w:rPr>
          <w:u w:val="single"/>
        </w:rPr>
      </w:pPr>
      <w:r w:rsidRPr="004C2551">
        <w:rPr>
          <w:u w:val="single"/>
        </w:rPr>
        <w:t>United States</w:t>
      </w:r>
    </w:p>
    <w:p w:rsidR="00DE7F92" w:rsidRDefault="00DE7F92" w:rsidP="00DE7F92">
      <w:pPr>
        <w:spacing w:line="480" w:lineRule="auto"/>
      </w:pPr>
      <w:r>
        <w:t xml:space="preserve">Table A1 lists all measures of problem status we use for the US. </w:t>
      </w:r>
    </w:p>
    <w:p w:rsidR="00DE7F92" w:rsidRDefault="00DE7F92" w:rsidP="00DE7F92">
      <w:pPr>
        <w:spacing w:line="480" w:lineRule="auto"/>
      </w:pPr>
    </w:p>
    <w:p w:rsidR="00DE7F92" w:rsidRPr="00E65F25" w:rsidRDefault="00DE7F92" w:rsidP="00DE7F92">
      <w:pPr>
        <w:spacing w:after="240"/>
      </w:pPr>
      <w:r w:rsidRPr="004C2551">
        <w:rPr>
          <w:b/>
        </w:rPr>
        <w:t>Table A1:</w:t>
      </w:r>
      <w:r w:rsidRPr="00E65F25">
        <w:t xml:space="preserve"> </w:t>
      </w:r>
      <w:r>
        <w:t xml:space="preserve">US </w:t>
      </w:r>
      <w:r w:rsidRPr="00E65F25">
        <w:t>Measures of Problem Statu</w:t>
      </w:r>
      <w:r>
        <w:t>s</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gridCol w:w="5070"/>
      </w:tblGrid>
      <w:tr w:rsidR="00DE7F92" w:rsidRPr="00E65F25" w:rsidTr="00F802B9">
        <w:tc>
          <w:tcPr>
            <w:tcW w:w="3969" w:type="dxa"/>
            <w:tcBorders>
              <w:top w:val="single" w:sz="12" w:space="0" w:color="auto"/>
              <w:bottom w:val="single" w:sz="4" w:space="0" w:color="auto"/>
            </w:tcBorders>
          </w:tcPr>
          <w:p w:rsidR="00DE7F92" w:rsidRPr="00E65F25" w:rsidRDefault="00DE7F92" w:rsidP="00F802B9">
            <w:r w:rsidRPr="00E65F25">
              <w:t>Measure</w:t>
            </w:r>
          </w:p>
        </w:tc>
        <w:tc>
          <w:tcPr>
            <w:tcW w:w="5070" w:type="dxa"/>
            <w:tcBorders>
              <w:top w:val="single" w:sz="12" w:space="0" w:color="auto"/>
              <w:bottom w:val="single" w:sz="4" w:space="0" w:color="auto"/>
            </w:tcBorders>
          </w:tcPr>
          <w:p w:rsidR="00DE7F92" w:rsidRPr="00E65F25" w:rsidRDefault="00DE7F92" w:rsidP="00F802B9">
            <w:r>
              <w:t>Source</w:t>
            </w:r>
          </w:p>
        </w:tc>
      </w:tr>
      <w:tr w:rsidR="00DE7F92" w:rsidRPr="00E65F25" w:rsidTr="00F802B9">
        <w:tc>
          <w:tcPr>
            <w:tcW w:w="3969" w:type="dxa"/>
            <w:tcBorders>
              <w:top w:val="single" w:sz="4" w:space="0" w:color="auto"/>
            </w:tcBorders>
          </w:tcPr>
          <w:p w:rsidR="00DE7F92" w:rsidRPr="00E65F25" w:rsidRDefault="00DE7F92" w:rsidP="00F668CB">
            <w:pPr>
              <w:spacing w:before="200"/>
            </w:pPr>
            <w:r w:rsidRPr="00E65F25">
              <w:t>Gross Domestic Product Growth</w:t>
            </w:r>
          </w:p>
        </w:tc>
        <w:tc>
          <w:tcPr>
            <w:tcW w:w="5070" w:type="dxa"/>
            <w:tcBorders>
              <w:top w:val="single" w:sz="4" w:space="0" w:color="auto"/>
            </w:tcBorders>
          </w:tcPr>
          <w:p w:rsidR="00DE7F92" w:rsidRPr="006254B4" w:rsidRDefault="00DE7F92" w:rsidP="00F668CB">
            <w:pPr>
              <w:spacing w:before="200"/>
              <w:rPr>
                <w:lang w:val="en-GB"/>
              </w:rPr>
            </w:pPr>
            <w:r w:rsidRPr="00B4376D">
              <w:rPr>
                <w:lang w:val="en-GB"/>
              </w:rPr>
              <w:t>Gross domestic product (billions $) (Bureau of Economic Analysis).</w:t>
            </w:r>
          </w:p>
        </w:tc>
      </w:tr>
      <w:tr w:rsidR="00DE7F92" w:rsidRPr="00E65F25" w:rsidTr="00F802B9">
        <w:tc>
          <w:tcPr>
            <w:tcW w:w="3969" w:type="dxa"/>
          </w:tcPr>
          <w:p w:rsidR="00DE7F92" w:rsidRPr="00E65F25" w:rsidRDefault="00DE7F92" w:rsidP="00F668CB">
            <w:pPr>
              <w:spacing w:before="200"/>
            </w:pPr>
            <w:r>
              <w:t>Average Medical Care Cost</w:t>
            </w:r>
          </w:p>
        </w:tc>
        <w:tc>
          <w:tcPr>
            <w:tcW w:w="5070" w:type="dxa"/>
          </w:tcPr>
          <w:p w:rsidR="00DE7F92" w:rsidRPr="006254B4" w:rsidRDefault="00DE7F92" w:rsidP="00F668CB">
            <w:pPr>
              <w:spacing w:before="200"/>
              <w:rPr>
                <w:lang w:val="en-GB"/>
              </w:rPr>
            </w:pPr>
            <w:r w:rsidRPr="00B4376D">
              <w:rPr>
                <w:lang w:val="en-GB"/>
              </w:rPr>
              <w:t xml:space="preserve">Consumer price index: medical care services ($) (Bureau for </w:t>
            </w:r>
            <w:proofErr w:type="spellStart"/>
            <w:r w:rsidRPr="00B4376D">
              <w:rPr>
                <w:lang w:val="en-GB"/>
              </w:rPr>
              <w:t>Labor</w:t>
            </w:r>
            <w:proofErr w:type="spellEnd"/>
            <w:r w:rsidRPr="00B4376D">
              <w:rPr>
                <w:lang w:val="en-GB"/>
              </w:rPr>
              <w:t xml:space="preserve"> Statistics, CUSR0000SAM2).</w:t>
            </w:r>
          </w:p>
        </w:tc>
      </w:tr>
      <w:tr w:rsidR="00DE7F92" w:rsidRPr="00E65F25" w:rsidTr="00F802B9">
        <w:tc>
          <w:tcPr>
            <w:tcW w:w="3969" w:type="dxa"/>
          </w:tcPr>
          <w:p w:rsidR="00DE7F92" w:rsidRPr="00E65F25" w:rsidRDefault="00DE7F92" w:rsidP="00F668CB">
            <w:pPr>
              <w:spacing w:before="200"/>
            </w:pPr>
            <w:r w:rsidRPr="00E65F25">
              <w:t>Domestic Fuel</w:t>
            </w:r>
            <w:r>
              <w:t xml:space="preserve"> Oil</w:t>
            </w:r>
            <w:r w:rsidRPr="00E65F25">
              <w:t xml:space="preserve"> Prices</w:t>
            </w:r>
          </w:p>
        </w:tc>
        <w:tc>
          <w:tcPr>
            <w:tcW w:w="5070" w:type="dxa"/>
          </w:tcPr>
          <w:p w:rsidR="00DE7F92" w:rsidRPr="006254B4" w:rsidRDefault="00DE7F92" w:rsidP="00F668CB">
            <w:pPr>
              <w:spacing w:before="200"/>
              <w:rPr>
                <w:lang w:val="en-GB"/>
              </w:rPr>
            </w:pPr>
            <w:r w:rsidRPr="00B4376D">
              <w:rPr>
                <w:lang w:val="en-GB"/>
              </w:rPr>
              <w:t xml:space="preserve">Consumer price index: Domestic fuel oil per 100 gallon barrel ($) (Bureau for </w:t>
            </w:r>
            <w:proofErr w:type="spellStart"/>
            <w:r w:rsidRPr="00B4376D">
              <w:rPr>
                <w:lang w:val="en-GB"/>
              </w:rPr>
              <w:t>Labor</w:t>
            </w:r>
            <w:proofErr w:type="spellEnd"/>
            <w:r w:rsidRPr="00B4376D">
              <w:rPr>
                <w:lang w:val="en-GB"/>
              </w:rPr>
              <w:t xml:space="preserve"> Statistics).</w:t>
            </w:r>
          </w:p>
        </w:tc>
      </w:tr>
      <w:tr w:rsidR="00DE7F92" w:rsidRPr="00E65F25" w:rsidTr="00F802B9">
        <w:tc>
          <w:tcPr>
            <w:tcW w:w="3969" w:type="dxa"/>
            <w:tcBorders>
              <w:bottom w:val="single" w:sz="4" w:space="0" w:color="auto"/>
            </w:tcBorders>
          </w:tcPr>
          <w:p w:rsidR="00DE7F92" w:rsidRPr="00E65F25" w:rsidRDefault="00DE7F92" w:rsidP="00F668CB">
            <w:pPr>
              <w:spacing w:before="200"/>
            </w:pPr>
            <w:r>
              <w:t>Domestic Gas Prices</w:t>
            </w:r>
          </w:p>
        </w:tc>
        <w:tc>
          <w:tcPr>
            <w:tcW w:w="5070" w:type="dxa"/>
            <w:tcBorders>
              <w:bottom w:val="single" w:sz="4" w:space="0" w:color="auto"/>
            </w:tcBorders>
          </w:tcPr>
          <w:p w:rsidR="00DE7F92" w:rsidRPr="006254B4" w:rsidRDefault="00F668CB" w:rsidP="00F668CB">
            <w:pPr>
              <w:spacing w:before="200"/>
              <w:rPr>
                <w:lang w:val="en-GB"/>
              </w:rPr>
            </w:pPr>
            <w:r w:rsidRPr="00F668CB">
              <w:rPr>
                <w:lang w:val="en-GB"/>
              </w:rPr>
              <w:t>U.S. Total Gasoline Through Company Outlets Price by All Sellers (</w:t>
            </w:r>
            <w:r>
              <w:rPr>
                <w:lang w:val="en-GB"/>
              </w:rPr>
              <w:t xml:space="preserve">$ </w:t>
            </w:r>
            <w:r w:rsidRPr="00F668CB">
              <w:rPr>
                <w:lang w:val="en-GB"/>
              </w:rPr>
              <w:t xml:space="preserve">per Gallon) </w:t>
            </w:r>
            <w:r>
              <w:rPr>
                <w:lang w:val="en-GB"/>
              </w:rPr>
              <w:t>(US Energy Information Administration</w:t>
            </w:r>
            <w:r w:rsidR="00DE7F92" w:rsidRPr="00B4376D">
              <w:rPr>
                <w:lang w:val="en-GB"/>
              </w:rPr>
              <w:t>)</w:t>
            </w:r>
          </w:p>
        </w:tc>
      </w:tr>
    </w:tbl>
    <w:p w:rsidR="00DE7F92" w:rsidRPr="00EB2FDF" w:rsidRDefault="00DE7F92" w:rsidP="00DE7F92"/>
    <w:p w:rsidR="00DE7F92" w:rsidRDefault="00DE7F92" w:rsidP="00DE7F92">
      <w:pPr>
        <w:rPr>
          <w:b/>
        </w:rPr>
      </w:pPr>
    </w:p>
    <w:p w:rsidR="00DE7F92" w:rsidRPr="006F602A" w:rsidRDefault="00DE7F92" w:rsidP="00DE7F92">
      <w:pPr>
        <w:spacing w:line="480" w:lineRule="auto"/>
      </w:pPr>
      <w:r>
        <w:t>With the exception of GDP growth</w:t>
      </w:r>
      <w:r w:rsidR="00A86600">
        <w:t xml:space="preserve"> and Domestic Gas Prices</w:t>
      </w:r>
      <w:r>
        <w:t xml:space="preserve">, all US data was gathered from historical trends series available through the Bureau of </w:t>
      </w:r>
      <w:proofErr w:type="spellStart"/>
      <w:r>
        <w:t>Labor</w:t>
      </w:r>
      <w:proofErr w:type="spellEnd"/>
      <w:r>
        <w:t xml:space="preserve"> Statistics (BLS; see </w:t>
      </w:r>
      <w:r w:rsidRPr="00BA7E63">
        <w:t>http://www.bls.gov/data/</w:t>
      </w:r>
      <w:r>
        <w:t>). This data was seasonally adjusted in real dollar terms based on urban averages for medical care services, a 100 gallon barrel of domestic fuel oil and a gallon of gasoline (averaged across all octanes).</w:t>
      </w:r>
    </w:p>
    <w:p w:rsidR="00DE7F92" w:rsidRDefault="00DE7F92" w:rsidP="00DE7F92">
      <w:pPr>
        <w:spacing w:line="480" w:lineRule="auto"/>
        <w:rPr>
          <w:b/>
        </w:rPr>
      </w:pPr>
    </w:p>
    <w:p w:rsidR="00DE7F92" w:rsidRDefault="00DE7F92" w:rsidP="00DE7F92">
      <w:pPr>
        <w:spacing w:line="480" w:lineRule="auto"/>
      </w:pPr>
      <w:r>
        <w:t xml:space="preserve">GDP growth was calculated using seasonally adjusted data from the Bureau of Economic Analysis (BEA; see </w:t>
      </w:r>
      <w:hyperlink r:id="rId9" w:history="1">
        <w:r w:rsidRPr="00C353E3">
          <w:rPr>
            <w:rStyle w:val="Hyperlink"/>
          </w:rPr>
          <w:t>http://www.bea.gov/</w:t>
        </w:r>
      </w:hyperlink>
      <w:r>
        <w:t xml:space="preserve">). This was used as the BEA offered a more user friendly version of the dataset. </w:t>
      </w:r>
      <w:r w:rsidR="00A86600">
        <w:t>Domestic gas prices was obtained through the US energy information and ministration website  (</w:t>
      </w:r>
      <w:hyperlink r:id="rId10" w:history="1">
        <w:r w:rsidR="00A86600" w:rsidRPr="00D406BB">
          <w:rPr>
            <w:rStyle w:val="Hyperlink"/>
          </w:rPr>
          <w:t>https://www.eia.gov/dnav/pet/pet_pri_allmg_a_EPM0_PTC_Dpgal_m.htm</w:t>
        </w:r>
      </w:hyperlink>
      <w:r w:rsidR="00A86600">
        <w:t xml:space="preserve">). </w:t>
      </w:r>
      <w:r>
        <w:t>Regardless, all data sources are based on official government statistics. Figure A1 presents each of these series over time.</w:t>
      </w:r>
    </w:p>
    <w:p w:rsidR="00DE7F92" w:rsidRDefault="00DE7F92" w:rsidP="00DE7F92">
      <w:pPr>
        <w:spacing w:after="200" w:line="276" w:lineRule="auto"/>
      </w:pPr>
    </w:p>
    <w:p w:rsidR="00DE7F92" w:rsidRDefault="00DE7F92" w:rsidP="00DE7F92">
      <w:pPr>
        <w:spacing w:after="240"/>
      </w:pPr>
      <w:r w:rsidRPr="004C2551">
        <w:rPr>
          <w:b/>
        </w:rPr>
        <w:t xml:space="preserve">Figure A1: </w:t>
      </w:r>
      <w:r>
        <w:t>US Problem Status Measures Over Time</w:t>
      </w:r>
    </w:p>
    <w:p w:rsidR="00CC59FB" w:rsidRDefault="00CC59FB" w:rsidP="00DE7F92">
      <w:pPr>
        <w:spacing w:after="240"/>
      </w:pPr>
      <w:r>
        <w:rPr>
          <w:noProof/>
          <w:lang w:val="en-NZ" w:eastAsia="en-NZ"/>
        </w:rPr>
        <w:drawing>
          <wp:inline distT="0" distB="0" distL="0" distR="0">
            <wp:extent cx="5731510" cy="41681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Revision_180610.t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168140"/>
                    </a:xfrm>
                    <a:prstGeom prst="rect">
                      <a:avLst/>
                    </a:prstGeom>
                  </pic:spPr>
                </pic:pic>
              </a:graphicData>
            </a:graphic>
          </wp:inline>
        </w:drawing>
      </w:r>
    </w:p>
    <w:p w:rsidR="00DE7F92" w:rsidRDefault="00DE7F92" w:rsidP="00DE7F92"/>
    <w:p w:rsidR="00DE7F92" w:rsidRDefault="00DE7F92" w:rsidP="00DE7F92">
      <w:pPr>
        <w:spacing w:after="200" w:line="276" w:lineRule="auto"/>
        <w:rPr>
          <w:b/>
        </w:rPr>
      </w:pPr>
      <w:r>
        <w:rPr>
          <w:b/>
        </w:rPr>
        <w:br w:type="page"/>
      </w:r>
    </w:p>
    <w:p w:rsidR="00DE7F92" w:rsidRPr="004C2551" w:rsidRDefault="00DE7F92" w:rsidP="00DE7F92">
      <w:pPr>
        <w:spacing w:line="480" w:lineRule="auto"/>
        <w:rPr>
          <w:u w:val="single"/>
        </w:rPr>
      </w:pPr>
      <w:r w:rsidRPr="004C2551">
        <w:rPr>
          <w:u w:val="single"/>
        </w:rPr>
        <w:lastRenderedPageBreak/>
        <w:t>United Kingdom</w:t>
      </w:r>
    </w:p>
    <w:p w:rsidR="00DE7F92" w:rsidRDefault="00DE7F92" w:rsidP="00DE7F92">
      <w:pPr>
        <w:spacing w:line="480" w:lineRule="auto"/>
        <w:rPr>
          <w:b/>
        </w:rPr>
      </w:pPr>
      <w:r>
        <w:t>Table A2 lists the measures of problem status for the UK.</w:t>
      </w:r>
    </w:p>
    <w:p w:rsidR="00DE7F92" w:rsidRPr="00187B44" w:rsidRDefault="00DE7F92" w:rsidP="00DE7F92">
      <w:pPr>
        <w:spacing w:line="480" w:lineRule="auto"/>
        <w:rPr>
          <w:b/>
        </w:rPr>
      </w:pPr>
    </w:p>
    <w:p w:rsidR="00DE7F92" w:rsidRDefault="00DE7F92" w:rsidP="00DE7F92">
      <w:pPr>
        <w:spacing w:after="240"/>
      </w:pPr>
      <w:r w:rsidRPr="004C2551">
        <w:rPr>
          <w:b/>
        </w:rPr>
        <w:t>Table A2:</w:t>
      </w:r>
      <w:r w:rsidRPr="00E65F25">
        <w:t xml:space="preserve"> </w:t>
      </w:r>
      <w:r>
        <w:t xml:space="preserve">UK </w:t>
      </w:r>
      <w:r w:rsidRPr="00E65F25">
        <w:t>Measures of Problem Statu</w:t>
      </w:r>
      <w:r>
        <w:t>s</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gridCol w:w="5070"/>
      </w:tblGrid>
      <w:tr w:rsidR="00DE7F92" w:rsidRPr="00E65F25" w:rsidTr="00F802B9">
        <w:tc>
          <w:tcPr>
            <w:tcW w:w="3969" w:type="dxa"/>
            <w:tcBorders>
              <w:top w:val="single" w:sz="4" w:space="0" w:color="auto"/>
            </w:tcBorders>
          </w:tcPr>
          <w:p w:rsidR="00DE7F92" w:rsidRPr="00E65F25" w:rsidRDefault="00DE7F92" w:rsidP="00F802B9">
            <w:r w:rsidRPr="00E65F25">
              <w:t>Measure</w:t>
            </w:r>
          </w:p>
        </w:tc>
        <w:tc>
          <w:tcPr>
            <w:tcW w:w="5070" w:type="dxa"/>
            <w:tcBorders>
              <w:top w:val="single" w:sz="4" w:space="0" w:color="auto"/>
            </w:tcBorders>
          </w:tcPr>
          <w:p w:rsidR="00DE7F92" w:rsidRDefault="00DE7F92" w:rsidP="00F802B9">
            <w:r>
              <w:t>Source</w:t>
            </w:r>
          </w:p>
        </w:tc>
      </w:tr>
      <w:tr w:rsidR="00DE7F92" w:rsidRPr="00E65F25" w:rsidTr="00F802B9">
        <w:tc>
          <w:tcPr>
            <w:tcW w:w="3969" w:type="dxa"/>
            <w:tcBorders>
              <w:top w:val="single" w:sz="4" w:space="0" w:color="auto"/>
            </w:tcBorders>
          </w:tcPr>
          <w:p w:rsidR="00DE7F92" w:rsidRPr="00E65F25" w:rsidRDefault="00DE7F92" w:rsidP="00F802B9">
            <w:r w:rsidRPr="00E65F25">
              <w:t>Gross Domestic Product Growth</w:t>
            </w:r>
          </w:p>
        </w:tc>
        <w:tc>
          <w:tcPr>
            <w:tcW w:w="5070" w:type="dxa"/>
            <w:tcBorders>
              <w:top w:val="single" w:sz="4" w:space="0" w:color="auto"/>
            </w:tcBorders>
          </w:tcPr>
          <w:p w:rsidR="00DE7F92" w:rsidRPr="006254B4" w:rsidRDefault="00DE7F92" w:rsidP="00F802B9">
            <w:pPr>
              <w:rPr>
                <w:lang w:val="en-GB"/>
              </w:rPr>
            </w:pPr>
            <w:r w:rsidRPr="00B4376D">
              <w:rPr>
                <w:lang w:val="en-GB"/>
              </w:rPr>
              <w:t>Gross domestic product (quarter-on-quarter growth: chained values, seasonally adjusted, percentage) (ONS, IHYQ).</w:t>
            </w:r>
          </w:p>
        </w:tc>
      </w:tr>
      <w:tr w:rsidR="00DE7F92" w:rsidRPr="00E65F25" w:rsidTr="00F802B9">
        <w:tc>
          <w:tcPr>
            <w:tcW w:w="3969" w:type="dxa"/>
          </w:tcPr>
          <w:p w:rsidR="00DE7F92" w:rsidRPr="00E65F25" w:rsidRDefault="00DE7F92" w:rsidP="00F802B9">
            <w:r w:rsidRPr="00E65F25">
              <w:t xml:space="preserve">Immigration </w:t>
            </w:r>
            <w:r>
              <w:t>i</w:t>
            </w:r>
            <w:r w:rsidRPr="00E65F25">
              <w:t>nflows</w:t>
            </w:r>
          </w:p>
        </w:tc>
        <w:tc>
          <w:tcPr>
            <w:tcW w:w="5070" w:type="dxa"/>
          </w:tcPr>
          <w:p w:rsidR="00DE7F92" w:rsidRPr="006254B4" w:rsidRDefault="00DE7F92" w:rsidP="00F802B9">
            <w:pPr>
              <w:rPr>
                <w:lang w:val="en-GB"/>
              </w:rPr>
            </w:pPr>
            <w:r w:rsidRPr="00B4376D">
              <w:rPr>
                <w:lang w:val="en-GB"/>
              </w:rPr>
              <w:t>Long-Term International Migration, Rolling annual data to year ending December 2012 (OFS, International Passenger Survey).</w:t>
            </w:r>
          </w:p>
        </w:tc>
      </w:tr>
      <w:tr w:rsidR="00DE7F92" w:rsidRPr="00E65F25" w:rsidTr="00F802B9">
        <w:tc>
          <w:tcPr>
            <w:tcW w:w="3969" w:type="dxa"/>
          </w:tcPr>
          <w:p w:rsidR="00DE7F92" w:rsidRPr="006254B4" w:rsidRDefault="00DE7F92" w:rsidP="00F802B9">
            <w:pPr>
              <w:rPr>
                <w:lang w:val="en-GB"/>
              </w:rPr>
            </w:pPr>
            <w:r w:rsidRPr="00B4376D">
              <w:rPr>
                <w:lang w:val="en-GB"/>
              </w:rPr>
              <w:t>National Health Service median waiting time</w:t>
            </w:r>
          </w:p>
        </w:tc>
        <w:tc>
          <w:tcPr>
            <w:tcW w:w="5070" w:type="dxa"/>
          </w:tcPr>
          <w:p w:rsidR="00DE7F92" w:rsidRPr="006254B4" w:rsidRDefault="00DE7F92" w:rsidP="00F802B9">
            <w:pPr>
              <w:rPr>
                <w:lang w:val="en-GB"/>
              </w:rPr>
            </w:pPr>
            <w:r w:rsidRPr="00B4376D">
              <w:rPr>
                <w:lang w:val="en-GB"/>
              </w:rPr>
              <w:t>Median waiting time: (Department of Health).</w:t>
            </w:r>
          </w:p>
        </w:tc>
      </w:tr>
      <w:tr w:rsidR="00DE7F92" w:rsidRPr="00E65F25" w:rsidTr="00F802B9">
        <w:tc>
          <w:tcPr>
            <w:tcW w:w="3969" w:type="dxa"/>
          </w:tcPr>
          <w:p w:rsidR="00DE7F92" w:rsidRPr="00E65F25" w:rsidRDefault="00DE7F92" w:rsidP="00F802B9">
            <w:r w:rsidRPr="00E65F25">
              <w:t xml:space="preserve">Domestic Fuel </w:t>
            </w:r>
            <w:r>
              <w:t xml:space="preserve">Oil </w:t>
            </w:r>
            <w:r w:rsidRPr="00E65F25">
              <w:t>Prices</w:t>
            </w:r>
          </w:p>
        </w:tc>
        <w:tc>
          <w:tcPr>
            <w:tcW w:w="5070" w:type="dxa"/>
          </w:tcPr>
          <w:p w:rsidR="00DE7F92" w:rsidRPr="006254B4" w:rsidRDefault="00DE7F92" w:rsidP="00F802B9">
            <w:pPr>
              <w:rPr>
                <w:lang w:val="en-GB"/>
              </w:rPr>
            </w:pPr>
            <w:r w:rsidRPr="00B4376D">
              <w:rPr>
                <w:lang w:val="en-GB"/>
              </w:rPr>
              <w:t>Consumer price index: domestic fuels (fuel price index numbers relative to the GDP deflator, base=100, April 2010) (ONS).</w:t>
            </w:r>
          </w:p>
        </w:tc>
      </w:tr>
      <w:tr w:rsidR="00DE7F92" w:rsidRPr="00E65F25" w:rsidTr="00F802B9">
        <w:tc>
          <w:tcPr>
            <w:tcW w:w="3969" w:type="dxa"/>
          </w:tcPr>
          <w:p w:rsidR="00DE7F92" w:rsidRPr="00E65F25" w:rsidRDefault="00DE7F92" w:rsidP="00F802B9">
            <w:r w:rsidRPr="00E65F25">
              <w:t>Railroad Public Performance Measure</w:t>
            </w:r>
          </w:p>
        </w:tc>
        <w:tc>
          <w:tcPr>
            <w:tcW w:w="5070" w:type="dxa"/>
          </w:tcPr>
          <w:p w:rsidR="00DE7F92" w:rsidRPr="006254B4" w:rsidRDefault="00DE7F92" w:rsidP="00F802B9">
            <w:pPr>
              <w:rPr>
                <w:lang w:val="en-GB"/>
              </w:rPr>
            </w:pPr>
            <w:r w:rsidRPr="00B4376D">
              <w:rPr>
                <w:lang w:val="en-GB"/>
              </w:rPr>
              <w:t>Public performance measure: all operators (Office of Rail Regulation).</w:t>
            </w:r>
          </w:p>
        </w:tc>
      </w:tr>
      <w:tr w:rsidR="00DE7F92" w:rsidRPr="00E65F25" w:rsidTr="00F802B9">
        <w:tc>
          <w:tcPr>
            <w:tcW w:w="3969" w:type="dxa"/>
            <w:tcBorders>
              <w:bottom w:val="single" w:sz="12" w:space="0" w:color="auto"/>
            </w:tcBorders>
          </w:tcPr>
          <w:p w:rsidR="00DE7F92" w:rsidRPr="00580BAD" w:rsidRDefault="00DE7F92" w:rsidP="00F802B9">
            <w:pPr>
              <w:rPr>
                <w:lang w:val="en-GB"/>
              </w:rPr>
            </w:pPr>
            <w:r>
              <w:rPr>
                <w:lang w:val="en-GB"/>
              </w:rPr>
              <w:t>Fear of crime</w:t>
            </w:r>
          </w:p>
        </w:tc>
        <w:tc>
          <w:tcPr>
            <w:tcW w:w="5070" w:type="dxa"/>
            <w:tcBorders>
              <w:bottom w:val="single" w:sz="12" w:space="0" w:color="auto"/>
            </w:tcBorders>
          </w:tcPr>
          <w:p w:rsidR="00DE7F92" w:rsidRPr="00002411" w:rsidRDefault="00DE7F92" w:rsidP="00F802B9">
            <w:r w:rsidRPr="00B4376D">
              <w:rPr>
                <w:lang w:val="en-GB"/>
              </w:rPr>
              <w:t xml:space="preserve">British Crime Survey: mean response to survey question “How safe do you feel walking along in this area after dark?” </w:t>
            </w:r>
            <w:r w:rsidRPr="00B4376D">
              <w:t xml:space="preserve">(Farrall et al. </w:t>
            </w:r>
            <w:r w:rsidRPr="00B4376D">
              <w:rPr>
                <w:i/>
              </w:rPr>
              <w:t>Long-Term Trajectories of Crime in the United Kingdom, 1982-2013</w:t>
            </w:r>
            <w:r w:rsidRPr="00B4376D">
              <w:t xml:space="preserve">. </w:t>
            </w:r>
            <w:r w:rsidRPr="00A04607">
              <w:t>[data collection]. UK Data Service. SN: 7875, http://dx.doi.org/10.5255/UKDA-SN-7875-1</w:t>
            </w:r>
            <w:r>
              <w:t xml:space="preserve">). </w:t>
            </w:r>
          </w:p>
        </w:tc>
      </w:tr>
    </w:tbl>
    <w:p w:rsidR="00DE7F92" w:rsidRDefault="00DE7F92" w:rsidP="00DE7F92"/>
    <w:p w:rsidR="00DE7F92" w:rsidRDefault="00DE7F92" w:rsidP="00DE7F92">
      <w:pPr>
        <w:spacing w:line="480" w:lineRule="auto"/>
      </w:pPr>
      <w:r>
        <w:t xml:space="preserve">The UK data was collected from various government sources. GDP growth is the percentage </w:t>
      </w:r>
      <w:r w:rsidRPr="00E56794">
        <w:t>quarter-on-quarter growth</w:t>
      </w:r>
      <w:r>
        <w:t xml:space="preserve"> (using </w:t>
      </w:r>
      <w:r w:rsidRPr="00E56794">
        <w:t>chained</w:t>
      </w:r>
      <w:r>
        <w:t>,</w:t>
      </w:r>
      <w:r w:rsidRPr="00E56794">
        <w:t xml:space="preserve"> seasonally adjusted</w:t>
      </w:r>
      <w:r>
        <w:t xml:space="preserve"> values of GDP).  Immigration inflows represent a rolling count of the number of immigrants entering and staying in the country in thousands over the course of the calendar year.</w:t>
      </w:r>
      <w:r>
        <w:rPr>
          <w:rStyle w:val="FootnoteReference"/>
        </w:rPr>
        <w:footnoteReference w:id="1"/>
      </w:r>
      <w:r>
        <w:t xml:space="preserve"> Median waiting time for NHS appointments in days is used as our measure of healthcare problem status. Domestic fuel oil prices </w:t>
      </w:r>
      <w:r w:rsidRPr="00E56794">
        <w:t>fuel price index numbers relative to the GDP deflator</w:t>
      </w:r>
      <w:r w:rsidRPr="00E56794" w:rsidDel="00E56794">
        <w:t xml:space="preserve"> </w:t>
      </w:r>
      <w:r>
        <w:t xml:space="preserve">represent energy, mostly home heating costs. Customer satisfaction with rail performance is used to measure the problem status of transport in the UK where a substantial portion of the public commute using public transport and this is a major focus of public policy. Finally, for the problem status of law and </w:t>
      </w:r>
      <w:r>
        <w:lastRenderedPageBreak/>
        <w:t xml:space="preserve">order, we </w:t>
      </w:r>
      <w:r w:rsidRPr="00CE252C">
        <w:t>aggregate responses to the</w:t>
      </w:r>
      <w:r>
        <w:t xml:space="preserve"> survey</w:t>
      </w:r>
      <w:r w:rsidRPr="00CE252C">
        <w:t xml:space="preserve"> question “How safe do you feel walking along in this area after dark?”</w:t>
      </w:r>
      <w:r>
        <w:t xml:space="preserve"> based on data from </w:t>
      </w:r>
      <w:r w:rsidRPr="00CE252C">
        <w:t xml:space="preserve">the British Crime Survey </w:t>
      </w:r>
      <w:r>
        <w:t>(which later became the</w:t>
      </w:r>
      <w:r w:rsidRPr="00CE252C">
        <w:t xml:space="preserve"> Crime Survey </w:t>
      </w:r>
      <w:r>
        <w:t>for England and Wales). This data is coded so that high numbers relate to more aggregate concern over crime and logically higher problem status. Figure A2 presents each of these series over time.</w:t>
      </w:r>
    </w:p>
    <w:p w:rsidR="00DE7F92" w:rsidRDefault="00DE7F92" w:rsidP="00DE7F92">
      <w:pPr>
        <w:spacing w:line="480" w:lineRule="auto"/>
      </w:pPr>
    </w:p>
    <w:p w:rsidR="00DE7F92" w:rsidRDefault="00DE7F92" w:rsidP="00DE7F92">
      <w:pPr>
        <w:spacing w:line="480" w:lineRule="auto"/>
      </w:pPr>
      <w:r w:rsidRPr="004C2551">
        <w:rPr>
          <w:b/>
        </w:rPr>
        <w:t>Figure A2:</w:t>
      </w:r>
      <w:r>
        <w:t xml:space="preserve"> UK Problem Status Measures Over Time</w:t>
      </w:r>
    </w:p>
    <w:p w:rsidR="00DE7F92" w:rsidRDefault="00DE7F92" w:rsidP="00DE7F92">
      <w:pPr>
        <w:spacing w:line="480" w:lineRule="auto"/>
      </w:pPr>
      <w:r>
        <w:rPr>
          <w:noProof/>
          <w:lang w:val="en-NZ" w:eastAsia="en-NZ"/>
        </w:rPr>
        <w:drawing>
          <wp:inline distT="0" distB="0" distL="0" distR="0">
            <wp:extent cx="5731510" cy="41713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_Updated2_161014.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171315"/>
                    </a:xfrm>
                    <a:prstGeom prst="rect">
                      <a:avLst/>
                    </a:prstGeom>
                  </pic:spPr>
                </pic:pic>
              </a:graphicData>
            </a:graphic>
          </wp:inline>
        </w:drawing>
      </w:r>
    </w:p>
    <w:p w:rsidR="00DE7F92" w:rsidRDefault="00DE7F92" w:rsidP="00DE7F92"/>
    <w:p w:rsidR="00DE7F92" w:rsidRDefault="00DE7F92" w:rsidP="00DE7F92"/>
    <w:p w:rsidR="000F3A83" w:rsidRDefault="00DE7F92" w:rsidP="0043235B">
      <w:pPr>
        <w:spacing w:after="200" w:line="276" w:lineRule="auto"/>
      </w:pPr>
      <w:r>
        <w:br w:type="page"/>
      </w:r>
    </w:p>
    <w:p w:rsidR="00DE7F92" w:rsidRDefault="00DE7F92" w:rsidP="0043235B">
      <w:pPr>
        <w:spacing w:after="160" w:line="259" w:lineRule="auto"/>
      </w:pPr>
      <w:r>
        <w:lastRenderedPageBreak/>
        <w:t xml:space="preserve">ONLINE APPENDIX </w:t>
      </w:r>
      <w:r w:rsidR="0043235B">
        <w:t>B</w:t>
      </w:r>
      <w:r>
        <w:t>:</w:t>
      </w:r>
      <w:r w:rsidRPr="00A57815">
        <w:t xml:space="preserve"> </w:t>
      </w:r>
      <w:r>
        <w:t>US Results Including Divided House</w:t>
      </w:r>
    </w:p>
    <w:p w:rsidR="00DE7F92" w:rsidRDefault="00DE7F92" w:rsidP="00DE7F92">
      <w:pPr>
        <w:spacing w:after="240"/>
      </w:pPr>
      <w:r w:rsidRPr="004C2551">
        <w:rPr>
          <w:b/>
        </w:rPr>
        <w:t xml:space="preserve">Table </w:t>
      </w:r>
      <w:r w:rsidR="0043235B">
        <w:rPr>
          <w:b/>
        </w:rPr>
        <w:t>B</w:t>
      </w:r>
      <w:r w:rsidRPr="004C2551">
        <w:rPr>
          <w:b/>
        </w:rPr>
        <w:t>1:</w:t>
      </w:r>
      <w:r w:rsidRPr="008D2DA4">
        <w:t xml:space="preserve"> </w:t>
      </w:r>
      <w:r>
        <w:t>The Effects of Public Priorities and Problem Status on Congressional Hearings</w:t>
      </w:r>
    </w:p>
    <w:tbl>
      <w:tblPr>
        <w:tblW w:w="0" w:type="auto"/>
        <w:jc w:val="center"/>
        <w:tblLayout w:type="fixed"/>
        <w:tblCellMar>
          <w:left w:w="144" w:type="dxa"/>
          <w:right w:w="144" w:type="dxa"/>
        </w:tblCellMar>
        <w:tblLook w:val="0000"/>
      </w:tblPr>
      <w:tblGrid>
        <w:gridCol w:w="1418"/>
        <w:gridCol w:w="1795"/>
        <w:gridCol w:w="1981"/>
        <w:gridCol w:w="1916"/>
        <w:gridCol w:w="1916"/>
      </w:tblGrid>
      <w:tr w:rsidR="00DE7F92" w:rsidTr="00F802B9">
        <w:trPr>
          <w:jc w:val="center"/>
        </w:trPr>
        <w:tc>
          <w:tcPr>
            <w:tcW w:w="1418" w:type="dxa"/>
            <w:tcBorders>
              <w:top w:val="single" w:sz="6" w:space="0" w:color="auto"/>
              <w:left w:val="nil"/>
              <w:bottom w:val="nil"/>
              <w:right w:val="nil"/>
            </w:tcBorders>
          </w:tcPr>
          <w:p w:rsidR="00DE7F92" w:rsidRDefault="00DE7F92" w:rsidP="00F802B9">
            <w:pPr>
              <w:widowControl w:val="0"/>
              <w:autoSpaceDE w:val="0"/>
              <w:autoSpaceDN w:val="0"/>
              <w:adjustRightInd w:val="0"/>
              <w:spacing w:before="79" w:after="79"/>
            </w:pPr>
          </w:p>
        </w:tc>
        <w:tc>
          <w:tcPr>
            <w:tcW w:w="1795" w:type="dxa"/>
            <w:tcBorders>
              <w:top w:val="single" w:sz="6" w:space="0" w:color="auto"/>
              <w:left w:val="nil"/>
              <w:bottom w:val="nil"/>
              <w:right w:val="nil"/>
            </w:tcBorders>
          </w:tcPr>
          <w:p w:rsidR="00DE7F92" w:rsidRPr="00A41E3B" w:rsidRDefault="00DE7F92" w:rsidP="00F802B9">
            <w:pPr>
              <w:jc w:val="center"/>
              <w:rPr>
                <w:lang w:eastAsia="en-US"/>
              </w:rPr>
            </w:pPr>
            <w:r w:rsidRPr="00A41E3B">
              <w:rPr>
                <w:lang w:eastAsia="en-US"/>
              </w:rPr>
              <w:t>Economy</w:t>
            </w:r>
          </w:p>
        </w:tc>
        <w:tc>
          <w:tcPr>
            <w:tcW w:w="1981" w:type="dxa"/>
            <w:tcBorders>
              <w:top w:val="single" w:sz="6" w:space="0" w:color="auto"/>
              <w:left w:val="nil"/>
              <w:bottom w:val="nil"/>
              <w:right w:val="nil"/>
            </w:tcBorders>
          </w:tcPr>
          <w:p w:rsidR="00DE7F92" w:rsidRPr="00A41E3B" w:rsidRDefault="00DE7F92" w:rsidP="00F802B9">
            <w:pPr>
              <w:jc w:val="center"/>
              <w:rPr>
                <w:lang w:eastAsia="en-US"/>
              </w:rPr>
            </w:pPr>
            <w:r w:rsidRPr="00A41E3B">
              <w:rPr>
                <w:lang w:eastAsia="en-US"/>
              </w:rPr>
              <w:t>Health</w:t>
            </w:r>
          </w:p>
        </w:tc>
        <w:tc>
          <w:tcPr>
            <w:tcW w:w="1916" w:type="dxa"/>
            <w:tcBorders>
              <w:top w:val="single" w:sz="6" w:space="0" w:color="auto"/>
              <w:left w:val="nil"/>
              <w:bottom w:val="nil"/>
              <w:right w:val="nil"/>
            </w:tcBorders>
          </w:tcPr>
          <w:p w:rsidR="00DE7F92" w:rsidRPr="00A41E3B" w:rsidRDefault="00DE7F92" w:rsidP="00F802B9">
            <w:pPr>
              <w:jc w:val="center"/>
              <w:rPr>
                <w:lang w:eastAsia="en-US"/>
              </w:rPr>
            </w:pPr>
            <w:r w:rsidRPr="00A41E3B">
              <w:rPr>
                <w:lang w:eastAsia="en-US"/>
              </w:rPr>
              <w:t>Energy</w:t>
            </w:r>
          </w:p>
        </w:tc>
        <w:tc>
          <w:tcPr>
            <w:tcW w:w="1916" w:type="dxa"/>
            <w:tcBorders>
              <w:top w:val="single" w:sz="6" w:space="0" w:color="auto"/>
              <w:left w:val="nil"/>
              <w:bottom w:val="nil"/>
              <w:right w:val="nil"/>
            </w:tcBorders>
          </w:tcPr>
          <w:p w:rsidR="00DE7F92" w:rsidRPr="00A41E3B" w:rsidRDefault="00DE7F92" w:rsidP="00F802B9">
            <w:pPr>
              <w:jc w:val="center"/>
              <w:rPr>
                <w:lang w:eastAsia="en-US"/>
              </w:rPr>
            </w:pPr>
            <w:r w:rsidRPr="00A41E3B">
              <w:rPr>
                <w:lang w:eastAsia="en-US"/>
              </w:rPr>
              <w:t>Transport</w:t>
            </w:r>
          </w:p>
        </w:tc>
      </w:tr>
      <w:tr w:rsidR="00DE7F92" w:rsidTr="00F802B9">
        <w:trPr>
          <w:jc w:val="center"/>
        </w:trPr>
        <w:tc>
          <w:tcPr>
            <w:tcW w:w="1418" w:type="dxa"/>
            <w:tcBorders>
              <w:top w:val="single" w:sz="6" w:space="0" w:color="auto"/>
              <w:left w:val="nil"/>
              <w:bottom w:val="nil"/>
              <w:right w:val="nil"/>
            </w:tcBorders>
          </w:tcPr>
          <w:p w:rsidR="00DE7F92" w:rsidRDefault="00DE7F92" w:rsidP="00F802B9">
            <w:pPr>
              <w:widowControl w:val="0"/>
              <w:autoSpaceDE w:val="0"/>
              <w:autoSpaceDN w:val="0"/>
              <w:adjustRightInd w:val="0"/>
            </w:pPr>
            <w:r>
              <w:t>Hearings</w:t>
            </w:r>
            <w:r>
              <w:rPr>
                <w:vertAlign w:val="subscript"/>
              </w:rPr>
              <w:t>t-1</w:t>
            </w:r>
          </w:p>
        </w:tc>
        <w:tc>
          <w:tcPr>
            <w:tcW w:w="1795" w:type="dxa"/>
            <w:tcBorders>
              <w:top w:val="single" w:sz="6" w:space="0" w:color="auto"/>
              <w:left w:val="nil"/>
              <w:bottom w:val="nil"/>
              <w:right w:val="nil"/>
            </w:tcBorders>
          </w:tcPr>
          <w:p w:rsidR="00DE7F92" w:rsidRDefault="00DE7F92" w:rsidP="00F802B9">
            <w:pPr>
              <w:widowControl w:val="0"/>
              <w:tabs>
                <w:tab w:val="decimal" w:pos="1153"/>
              </w:tabs>
              <w:autoSpaceDE w:val="0"/>
              <w:autoSpaceDN w:val="0"/>
              <w:adjustRightInd w:val="0"/>
            </w:pPr>
            <w:r>
              <w:t>-0.76</w:t>
            </w:r>
          </w:p>
        </w:tc>
        <w:tc>
          <w:tcPr>
            <w:tcW w:w="1981" w:type="dxa"/>
            <w:tcBorders>
              <w:top w:val="single" w:sz="6" w:space="0" w:color="auto"/>
              <w:left w:val="nil"/>
              <w:bottom w:val="nil"/>
              <w:right w:val="nil"/>
            </w:tcBorders>
          </w:tcPr>
          <w:p w:rsidR="00DE7F92" w:rsidRDefault="00DE7F92" w:rsidP="00F802B9">
            <w:pPr>
              <w:widowControl w:val="0"/>
              <w:tabs>
                <w:tab w:val="decimal" w:pos="1153"/>
              </w:tabs>
              <w:autoSpaceDE w:val="0"/>
              <w:autoSpaceDN w:val="0"/>
              <w:adjustRightInd w:val="0"/>
            </w:pPr>
            <w:r>
              <w:t>-0.73</w:t>
            </w:r>
          </w:p>
        </w:tc>
        <w:tc>
          <w:tcPr>
            <w:tcW w:w="1916" w:type="dxa"/>
            <w:tcBorders>
              <w:top w:val="single" w:sz="6" w:space="0" w:color="auto"/>
              <w:left w:val="nil"/>
              <w:bottom w:val="nil"/>
              <w:right w:val="nil"/>
            </w:tcBorders>
          </w:tcPr>
          <w:p w:rsidR="00DE7F92" w:rsidRDefault="00DE7F92" w:rsidP="00F802B9">
            <w:pPr>
              <w:widowControl w:val="0"/>
              <w:tabs>
                <w:tab w:val="decimal" w:pos="1085"/>
              </w:tabs>
              <w:autoSpaceDE w:val="0"/>
              <w:autoSpaceDN w:val="0"/>
              <w:adjustRightInd w:val="0"/>
            </w:pPr>
            <w:r>
              <w:t>-0.67</w:t>
            </w:r>
          </w:p>
        </w:tc>
        <w:tc>
          <w:tcPr>
            <w:tcW w:w="1916" w:type="dxa"/>
            <w:tcBorders>
              <w:top w:val="single" w:sz="6" w:space="0" w:color="auto"/>
              <w:left w:val="nil"/>
              <w:bottom w:val="nil"/>
              <w:right w:val="nil"/>
            </w:tcBorders>
          </w:tcPr>
          <w:p w:rsidR="00DE7F92" w:rsidRDefault="00A86600" w:rsidP="00F802B9">
            <w:pPr>
              <w:widowControl w:val="0"/>
              <w:tabs>
                <w:tab w:val="decimal" w:pos="1085"/>
              </w:tabs>
              <w:autoSpaceDE w:val="0"/>
              <w:autoSpaceDN w:val="0"/>
              <w:adjustRightInd w:val="0"/>
            </w:pPr>
            <w:r>
              <w:t>-1.02</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(0.07)***</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(0.07)***</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rPr>
                <w:sz w:val="20"/>
                <w:szCs w:val="20"/>
              </w:rPr>
              <w:t>(0.07)***</w:t>
            </w:r>
          </w:p>
        </w:tc>
        <w:tc>
          <w:tcPr>
            <w:tcW w:w="1916" w:type="dxa"/>
            <w:tcBorders>
              <w:top w:val="nil"/>
              <w:left w:val="nil"/>
              <w:bottom w:val="nil"/>
              <w:right w:val="nil"/>
            </w:tcBorders>
          </w:tcPr>
          <w:p w:rsidR="00DE7F92" w:rsidRDefault="00A86600" w:rsidP="00F802B9">
            <w:pPr>
              <w:widowControl w:val="0"/>
              <w:tabs>
                <w:tab w:val="decimal" w:pos="1085"/>
              </w:tabs>
              <w:autoSpaceDE w:val="0"/>
              <w:autoSpaceDN w:val="0"/>
              <w:adjustRightInd w:val="0"/>
            </w:pPr>
            <w:r>
              <w:rPr>
                <w:sz w:val="20"/>
                <w:szCs w:val="20"/>
              </w:rPr>
              <w:t>(0.10</w:t>
            </w:r>
            <w:r w:rsidR="00DE7F92">
              <w:rPr>
                <w:sz w:val="20"/>
                <w:szCs w:val="20"/>
              </w:rPr>
              <w:t>)***</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roofErr w:type="spellStart"/>
            <w:r w:rsidRPr="00AE38D7">
              <w:t>Δ</w:t>
            </w:r>
            <w:r>
              <w:t>MIP</w:t>
            </w:r>
            <w:r>
              <w:rPr>
                <w:vertAlign w:val="subscript"/>
              </w:rPr>
              <w:t>t</w:t>
            </w:r>
            <w:proofErr w:type="spellEnd"/>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4.19</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0.75</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t>44.69</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(2.67)</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(12.11)</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rPr>
                <w:sz w:val="20"/>
                <w:szCs w:val="20"/>
              </w:rPr>
              <w:t>(7.14)***</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r>
              <w:t>MIP</w:t>
            </w:r>
            <w:r>
              <w:rPr>
                <w:vertAlign w:val="subscript"/>
              </w:rPr>
              <w:t>t-1</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6.27</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7.04</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t>33.85</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(1.27)***</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(7.04)</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rPr>
                <w:sz w:val="20"/>
                <w:szCs w:val="20"/>
              </w:rPr>
              <w:t>(6.88)***</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roofErr w:type="spellStart"/>
            <w:r w:rsidRPr="00AE38D7">
              <w:t>Δ</w:t>
            </w:r>
            <w:r>
              <w:t>Growth</w:t>
            </w:r>
            <w:r>
              <w:rPr>
                <w:vertAlign w:val="subscript"/>
              </w:rPr>
              <w:t>t</w:t>
            </w:r>
            <w:proofErr w:type="spellEnd"/>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-14.53</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(8.48)</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r>
              <w:t>Growth</w:t>
            </w:r>
            <w:r>
              <w:rPr>
                <w:vertAlign w:val="subscript"/>
              </w:rPr>
              <w:t>t-1</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-10.67</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(15.94)</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roofErr w:type="spellStart"/>
            <w:r w:rsidRPr="00AE38D7">
              <w:t>Δ</w:t>
            </w:r>
            <w:r>
              <w:t>Medical</w:t>
            </w:r>
            <w:r>
              <w:rPr>
                <w:vertAlign w:val="subscript"/>
              </w:rPr>
              <w:t>t</w:t>
            </w:r>
            <w:proofErr w:type="spellEnd"/>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2.10</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(0.61)***</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r>
              <w:t>Medical</w:t>
            </w:r>
            <w:r>
              <w:rPr>
                <w:vertAlign w:val="subscript"/>
              </w:rPr>
              <w:t>t-1</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-0.04</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(0.07)</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roofErr w:type="spellStart"/>
            <w:r w:rsidRPr="00AE38D7">
              <w:t>Δ</w:t>
            </w:r>
            <w:r>
              <w:t>Fuel</w:t>
            </w:r>
            <w:r>
              <w:rPr>
                <w:vertAlign w:val="subscript"/>
              </w:rPr>
              <w:t>t</w:t>
            </w:r>
            <w:proofErr w:type="spellEnd"/>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t>0.04</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rPr>
                <w:sz w:val="20"/>
                <w:szCs w:val="20"/>
              </w:rPr>
              <w:t>(0.02)*</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r>
              <w:t>Fuel</w:t>
            </w:r>
            <w:r>
              <w:rPr>
                <w:vertAlign w:val="subscript"/>
              </w:rPr>
              <w:t>t-1</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t>0.02</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rPr>
                <w:sz w:val="20"/>
                <w:szCs w:val="20"/>
              </w:rPr>
              <w:t>(0.01)**</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roofErr w:type="spellStart"/>
            <w:r w:rsidRPr="00AE38D7">
              <w:t>Δ</w:t>
            </w:r>
            <w:r>
              <w:t>Gas</w:t>
            </w:r>
            <w:r>
              <w:rPr>
                <w:vertAlign w:val="subscript"/>
              </w:rPr>
              <w:t>t</w:t>
            </w:r>
            <w:proofErr w:type="spellEnd"/>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c>
          <w:tcPr>
            <w:tcW w:w="1916" w:type="dxa"/>
            <w:tcBorders>
              <w:top w:val="nil"/>
              <w:left w:val="nil"/>
              <w:bottom w:val="nil"/>
              <w:right w:val="nil"/>
            </w:tcBorders>
          </w:tcPr>
          <w:p w:rsidR="00DE7F92" w:rsidRDefault="00A86600" w:rsidP="00F802B9">
            <w:pPr>
              <w:widowControl w:val="0"/>
              <w:tabs>
                <w:tab w:val="decimal" w:pos="1085"/>
              </w:tabs>
              <w:autoSpaceDE w:val="0"/>
              <w:autoSpaceDN w:val="0"/>
              <w:adjustRightInd w:val="0"/>
            </w:pPr>
            <w:r>
              <w:t>3.58</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c>
          <w:tcPr>
            <w:tcW w:w="1916" w:type="dxa"/>
            <w:tcBorders>
              <w:top w:val="nil"/>
              <w:left w:val="nil"/>
              <w:bottom w:val="nil"/>
              <w:right w:val="nil"/>
            </w:tcBorders>
          </w:tcPr>
          <w:p w:rsidR="00DE7F92" w:rsidRDefault="00A86600" w:rsidP="00F802B9">
            <w:pPr>
              <w:widowControl w:val="0"/>
              <w:tabs>
                <w:tab w:val="decimal" w:pos="1085"/>
              </w:tabs>
              <w:autoSpaceDE w:val="0"/>
              <w:autoSpaceDN w:val="0"/>
              <w:adjustRightInd w:val="0"/>
            </w:pPr>
            <w:r>
              <w:rPr>
                <w:sz w:val="20"/>
                <w:szCs w:val="20"/>
              </w:rPr>
              <w:t>(1.78</w:t>
            </w:r>
            <w:r w:rsidR="00DE7F92">
              <w:rPr>
                <w:sz w:val="20"/>
                <w:szCs w:val="20"/>
              </w:rPr>
              <w:t>)*</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r>
              <w:t>Gas</w:t>
            </w:r>
            <w:r>
              <w:rPr>
                <w:vertAlign w:val="subscript"/>
              </w:rPr>
              <w:t>t-1</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c>
          <w:tcPr>
            <w:tcW w:w="1916" w:type="dxa"/>
            <w:tcBorders>
              <w:top w:val="nil"/>
              <w:left w:val="nil"/>
              <w:bottom w:val="nil"/>
              <w:right w:val="nil"/>
            </w:tcBorders>
          </w:tcPr>
          <w:p w:rsidR="00DE7F92" w:rsidRDefault="00A86600" w:rsidP="00F802B9">
            <w:pPr>
              <w:widowControl w:val="0"/>
              <w:tabs>
                <w:tab w:val="decimal" w:pos="1085"/>
              </w:tabs>
              <w:autoSpaceDE w:val="0"/>
              <w:autoSpaceDN w:val="0"/>
              <w:adjustRightInd w:val="0"/>
            </w:pPr>
            <w:r>
              <w:t>2.3</w:t>
            </w:r>
            <w:r w:rsidR="00DE7F92">
              <w:t>2</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c>
          <w:tcPr>
            <w:tcW w:w="1916" w:type="dxa"/>
            <w:tcBorders>
              <w:top w:val="nil"/>
              <w:left w:val="nil"/>
              <w:bottom w:val="nil"/>
              <w:right w:val="nil"/>
            </w:tcBorders>
          </w:tcPr>
          <w:p w:rsidR="00DE7F92" w:rsidRDefault="00A86600" w:rsidP="00A86600">
            <w:pPr>
              <w:widowControl w:val="0"/>
              <w:tabs>
                <w:tab w:val="decimal" w:pos="1085"/>
              </w:tabs>
              <w:autoSpaceDE w:val="0"/>
              <w:autoSpaceDN w:val="0"/>
              <w:adjustRightInd w:val="0"/>
            </w:pPr>
            <w:r>
              <w:rPr>
                <w:sz w:val="20"/>
                <w:szCs w:val="20"/>
              </w:rPr>
              <w:t>(0.66</w:t>
            </w:r>
            <w:r w:rsidR="00DE7F92">
              <w:rPr>
                <w:sz w:val="20"/>
                <w:szCs w:val="20"/>
              </w:rPr>
              <w:t>)***</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roofErr w:type="spellStart"/>
            <w:r w:rsidRPr="00AE38D7">
              <w:t>Δ</w:t>
            </w:r>
            <w:r>
              <w:t>Divided</w:t>
            </w:r>
            <w:r>
              <w:rPr>
                <w:vertAlign w:val="subscript"/>
              </w:rPr>
              <w:t>t</w:t>
            </w:r>
            <w:proofErr w:type="spellEnd"/>
            <w:r>
              <w:t xml:space="preserve"> </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2.53</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0.68</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t>-1.27</w:t>
            </w:r>
          </w:p>
        </w:tc>
        <w:tc>
          <w:tcPr>
            <w:tcW w:w="1916" w:type="dxa"/>
            <w:tcBorders>
              <w:top w:val="nil"/>
              <w:left w:val="nil"/>
              <w:bottom w:val="nil"/>
              <w:right w:val="nil"/>
            </w:tcBorders>
          </w:tcPr>
          <w:p w:rsidR="00DE7F92" w:rsidRDefault="00DE7F92" w:rsidP="00B122DF">
            <w:pPr>
              <w:widowControl w:val="0"/>
              <w:tabs>
                <w:tab w:val="decimal" w:pos="1085"/>
              </w:tabs>
              <w:autoSpaceDE w:val="0"/>
              <w:autoSpaceDN w:val="0"/>
              <w:adjustRightInd w:val="0"/>
            </w:pPr>
            <w:r>
              <w:t>2.</w:t>
            </w:r>
            <w:r w:rsidR="00B122DF">
              <w:t>39</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(0.92)**</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(1.65)</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rPr>
                <w:sz w:val="20"/>
                <w:szCs w:val="20"/>
              </w:rPr>
              <w:t>(1.25)</w:t>
            </w:r>
          </w:p>
        </w:tc>
        <w:tc>
          <w:tcPr>
            <w:tcW w:w="1916" w:type="dxa"/>
            <w:tcBorders>
              <w:top w:val="nil"/>
              <w:left w:val="nil"/>
              <w:bottom w:val="nil"/>
              <w:right w:val="nil"/>
            </w:tcBorders>
          </w:tcPr>
          <w:p w:rsidR="00DE7F92" w:rsidRDefault="00B122DF" w:rsidP="00B122DF">
            <w:pPr>
              <w:widowControl w:val="0"/>
              <w:tabs>
                <w:tab w:val="decimal" w:pos="1085"/>
              </w:tabs>
              <w:autoSpaceDE w:val="0"/>
              <w:autoSpaceDN w:val="0"/>
              <w:adjustRightInd w:val="0"/>
            </w:pPr>
            <w:r>
              <w:rPr>
                <w:sz w:val="20"/>
                <w:szCs w:val="20"/>
              </w:rPr>
              <w:t>(1.67)</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r>
              <w:t>Divided</w:t>
            </w:r>
            <w:r>
              <w:rPr>
                <w:vertAlign w:val="subscript"/>
              </w:rPr>
              <w:t>t-1</w:t>
            </w:r>
            <w:r>
              <w:t xml:space="preserve"> </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-0.64</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1.13</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t>0.22</w:t>
            </w:r>
          </w:p>
        </w:tc>
        <w:tc>
          <w:tcPr>
            <w:tcW w:w="1916" w:type="dxa"/>
            <w:tcBorders>
              <w:top w:val="nil"/>
              <w:left w:val="nil"/>
              <w:bottom w:val="nil"/>
              <w:right w:val="nil"/>
            </w:tcBorders>
          </w:tcPr>
          <w:p w:rsidR="00DE7F92" w:rsidRDefault="00DE7F92" w:rsidP="00B122DF">
            <w:pPr>
              <w:widowControl w:val="0"/>
              <w:tabs>
                <w:tab w:val="decimal" w:pos="1085"/>
              </w:tabs>
              <w:autoSpaceDE w:val="0"/>
              <w:autoSpaceDN w:val="0"/>
              <w:adjustRightInd w:val="0"/>
            </w:pPr>
            <w:r>
              <w:t>-</w:t>
            </w:r>
            <w:r w:rsidR="00B122DF">
              <w:t>0.67</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(0.40)</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(0.72)</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rPr>
                <w:sz w:val="20"/>
                <w:szCs w:val="20"/>
              </w:rPr>
              <w:t>(0.55)</w:t>
            </w:r>
          </w:p>
        </w:tc>
        <w:tc>
          <w:tcPr>
            <w:tcW w:w="1916" w:type="dxa"/>
            <w:tcBorders>
              <w:top w:val="nil"/>
              <w:left w:val="nil"/>
              <w:bottom w:val="nil"/>
              <w:right w:val="nil"/>
            </w:tcBorders>
          </w:tcPr>
          <w:p w:rsidR="00DE7F92" w:rsidRDefault="00B122DF" w:rsidP="00F802B9">
            <w:pPr>
              <w:widowControl w:val="0"/>
              <w:tabs>
                <w:tab w:val="decimal" w:pos="1085"/>
              </w:tabs>
              <w:autoSpaceDE w:val="0"/>
              <w:autoSpaceDN w:val="0"/>
              <w:adjustRightInd w:val="0"/>
            </w:pPr>
            <w:r>
              <w:rPr>
                <w:sz w:val="20"/>
                <w:szCs w:val="20"/>
              </w:rPr>
              <w:t>(0.78</w:t>
            </w:r>
            <w:r w:rsidR="00DE7F92">
              <w:rPr>
                <w:sz w:val="20"/>
                <w:szCs w:val="20"/>
              </w:rPr>
              <w:t>)</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r>
              <w:t>Trend</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0.03</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0.09</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t>0.09</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(0.01)**</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(0.02)***</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rPr>
                <w:sz w:val="20"/>
                <w:szCs w:val="20"/>
              </w:rPr>
              <w:t>(0.02)***</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Pr="002F14AB" w:rsidRDefault="00DE7F92" w:rsidP="00F802B9">
            <w:pPr>
              <w:widowControl w:val="0"/>
              <w:autoSpaceDE w:val="0"/>
              <w:autoSpaceDN w:val="0"/>
              <w:adjustRightInd w:val="0"/>
              <w:rPr>
                <w:vertAlign w:val="superscript"/>
              </w:rPr>
            </w:pPr>
            <w:r>
              <w:t>Trend</w:t>
            </w:r>
            <w:r>
              <w:rPr>
                <w:vertAlign w:val="superscript"/>
              </w:rPr>
              <w:t>2</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-0.00</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-0.00</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t>-0.00</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(0.00)*</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(0.00)</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rPr>
                <w:sz w:val="20"/>
                <w:szCs w:val="20"/>
              </w:rPr>
              <w:t>(0.00)***</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r>
              <w:t>2</w:t>
            </w:r>
            <w:r w:rsidRPr="002F14AB">
              <w:rPr>
                <w:vertAlign w:val="superscript"/>
              </w:rPr>
              <w:t>nd</w:t>
            </w:r>
            <w:r>
              <w:t xml:space="preserve"> Quarter</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-0.06</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4.80</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t>2.62</w:t>
            </w:r>
          </w:p>
        </w:tc>
        <w:tc>
          <w:tcPr>
            <w:tcW w:w="1916" w:type="dxa"/>
            <w:tcBorders>
              <w:top w:val="nil"/>
              <w:left w:val="nil"/>
              <w:bottom w:val="nil"/>
              <w:right w:val="nil"/>
            </w:tcBorders>
          </w:tcPr>
          <w:p w:rsidR="00DE7F92" w:rsidRDefault="00B122DF" w:rsidP="00B122DF">
            <w:pPr>
              <w:widowControl w:val="0"/>
              <w:tabs>
                <w:tab w:val="decimal" w:pos="1085"/>
              </w:tabs>
              <w:autoSpaceDE w:val="0"/>
              <w:autoSpaceDN w:val="0"/>
              <w:adjustRightInd w:val="0"/>
            </w:pPr>
            <w:r>
              <w:t>2.22</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(0.33)</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(0.57)***</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rPr>
                <w:sz w:val="20"/>
                <w:szCs w:val="20"/>
              </w:rPr>
              <w:t>(0.42)***</w:t>
            </w:r>
          </w:p>
        </w:tc>
        <w:tc>
          <w:tcPr>
            <w:tcW w:w="1916" w:type="dxa"/>
            <w:tcBorders>
              <w:top w:val="nil"/>
              <w:left w:val="nil"/>
              <w:bottom w:val="nil"/>
              <w:right w:val="nil"/>
            </w:tcBorders>
          </w:tcPr>
          <w:p w:rsidR="00DE7F92" w:rsidRDefault="00B122DF" w:rsidP="00F802B9">
            <w:pPr>
              <w:widowControl w:val="0"/>
              <w:tabs>
                <w:tab w:val="decimal" w:pos="1085"/>
              </w:tabs>
              <w:autoSpaceDE w:val="0"/>
              <w:autoSpaceDN w:val="0"/>
              <w:adjustRightInd w:val="0"/>
            </w:pPr>
            <w:r>
              <w:rPr>
                <w:sz w:val="20"/>
                <w:szCs w:val="20"/>
              </w:rPr>
              <w:t>(0.64</w:t>
            </w:r>
            <w:r w:rsidR="00DE7F92">
              <w:rPr>
                <w:sz w:val="20"/>
                <w:szCs w:val="20"/>
              </w:rPr>
              <w:t>)**</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r>
              <w:t>3</w:t>
            </w:r>
            <w:r>
              <w:rPr>
                <w:vertAlign w:val="superscript"/>
              </w:rPr>
              <w:t>rd</w:t>
            </w:r>
            <w:r>
              <w:t xml:space="preserve"> Quarter</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-0.42</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4.06</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t>2.08</w:t>
            </w:r>
          </w:p>
        </w:tc>
        <w:tc>
          <w:tcPr>
            <w:tcW w:w="1916" w:type="dxa"/>
            <w:tcBorders>
              <w:top w:val="nil"/>
              <w:left w:val="nil"/>
              <w:bottom w:val="nil"/>
              <w:right w:val="nil"/>
            </w:tcBorders>
          </w:tcPr>
          <w:p w:rsidR="00DE7F92" w:rsidRDefault="00B122DF" w:rsidP="00F802B9">
            <w:pPr>
              <w:widowControl w:val="0"/>
              <w:tabs>
                <w:tab w:val="decimal" w:pos="1085"/>
              </w:tabs>
              <w:autoSpaceDE w:val="0"/>
              <w:autoSpaceDN w:val="0"/>
              <w:adjustRightInd w:val="0"/>
            </w:pPr>
            <w:r>
              <w:t>2.21</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(0.38)</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(0.69)***</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rPr>
                <w:sz w:val="20"/>
                <w:szCs w:val="20"/>
              </w:rPr>
              <w:t>(0.50)***</w:t>
            </w:r>
          </w:p>
        </w:tc>
        <w:tc>
          <w:tcPr>
            <w:tcW w:w="1916" w:type="dxa"/>
            <w:tcBorders>
              <w:top w:val="nil"/>
              <w:left w:val="nil"/>
              <w:bottom w:val="nil"/>
              <w:right w:val="nil"/>
            </w:tcBorders>
          </w:tcPr>
          <w:p w:rsidR="00DE7F92" w:rsidRDefault="00B122DF" w:rsidP="00F802B9">
            <w:pPr>
              <w:widowControl w:val="0"/>
              <w:tabs>
                <w:tab w:val="decimal" w:pos="1085"/>
              </w:tabs>
              <w:autoSpaceDE w:val="0"/>
              <w:autoSpaceDN w:val="0"/>
              <w:adjustRightInd w:val="0"/>
            </w:pPr>
            <w:r>
              <w:rPr>
                <w:sz w:val="20"/>
                <w:szCs w:val="20"/>
              </w:rPr>
              <w:t>(0.77</w:t>
            </w:r>
            <w:r w:rsidR="00DE7F92">
              <w:rPr>
                <w:sz w:val="20"/>
                <w:szCs w:val="20"/>
              </w:rPr>
              <w:t>)**</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r>
              <w:t>4</w:t>
            </w:r>
            <w:r>
              <w:rPr>
                <w:vertAlign w:val="superscript"/>
              </w:rPr>
              <w:t>th</w:t>
            </w:r>
            <w:r>
              <w:t xml:space="preserve"> Quarter</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-1.61</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0.27</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t>-0.30</w:t>
            </w:r>
          </w:p>
        </w:tc>
        <w:tc>
          <w:tcPr>
            <w:tcW w:w="1916" w:type="dxa"/>
            <w:tcBorders>
              <w:top w:val="nil"/>
              <w:left w:val="nil"/>
              <w:bottom w:val="nil"/>
              <w:right w:val="nil"/>
            </w:tcBorders>
          </w:tcPr>
          <w:p w:rsidR="00DE7F92" w:rsidRDefault="00B122DF" w:rsidP="00F802B9">
            <w:pPr>
              <w:widowControl w:val="0"/>
              <w:tabs>
                <w:tab w:val="decimal" w:pos="1085"/>
              </w:tabs>
              <w:autoSpaceDE w:val="0"/>
              <w:autoSpaceDN w:val="0"/>
              <w:adjustRightInd w:val="0"/>
            </w:pPr>
            <w:r>
              <w:t>-0.46</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(0.32)***</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(0.62)</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rPr>
                <w:sz w:val="20"/>
                <w:szCs w:val="20"/>
              </w:rPr>
              <w:t>(0.45)</w:t>
            </w:r>
          </w:p>
        </w:tc>
        <w:tc>
          <w:tcPr>
            <w:tcW w:w="1916" w:type="dxa"/>
            <w:tcBorders>
              <w:top w:val="nil"/>
              <w:left w:val="nil"/>
              <w:bottom w:val="nil"/>
              <w:right w:val="nil"/>
            </w:tcBorders>
          </w:tcPr>
          <w:p w:rsidR="00DE7F92" w:rsidRDefault="00B122DF" w:rsidP="00F802B9">
            <w:pPr>
              <w:widowControl w:val="0"/>
              <w:tabs>
                <w:tab w:val="decimal" w:pos="1085"/>
              </w:tabs>
              <w:autoSpaceDE w:val="0"/>
              <w:autoSpaceDN w:val="0"/>
              <w:adjustRightInd w:val="0"/>
            </w:pPr>
            <w:r>
              <w:rPr>
                <w:sz w:val="20"/>
                <w:szCs w:val="20"/>
              </w:rPr>
              <w:t>(0.6</w:t>
            </w:r>
            <w:r w:rsidR="00DE7F92">
              <w:rPr>
                <w:sz w:val="20"/>
                <w:szCs w:val="20"/>
              </w:rPr>
              <w:t>6)</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r w:rsidRPr="00AE38D7">
              <w:t>Constant</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-0.47</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-0.90</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t>-1.04</w:t>
            </w:r>
          </w:p>
        </w:tc>
        <w:tc>
          <w:tcPr>
            <w:tcW w:w="1916" w:type="dxa"/>
            <w:tcBorders>
              <w:top w:val="nil"/>
              <w:left w:val="nil"/>
              <w:bottom w:val="nil"/>
              <w:right w:val="nil"/>
            </w:tcBorders>
          </w:tcPr>
          <w:p w:rsidR="00DE7F92" w:rsidRDefault="00B122DF" w:rsidP="00F802B9">
            <w:pPr>
              <w:widowControl w:val="0"/>
              <w:tabs>
                <w:tab w:val="decimal" w:pos="1085"/>
              </w:tabs>
              <w:autoSpaceDE w:val="0"/>
              <w:autoSpaceDN w:val="0"/>
              <w:adjustRightInd w:val="0"/>
            </w:pPr>
            <w:r>
              <w:t>5.</w:t>
            </w:r>
            <w:r w:rsidR="00DE7F92">
              <w:t>7</w:t>
            </w:r>
            <w:r>
              <w:t>6</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(0.48)</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rPr>
                <w:sz w:val="20"/>
                <w:szCs w:val="20"/>
              </w:rPr>
              <w:t>(1.47)</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rPr>
                <w:sz w:val="20"/>
                <w:szCs w:val="20"/>
              </w:rPr>
              <w:t>(0.63)</w:t>
            </w:r>
          </w:p>
        </w:tc>
        <w:tc>
          <w:tcPr>
            <w:tcW w:w="1916" w:type="dxa"/>
            <w:tcBorders>
              <w:top w:val="nil"/>
              <w:left w:val="nil"/>
              <w:bottom w:val="nil"/>
              <w:right w:val="nil"/>
            </w:tcBorders>
          </w:tcPr>
          <w:p w:rsidR="00DE7F92" w:rsidRDefault="00B122DF" w:rsidP="00F802B9">
            <w:pPr>
              <w:widowControl w:val="0"/>
              <w:tabs>
                <w:tab w:val="decimal" w:pos="1085"/>
              </w:tabs>
              <w:autoSpaceDE w:val="0"/>
              <w:autoSpaceDN w:val="0"/>
              <w:adjustRightInd w:val="0"/>
            </w:pPr>
            <w:r>
              <w:rPr>
                <w:sz w:val="20"/>
                <w:szCs w:val="20"/>
              </w:rPr>
              <w:t>(1.16</w:t>
            </w:r>
            <w:r w:rsidR="00DE7F92">
              <w:rPr>
                <w:sz w:val="20"/>
                <w:szCs w:val="20"/>
              </w:rPr>
              <w:t>)***</w:t>
            </w:r>
          </w:p>
        </w:tc>
      </w:tr>
      <w:tr w:rsidR="00DE7F92" w:rsidTr="00F802B9">
        <w:trPr>
          <w:jc w:val="center"/>
        </w:trPr>
        <w:tc>
          <w:tcPr>
            <w:tcW w:w="1418" w:type="dxa"/>
            <w:tcBorders>
              <w:top w:val="nil"/>
              <w:left w:val="nil"/>
              <w:bottom w:val="nil"/>
              <w:right w:val="nil"/>
            </w:tcBorders>
          </w:tcPr>
          <w:p w:rsidR="00DE7F92" w:rsidRDefault="00DE7F92" w:rsidP="00F802B9">
            <w:pPr>
              <w:widowControl w:val="0"/>
              <w:autoSpaceDE w:val="0"/>
              <w:autoSpaceDN w:val="0"/>
              <w:adjustRightInd w:val="0"/>
            </w:pPr>
            <w:r>
              <w:rPr>
                <w:i/>
                <w:iCs/>
              </w:rPr>
              <w:t>R</w:t>
            </w:r>
            <w:r>
              <w:rPr>
                <w:vertAlign w:val="superscript"/>
              </w:rPr>
              <w:t>2</w:t>
            </w:r>
          </w:p>
        </w:tc>
        <w:tc>
          <w:tcPr>
            <w:tcW w:w="1795"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0.53</w:t>
            </w:r>
          </w:p>
        </w:tc>
        <w:tc>
          <w:tcPr>
            <w:tcW w:w="1981" w:type="dxa"/>
            <w:tcBorders>
              <w:top w:val="nil"/>
              <w:left w:val="nil"/>
              <w:bottom w:val="nil"/>
              <w:right w:val="nil"/>
            </w:tcBorders>
          </w:tcPr>
          <w:p w:rsidR="00DE7F92" w:rsidRDefault="00DE7F92" w:rsidP="00F802B9">
            <w:pPr>
              <w:widowControl w:val="0"/>
              <w:tabs>
                <w:tab w:val="decimal" w:pos="1153"/>
              </w:tabs>
              <w:autoSpaceDE w:val="0"/>
              <w:autoSpaceDN w:val="0"/>
              <w:adjustRightInd w:val="0"/>
            </w:pPr>
            <w:r>
              <w:t>0.59</w:t>
            </w:r>
          </w:p>
        </w:tc>
        <w:tc>
          <w:tcPr>
            <w:tcW w:w="1916" w:type="dxa"/>
            <w:tcBorders>
              <w:top w:val="nil"/>
              <w:left w:val="nil"/>
              <w:bottom w:val="nil"/>
              <w:right w:val="nil"/>
            </w:tcBorders>
          </w:tcPr>
          <w:p w:rsidR="00DE7F92" w:rsidRDefault="00DE7F92" w:rsidP="00F802B9">
            <w:pPr>
              <w:widowControl w:val="0"/>
              <w:tabs>
                <w:tab w:val="decimal" w:pos="1085"/>
              </w:tabs>
              <w:autoSpaceDE w:val="0"/>
              <w:autoSpaceDN w:val="0"/>
              <w:adjustRightInd w:val="0"/>
            </w:pPr>
            <w:r>
              <w:t>0.57</w:t>
            </w:r>
          </w:p>
        </w:tc>
        <w:tc>
          <w:tcPr>
            <w:tcW w:w="1916" w:type="dxa"/>
            <w:tcBorders>
              <w:top w:val="nil"/>
              <w:left w:val="nil"/>
              <w:bottom w:val="nil"/>
              <w:right w:val="nil"/>
            </w:tcBorders>
          </w:tcPr>
          <w:p w:rsidR="00DE7F92" w:rsidRDefault="00B122DF" w:rsidP="00F802B9">
            <w:pPr>
              <w:widowControl w:val="0"/>
              <w:tabs>
                <w:tab w:val="decimal" w:pos="1085"/>
              </w:tabs>
              <w:autoSpaceDE w:val="0"/>
              <w:autoSpaceDN w:val="0"/>
              <w:adjustRightInd w:val="0"/>
            </w:pPr>
            <w:r>
              <w:t>0.64</w:t>
            </w:r>
          </w:p>
        </w:tc>
      </w:tr>
      <w:tr w:rsidR="00DE7F92" w:rsidTr="00F802B9">
        <w:trPr>
          <w:jc w:val="center"/>
        </w:trPr>
        <w:tc>
          <w:tcPr>
            <w:tcW w:w="1418" w:type="dxa"/>
            <w:tcBorders>
              <w:top w:val="nil"/>
              <w:left w:val="nil"/>
              <w:bottom w:val="single" w:sz="6" w:space="0" w:color="auto"/>
              <w:right w:val="nil"/>
            </w:tcBorders>
          </w:tcPr>
          <w:p w:rsidR="00DE7F92" w:rsidRDefault="00DE7F92" w:rsidP="00F802B9">
            <w:pPr>
              <w:widowControl w:val="0"/>
              <w:autoSpaceDE w:val="0"/>
              <w:autoSpaceDN w:val="0"/>
              <w:adjustRightInd w:val="0"/>
            </w:pPr>
            <w:r>
              <w:rPr>
                <w:i/>
                <w:iCs/>
              </w:rPr>
              <w:t>N</w:t>
            </w:r>
          </w:p>
        </w:tc>
        <w:tc>
          <w:tcPr>
            <w:tcW w:w="1795" w:type="dxa"/>
            <w:tcBorders>
              <w:top w:val="nil"/>
              <w:left w:val="nil"/>
              <w:bottom w:val="single" w:sz="6" w:space="0" w:color="auto"/>
              <w:right w:val="nil"/>
            </w:tcBorders>
          </w:tcPr>
          <w:p w:rsidR="00DE7F92" w:rsidRDefault="00DE7F92" w:rsidP="00F802B9">
            <w:pPr>
              <w:widowControl w:val="0"/>
              <w:tabs>
                <w:tab w:val="decimal" w:pos="1153"/>
              </w:tabs>
              <w:autoSpaceDE w:val="0"/>
              <w:autoSpaceDN w:val="0"/>
              <w:adjustRightInd w:val="0"/>
            </w:pPr>
            <w:r>
              <w:t>216</w:t>
            </w:r>
          </w:p>
        </w:tc>
        <w:tc>
          <w:tcPr>
            <w:tcW w:w="1981" w:type="dxa"/>
            <w:tcBorders>
              <w:top w:val="nil"/>
              <w:left w:val="nil"/>
              <w:bottom w:val="single" w:sz="6" w:space="0" w:color="auto"/>
              <w:right w:val="nil"/>
            </w:tcBorders>
          </w:tcPr>
          <w:p w:rsidR="00DE7F92" w:rsidRDefault="00DE7F92" w:rsidP="00F802B9">
            <w:pPr>
              <w:widowControl w:val="0"/>
              <w:tabs>
                <w:tab w:val="decimal" w:pos="1153"/>
              </w:tabs>
              <w:autoSpaceDE w:val="0"/>
              <w:autoSpaceDN w:val="0"/>
              <w:adjustRightInd w:val="0"/>
            </w:pPr>
            <w:r>
              <w:t>216</w:t>
            </w:r>
          </w:p>
        </w:tc>
        <w:tc>
          <w:tcPr>
            <w:tcW w:w="1916" w:type="dxa"/>
            <w:tcBorders>
              <w:top w:val="nil"/>
              <w:left w:val="nil"/>
              <w:bottom w:val="single" w:sz="6" w:space="0" w:color="auto"/>
              <w:right w:val="nil"/>
            </w:tcBorders>
          </w:tcPr>
          <w:p w:rsidR="00DE7F92" w:rsidRDefault="00DE7F92" w:rsidP="00F802B9">
            <w:pPr>
              <w:widowControl w:val="0"/>
              <w:tabs>
                <w:tab w:val="decimal" w:pos="1085"/>
              </w:tabs>
              <w:autoSpaceDE w:val="0"/>
              <w:autoSpaceDN w:val="0"/>
              <w:adjustRightInd w:val="0"/>
            </w:pPr>
            <w:r>
              <w:t>217</w:t>
            </w:r>
          </w:p>
        </w:tc>
        <w:tc>
          <w:tcPr>
            <w:tcW w:w="1916" w:type="dxa"/>
            <w:tcBorders>
              <w:top w:val="nil"/>
              <w:left w:val="nil"/>
              <w:bottom w:val="single" w:sz="6" w:space="0" w:color="auto"/>
              <w:right w:val="nil"/>
            </w:tcBorders>
          </w:tcPr>
          <w:p w:rsidR="00DE7F92" w:rsidRDefault="00B122DF" w:rsidP="00F802B9">
            <w:pPr>
              <w:widowControl w:val="0"/>
              <w:tabs>
                <w:tab w:val="decimal" w:pos="1085"/>
              </w:tabs>
              <w:autoSpaceDE w:val="0"/>
              <w:autoSpaceDN w:val="0"/>
              <w:adjustRightInd w:val="0"/>
            </w:pPr>
            <w:r>
              <w:t>110</w:t>
            </w:r>
          </w:p>
        </w:tc>
      </w:tr>
    </w:tbl>
    <w:p w:rsidR="00DE7F92" w:rsidRDefault="00DE7F92" w:rsidP="00DE7F92">
      <w:pPr>
        <w:widowControl w:val="0"/>
        <w:autoSpaceDE w:val="0"/>
        <w:autoSpaceDN w:val="0"/>
        <w:adjustRightInd w:val="0"/>
        <w:spacing w:before="240" w:after="79"/>
        <w:rPr>
          <w:sz w:val="19"/>
          <w:szCs w:val="19"/>
        </w:rPr>
      </w:pPr>
      <w:r>
        <w:rPr>
          <w:sz w:val="19"/>
          <w:szCs w:val="19"/>
        </w:rPr>
        <w:t xml:space="preserve">* </w:t>
      </w:r>
      <w:r>
        <w:rPr>
          <w:i/>
          <w:iCs/>
          <w:sz w:val="19"/>
          <w:szCs w:val="19"/>
        </w:rPr>
        <w:t>p</w:t>
      </w:r>
      <w:r>
        <w:rPr>
          <w:sz w:val="19"/>
          <w:szCs w:val="19"/>
        </w:rPr>
        <w:t xml:space="preserve">&lt;0.05; ** </w:t>
      </w:r>
      <w:r>
        <w:rPr>
          <w:i/>
          <w:iCs/>
          <w:sz w:val="19"/>
          <w:szCs w:val="19"/>
        </w:rPr>
        <w:t>p</w:t>
      </w:r>
      <w:r>
        <w:rPr>
          <w:sz w:val="19"/>
          <w:szCs w:val="19"/>
        </w:rPr>
        <w:t xml:space="preserve">&lt;0.01; *** </w:t>
      </w:r>
      <w:r>
        <w:rPr>
          <w:i/>
          <w:iCs/>
          <w:sz w:val="19"/>
          <w:szCs w:val="19"/>
        </w:rPr>
        <w:t>p</w:t>
      </w:r>
      <w:r>
        <w:rPr>
          <w:sz w:val="19"/>
          <w:szCs w:val="19"/>
        </w:rPr>
        <w:t>&lt;0.001</w:t>
      </w:r>
    </w:p>
    <w:p w:rsidR="00DE7F92" w:rsidRDefault="00DE7F92" w:rsidP="00DE7F92">
      <w:pPr>
        <w:widowControl w:val="0"/>
        <w:autoSpaceDE w:val="0"/>
        <w:autoSpaceDN w:val="0"/>
        <w:adjustRightInd w:val="0"/>
        <w:spacing w:before="79" w:after="79"/>
        <w:rPr>
          <w:color w:val="000000"/>
          <w:shd w:val="clear" w:color="auto" w:fill="FFFFFF"/>
        </w:rPr>
      </w:pPr>
    </w:p>
    <w:p w:rsidR="00DE7F92" w:rsidRDefault="00DE7F92" w:rsidP="00DE7F92">
      <w:pPr>
        <w:widowControl w:val="0"/>
        <w:autoSpaceDE w:val="0"/>
        <w:autoSpaceDN w:val="0"/>
        <w:adjustRightInd w:val="0"/>
        <w:spacing w:before="79" w:after="79"/>
        <w:rPr>
          <w:color w:val="000000"/>
          <w:shd w:val="clear" w:color="auto" w:fill="FFFFFF"/>
        </w:rPr>
      </w:pPr>
    </w:p>
    <w:p w:rsidR="00DE7F92" w:rsidRDefault="00DE7F92" w:rsidP="00DE7F92">
      <w:pPr>
        <w:widowControl w:val="0"/>
        <w:autoSpaceDE w:val="0"/>
        <w:autoSpaceDN w:val="0"/>
        <w:adjustRightInd w:val="0"/>
        <w:spacing w:before="79" w:after="79" w:line="480" w:lineRule="auto"/>
        <w:rPr>
          <w:color w:val="000000"/>
          <w:shd w:val="clear" w:color="auto" w:fill="FFFFFF"/>
        </w:rPr>
      </w:pPr>
      <w:r>
        <w:rPr>
          <w:color w:val="000000"/>
          <w:shd w:val="clear" w:color="auto" w:fill="FFFFFF"/>
        </w:rPr>
        <w:lastRenderedPageBreak/>
        <w:t>To investigate the potential effects for divided government, we include a control variable that is coded as 1 if</w:t>
      </w:r>
      <w:r w:rsidRPr="000A1C14">
        <w:rPr>
          <w:color w:val="000000"/>
          <w:shd w:val="clear" w:color="auto" w:fill="FFFFFF"/>
        </w:rPr>
        <w:t xml:space="preserve"> the</w:t>
      </w:r>
      <w:r>
        <w:rPr>
          <w:color w:val="000000"/>
          <w:shd w:val="clear" w:color="auto" w:fill="FFFFFF"/>
        </w:rPr>
        <w:t xml:space="preserve"> President is from a different party than the House of Representatives majority</w:t>
      </w:r>
      <w:r w:rsidRPr="000A1C14">
        <w:rPr>
          <w:color w:val="000000"/>
          <w:shd w:val="clear" w:color="auto" w:fill="FFFFFF"/>
        </w:rPr>
        <w:t xml:space="preserve"> </w:t>
      </w:r>
      <w:r>
        <w:rPr>
          <w:color w:val="000000"/>
          <w:shd w:val="clear" w:color="auto" w:fill="FFFFFF"/>
        </w:rPr>
        <w:t xml:space="preserve">(and zero otherwise). </w:t>
      </w:r>
      <w:r w:rsidRPr="008D2DA4">
        <w:rPr>
          <w:color w:val="000000"/>
          <w:shd w:val="clear" w:color="auto" w:fill="FFFFFF"/>
        </w:rPr>
        <w:t>The only</w:t>
      </w:r>
      <w:r>
        <w:rPr>
          <w:color w:val="000000"/>
          <w:shd w:val="clear" w:color="auto" w:fill="FFFFFF"/>
        </w:rPr>
        <w:t xml:space="preserve"> issue on which divided government has a</w:t>
      </w:r>
      <w:r w:rsidRPr="008D2DA4">
        <w:rPr>
          <w:color w:val="000000"/>
          <w:shd w:val="clear" w:color="auto" w:fill="FFFFFF"/>
        </w:rPr>
        <w:t xml:space="preserve"> statistical significant </w:t>
      </w:r>
      <w:r>
        <w:rPr>
          <w:color w:val="000000"/>
          <w:shd w:val="clear" w:color="auto" w:fill="FFFFFF"/>
        </w:rPr>
        <w:t xml:space="preserve">effect </w:t>
      </w:r>
      <w:r w:rsidRPr="008D2DA4">
        <w:rPr>
          <w:color w:val="000000"/>
          <w:shd w:val="clear" w:color="auto" w:fill="FFFFFF"/>
        </w:rPr>
        <w:t>is the economy.</w:t>
      </w:r>
      <w:r>
        <w:rPr>
          <w:color w:val="000000"/>
          <w:shd w:val="clear" w:color="auto" w:fill="FFFFFF"/>
        </w:rPr>
        <w:t xml:space="preserve"> In this issue area, it appears that under divided government the number of</w:t>
      </w:r>
      <w:r w:rsidRPr="00862D27">
        <w:rPr>
          <w:color w:val="000000"/>
          <w:shd w:val="clear" w:color="auto" w:fill="FFFFFF"/>
        </w:rPr>
        <w:t xml:space="preserve"> hearings</w:t>
      </w:r>
      <w:r>
        <w:rPr>
          <w:color w:val="000000"/>
          <w:shd w:val="clear" w:color="auto" w:fill="FFFFFF"/>
        </w:rPr>
        <w:t xml:space="preserve"> increases</w:t>
      </w:r>
      <w:r w:rsidRPr="00862D27">
        <w:rPr>
          <w:color w:val="000000"/>
          <w:shd w:val="clear" w:color="auto" w:fill="FFFFFF"/>
        </w:rPr>
        <w:t>.</w:t>
      </w:r>
      <w:r>
        <w:rPr>
          <w:color w:val="000000"/>
          <w:shd w:val="clear" w:color="auto" w:fill="FFFFFF"/>
        </w:rPr>
        <w:t xml:space="preserve"> The consequence of including divided government for this issue</w:t>
      </w:r>
      <w:r w:rsidRPr="008D2DA4">
        <w:rPr>
          <w:color w:val="000000"/>
          <w:shd w:val="clear" w:color="auto" w:fill="FFFFFF"/>
        </w:rPr>
        <w:t xml:space="preserve"> is that </w:t>
      </w:r>
      <w:r>
        <w:rPr>
          <w:color w:val="000000"/>
          <w:shd w:val="clear" w:color="auto" w:fill="FFFFFF"/>
        </w:rPr>
        <w:t xml:space="preserve">the short-run effect of </w:t>
      </w:r>
      <w:r w:rsidRPr="008D2DA4">
        <w:rPr>
          <w:color w:val="000000"/>
          <w:shd w:val="clear" w:color="auto" w:fill="FFFFFF"/>
        </w:rPr>
        <w:t>problem status goes from being significance at 0.05 to being significance at 0.1.</w:t>
      </w:r>
    </w:p>
    <w:p w:rsidR="00DE7F92" w:rsidRDefault="00DE7F92" w:rsidP="00DE7F92">
      <w:pPr>
        <w:widowControl w:val="0"/>
        <w:autoSpaceDE w:val="0"/>
        <w:autoSpaceDN w:val="0"/>
        <w:adjustRightInd w:val="0"/>
        <w:spacing w:before="79" w:after="79"/>
        <w:rPr>
          <w:color w:val="000000"/>
          <w:shd w:val="clear" w:color="auto" w:fill="FFFFFF"/>
        </w:rPr>
      </w:pPr>
    </w:p>
    <w:p w:rsidR="00DE7F92" w:rsidRDefault="00DE7F92" w:rsidP="00DE7F92">
      <w:pPr>
        <w:spacing w:after="240" w:line="480" w:lineRule="auto"/>
      </w:pPr>
      <w:r w:rsidRPr="004C2551">
        <w:rPr>
          <w:b/>
        </w:rPr>
        <w:t xml:space="preserve">Table </w:t>
      </w:r>
      <w:r w:rsidR="0043235B">
        <w:rPr>
          <w:b/>
        </w:rPr>
        <w:t>B</w:t>
      </w:r>
      <w:r w:rsidRPr="004C2551">
        <w:rPr>
          <w:b/>
        </w:rPr>
        <w:t>2:</w:t>
      </w:r>
      <w:r>
        <w:t xml:space="preserve"> Long Run Effects of Public Priorities and Problem Status on Congressional Hearings</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848"/>
        <w:gridCol w:w="1849"/>
        <w:gridCol w:w="1849"/>
        <w:gridCol w:w="1848"/>
        <w:gridCol w:w="1848"/>
      </w:tblGrid>
      <w:tr w:rsidR="00DE7F92" w:rsidRPr="00A41E3B" w:rsidTr="00F802B9">
        <w:tc>
          <w:tcPr>
            <w:tcW w:w="999" w:type="pct"/>
            <w:tcBorders>
              <w:top w:val="single" w:sz="4" w:space="0" w:color="auto"/>
              <w:bottom w:val="single" w:sz="4" w:space="0" w:color="auto"/>
            </w:tcBorders>
          </w:tcPr>
          <w:p w:rsidR="00DE7F92" w:rsidRPr="00580BAD" w:rsidRDefault="00DE7F92" w:rsidP="00F802B9">
            <w:pPr>
              <w:rPr>
                <w:lang w:val="en-GB" w:eastAsia="en-US"/>
              </w:rPr>
            </w:pPr>
          </w:p>
        </w:tc>
        <w:tc>
          <w:tcPr>
            <w:tcW w:w="1000" w:type="pct"/>
            <w:tcBorders>
              <w:top w:val="single" w:sz="4" w:space="0" w:color="auto"/>
              <w:bottom w:val="single" w:sz="4" w:space="0" w:color="auto"/>
            </w:tcBorders>
          </w:tcPr>
          <w:p w:rsidR="00DE7F92" w:rsidRPr="00A41E3B" w:rsidRDefault="00DE7F92" w:rsidP="00F802B9">
            <w:pPr>
              <w:rPr>
                <w:lang w:eastAsia="en-US"/>
              </w:rPr>
            </w:pPr>
            <w:r w:rsidRPr="00A41E3B">
              <w:rPr>
                <w:lang w:eastAsia="en-US"/>
              </w:rPr>
              <w:t>Economy</w:t>
            </w:r>
          </w:p>
        </w:tc>
        <w:tc>
          <w:tcPr>
            <w:tcW w:w="1000" w:type="pct"/>
            <w:tcBorders>
              <w:top w:val="single" w:sz="4" w:space="0" w:color="auto"/>
              <w:bottom w:val="single" w:sz="4" w:space="0" w:color="auto"/>
            </w:tcBorders>
          </w:tcPr>
          <w:p w:rsidR="00DE7F92" w:rsidRPr="00A41E3B" w:rsidRDefault="00DE7F92" w:rsidP="00F802B9">
            <w:pPr>
              <w:rPr>
                <w:lang w:eastAsia="en-US"/>
              </w:rPr>
            </w:pPr>
            <w:r w:rsidRPr="00A41E3B">
              <w:rPr>
                <w:lang w:eastAsia="en-US"/>
              </w:rPr>
              <w:t>Health</w:t>
            </w:r>
          </w:p>
        </w:tc>
        <w:tc>
          <w:tcPr>
            <w:tcW w:w="1000" w:type="pct"/>
            <w:tcBorders>
              <w:top w:val="single" w:sz="4" w:space="0" w:color="auto"/>
              <w:bottom w:val="single" w:sz="4" w:space="0" w:color="auto"/>
            </w:tcBorders>
          </w:tcPr>
          <w:p w:rsidR="00DE7F92" w:rsidRPr="00A41E3B" w:rsidRDefault="00DE7F92" w:rsidP="00F802B9">
            <w:pPr>
              <w:rPr>
                <w:lang w:eastAsia="en-US"/>
              </w:rPr>
            </w:pPr>
            <w:r w:rsidRPr="00A41E3B">
              <w:rPr>
                <w:lang w:eastAsia="en-US"/>
              </w:rPr>
              <w:t>Energy</w:t>
            </w:r>
          </w:p>
        </w:tc>
        <w:tc>
          <w:tcPr>
            <w:tcW w:w="1000" w:type="pct"/>
            <w:tcBorders>
              <w:top w:val="single" w:sz="4" w:space="0" w:color="auto"/>
              <w:bottom w:val="single" w:sz="4" w:space="0" w:color="auto"/>
            </w:tcBorders>
          </w:tcPr>
          <w:p w:rsidR="00DE7F92" w:rsidRPr="00A41E3B" w:rsidRDefault="00DE7F92" w:rsidP="00F802B9">
            <w:pPr>
              <w:rPr>
                <w:lang w:eastAsia="en-US"/>
              </w:rPr>
            </w:pPr>
            <w:r w:rsidRPr="00A41E3B">
              <w:rPr>
                <w:lang w:eastAsia="en-US"/>
              </w:rPr>
              <w:t>Transport</w:t>
            </w:r>
          </w:p>
        </w:tc>
      </w:tr>
      <w:tr w:rsidR="00DE7F92" w:rsidRPr="00A41E3B" w:rsidTr="00F802B9">
        <w:tc>
          <w:tcPr>
            <w:tcW w:w="999" w:type="pct"/>
            <w:tcBorders>
              <w:top w:val="single" w:sz="4" w:space="0" w:color="auto"/>
            </w:tcBorders>
          </w:tcPr>
          <w:p w:rsidR="00DE7F92" w:rsidRPr="00A41E3B" w:rsidRDefault="00DE7F92" w:rsidP="00F802B9">
            <w:pPr>
              <w:rPr>
                <w:lang w:eastAsia="en-US"/>
              </w:rPr>
            </w:pPr>
            <w:r>
              <w:rPr>
                <w:lang w:eastAsia="en-US"/>
              </w:rPr>
              <w:t>LR MIP</w:t>
            </w:r>
          </w:p>
        </w:tc>
        <w:tc>
          <w:tcPr>
            <w:tcW w:w="1000" w:type="pct"/>
            <w:tcBorders>
              <w:top w:val="single" w:sz="4" w:space="0" w:color="auto"/>
            </w:tcBorders>
          </w:tcPr>
          <w:p w:rsidR="00DE7F92" w:rsidRPr="00A41E3B" w:rsidRDefault="00DE7F92" w:rsidP="00F802B9">
            <w:pPr>
              <w:rPr>
                <w:lang w:eastAsia="en-US"/>
              </w:rPr>
            </w:pPr>
            <w:r>
              <w:rPr>
                <w:lang w:eastAsia="en-US"/>
              </w:rPr>
              <w:t>8.31</w:t>
            </w:r>
          </w:p>
        </w:tc>
        <w:tc>
          <w:tcPr>
            <w:tcW w:w="1000" w:type="pct"/>
            <w:tcBorders>
              <w:top w:val="single" w:sz="4" w:space="0" w:color="auto"/>
            </w:tcBorders>
          </w:tcPr>
          <w:p w:rsidR="00DE7F92" w:rsidRPr="00A41E3B" w:rsidRDefault="00DE7F92" w:rsidP="00F802B9">
            <w:pPr>
              <w:rPr>
                <w:lang w:eastAsia="en-US"/>
              </w:rPr>
            </w:pPr>
            <w:r>
              <w:rPr>
                <w:lang w:eastAsia="en-US"/>
              </w:rPr>
              <w:t>9.60</w:t>
            </w:r>
          </w:p>
        </w:tc>
        <w:tc>
          <w:tcPr>
            <w:tcW w:w="1000" w:type="pct"/>
            <w:tcBorders>
              <w:top w:val="single" w:sz="4" w:space="0" w:color="auto"/>
            </w:tcBorders>
          </w:tcPr>
          <w:p w:rsidR="00DE7F92" w:rsidRPr="00A41E3B" w:rsidRDefault="00DE7F92" w:rsidP="00F802B9">
            <w:pPr>
              <w:rPr>
                <w:lang w:eastAsia="en-US"/>
              </w:rPr>
            </w:pPr>
            <w:r>
              <w:rPr>
                <w:lang w:eastAsia="en-US"/>
              </w:rPr>
              <w:t>50.28</w:t>
            </w:r>
          </w:p>
        </w:tc>
        <w:tc>
          <w:tcPr>
            <w:tcW w:w="1000" w:type="pct"/>
            <w:tcBorders>
              <w:top w:val="single" w:sz="4" w:space="0" w:color="auto"/>
            </w:tcBorders>
          </w:tcPr>
          <w:p w:rsidR="00DE7F92" w:rsidRPr="00A41E3B" w:rsidRDefault="00DE7F92" w:rsidP="00F802B9">
            <w:pPr>
              <w:rPr>
                <w:lang w:eastAsia="en-US"/>
              </w:rPr>
            </w:pPr>
            <w:r>
              <w:rPr>
                <w:lang w:eastAsia="en-US"/>
              </w:rPr>
              <w:t>NA</w:t>
            </w:r>
          </w:p>
        </w:tc>
      </w:tr>
      <w:tr w:rsidR="00DE7F92" w:rsidRPr="00A41E3B" w:rsidTr="00F802B9">
        <w:tc>
          <w:tcPr>
            <w:tcW w:w="999" w:type="pct"/>
          </w:tcPr>
          <w:p w:rsidR="00DE7F92" w:rsidRPr="00A41E3B" w:rsidRDefault="00DE7F92" w:rsidP="00F802B9">
            <w:pPr>
              <w:rPr>
                <w:lang w:eastAsia="en-US"/>
              </w:rPr>
            </w:pPr>
          </w:p>
        </w:tc>
        <w:tc>
          <w:tcPr>
            <w:tcW w:w="1000" w:type="pct"/>
          </w:tcPr>
          <w:p w:rsidR="00DE7F92" w:rsidRPr="00A41E3B" w:rsidRDefault="00DE7F92" w:rsidP="00F802B9">
            <w:pPr>
              <w:rPr>
                <w:lang w:eastAsia="en-US"/>
              </w:rPr>
            </w:pPr>
            <w:r w:rsidRPr="00A41E3B">
              <w:rPr>
                <w:lang w:eastAsia="en-US"/>
              </w:rPr>
              <w:t>(</w:t>
            </w:r>
            <w:r>
              <w:rPr>
                <w:lang w:eastAsia="en-US"/>
              </w:rPr>
              <w:t>1.53</w:t>
            </w:r>
            <w:r w:rsidRPr="00A41E3B">
              <w:rPr>
                <w:lang w:eastAsia="en-US"/>
              </w:rPr>
              <w:t>)</w:t>
            </w:r>
            <w:r>
              <w:rPr>
                <w:lang w:eastAsia="en-US"/>
              </w:rPr>
              <w:t>***</w:t>
            </w:r>
          </w:p>
        </w:tc>
        <w:tc>
          <w:tcPr>
            <w:tcW w:w="1000" w:type="pct"/>
          </w:tcPr>
          <w:p w:rsidR="00DE7F92" w:rsidRPr="00A41E3B" w:rsidRDefault="00DE7F92" w:rsidP="00F802B9">
            <w:pPr>
              <w:rPr>
                <w:lang w:eastAsia="en-US"/>
              </w:rPr>
            </w:pPr>
            <w:r w:rsidRPr="00A41E3B">
              <w:rPr>
                <w:lang w:eastAsia="en-US"/>
              </w:rPr>
              <w:t>(</w:t>
            </w:r>
            <w:r>
              <w:rPr>
                <w:lang w:eastAsia="en-US"/>
              </w:rPr>
              <w:t>9.58</w:t>
            </w:r>
            <w:r w:rsidRPr="00A41E3B">
              <w:rPr>
                <w:lang w:eastAsia="en-US"/>
              </w:rPr>
              <w:t>)</w:t>
            </w:r>
          </w:p>
        </w:tc>
        <w:tc>
          <w:tcPr>
            <w:tcW w:w="1000" w:type="pct"/>
          </w:tcPr>
          <w:p w:rsidR="00DE7F92" w:rsidRPr="00A41E3B" w:rsidRDefault="00DE7F92" w:rsidP="00F802B9">
            <w:pPr>
              <w:rPr>
                <w:lang w:eastAsia="en-US"/>
              </w:rPr>
            </w:pPr>
            <w:r w:rsidRPr="00A41E3B">
              <w:rPr>
                <w:lang w:eastAsia="en-US"/>
              </w:rPr>
              <w:t>(</w:t>
            </w:r>
            <w:r>
              <w:rPr>
                <w:lang w:eastAsia="en-US"/>
              </w:rPr>
              <w:t>9.05</w:t>
            </w:r>
            <w:r w:rsidRPr="00A41E3B">
              <w:rPr>
                <w:lang w:eastAsia="en-US"/>
              </w:rPr>
              <w:t>)*</w:t>
            </w:r>
            <w:r>
              <w:rPr>
                <w:lang w:eastAsia="en-US"/>
              </w:rPr>
              <w:t>**</w:t>
            </w:r>
          </w:p>
        </w:tc>
        <w:tc>
          <w:tcPr>
            <w:tcW w:w="1000" w:type="pct"/>
          </w:tcPr>
          <w:p w:rsidR="00DE7F92" w:rsidRPr="00A41E3B" w:rsidRDefault="00DE7F92" w:rsidP="00F802B9">
            <w:pPr>
              <w:rPr>
                <w:lang w:eastAsia="en-US"/>
              </w:rPr>
            </w:pPr>
          </w:p>
        </w:tc>
      </w:tr>
      <w:tr w:rsidR="00DE7F92" w:rsidRPr="00A41E3B" w:rsidTr="00F802B9">
        <w:tc>
          <w:tcPr>
            <w:tcW w:w="999" w:type="pct"/>
          </w:tcPr>
          <w:p w:rsidR="00DE7F92" w:rsidRPr="00A41E3B" w:rsidRDefault="00DE7F92" w:rsidP="00F802B9">
            <w:pPr>
              <w:rPr>
                <w:lang w:eastAsia="en-US"/>
              </w:rPr>
            </w:pPr>
            <w:r w:rsidRPr="00A41E3B">
              <w:rPr>
                <w:lang w:eastAsia="en-US"/>
              </w:rPr>
              <w:t>LR Problem</w:t>
            </w:r>
          </w:p>
        </w:tc>
        <w:tc>
          <w:tcPr>
            <w:tcW w:w="1000" w:type="pct"/>
          </w:tcPr>
          <w:p w:rsidR="00DE7F92" w:rsidRPr="00A41E3B" w:rsidRDefault="00DE7F92" w:rsidP="00F802B9">
            <w:pPr>
              <w:rPr>
                <w:lang w:eastAsia="en-US"/>
              </w:rPr>
            </w:pPr>
            <w:r>
              <w:rPr>
                <w:lang w:eastAsia="en-US"/>
              </w:rPr>
              <w:t>-14.13</w:t>
            </w:r>
          </w:p>
        </w:tc>
        <w:tc>
          <w:tcPr>
            <w:tcW w:w="1000" w:type="pct"/>
          </w:tcPr>
          <w:p w:rsidR="00DE7F92" w:rsidRPr="00A41E3B" w:rsidRDefault="00DE7F92" w:rsidP="00F802B9">
            <w:pPr>
              <w:rPr>
                <w:lang w:eastAsia="en-US"/>
              </w:rPr>
            </w:pPr>
            <w:r>
              <w:rPr>
                <w:lang w:eastAsia="en-US"/>
              </w:rPr>
              <w:t>-0.049</w:t>
            </w:r>
          </w:p>
        </w:tc>
        <w:tc>
          <w:tcPr>
            <w:tcW w:w="1000" w:type="pct"/>
          </w:tcPr>
          <w:p w:rsidR="00DE7F92" w:rsidRPr="00A41E3B" w:rsidRDefault="00DE7F92" w:rsidP="00F802B9">
            <w:pPr>
              <w:rPr>
                <w:lang w:eastAsia="en-US"/>
              </w:rPr>
            </w:pPr>
            <w:r>
              <w:rPr>
                <w:lang w:eastAsia="en-US"/>
              </w:rPr>
              <w:t>0.035</w:t>
            </w:r>
          </w:p>
        </w:tc>
        <w:tc>
          <w:tcPr>
            <w:tcW w:w="1000" w:type="pct"/>
          </w:tcPr>
          <w:p w:rsidR="00DE7F92" w:rsidRPr="00A41E3B" w:rsidRDefault="00DE7F92" w:rsidP="00F802B9">
            <w:pPr>
              <w:rPr>
                <w:lang w:eastAsia="en-US"/>
              </w:rPr>
            </w:pPr>
            <w:r>
              <w:rPr>
                <w:lang w:eastAsia="en-US"/>
              </w:rPr>
              <w:t>2.37</w:t>
            </w:r>
          </w:p>
        </w:tc>
      </w:tr>
      <w:tr w:rsidR="00DE7F92" w:rsidRPr="00A41E3B" w:rsidTr="00F802B9">
        <w:tc>
          <w:tcPr>
            <w:tcW w:w="999" w:type="pct"/>
          </w:tcPr>
          <w:p w:rsidR="00DE7F92" w:rsidRPr="00A41E3B" w:rsidRDefault="00DE7F92" w:rsidP="00F802B9">
            <w:pPr>
              <w:rPr>
                <w:lang w:eastAsia="en-US"/>
              </w:rPr>
            </w:pPr>
          </w:p>
        </w:tc>
        <w:tc>
          <w:tcPr>
            <w:tcW w:w="1000" w:type="pct"/>
          </w:tcPr>
          <w:p w:rsidR="00DE7F92" w:rsidRPr="00A41E3B" w:rsidRDefault="00DE7F92" w:rsidP="00F802B9">
            <w:pPr>
              <w:rPr>
                <w:lang w:eastAsia="en-US"/>
              </w:rPr>
            </w:pPr>
            <w:r>
              <w:rPr>
                <w:lang w:eastAsia="en-US"/>
              </w:rPr>
              <w:t>(21.01</w:t>
            </w:r>
            <w:r w:rsidRPr="00A41E3B">
              <w:rPr>
                <w:lang w:eastAsia="en-US"/>
              </w:rPr>
              <w:t>)</w:t>
            </w:r>
          </w:p>
        </w:tc>
        <w:tc>
          <w:tcPr>
            <w:tcW w:w="1000" w:type="pct"/>
          </w:tcPr>
          <w:p w:rsidR="00DE7F92" w:rsidRPr="00A41E3B" w:rsidRDefault="00DE7F92" w:rsidP="00F802B9">
            <w:pPr>
              <w:rPr>
                <w:lang w:eastAsia="en-US"/>
              </w:rPr>
            </w:pPr>
            <w:r w:rsidRPr="00A41E3B">
              <w:rPr>
                <w:lang w:eastAsia="en-US"/>
              </w:rPr>
              <w:t>(0.</w:t>
            </w:r>
            <w:r>
              <w:rPr>
                <w:lang w:eastAsia="en-US"/>
              </w:rPr>
              <w:t>094</w:t>
            </w:r>
            <w:r w:rsidRPr="00A41E3B">
              <w:rPr>
                <w:lang w:eastAsia="en-US"/>
              </w:rPr>
              <w:t>)</w:t>
            </w:r>
          </w:p>
        </w:tc>
        <w:tc>
          <w:tcPr>
            <w:tcW w:w="1000" w:type="pct"/>
          </w:tcPr>
          <w:p w:rsidR="00DE7F92" w:rsidRPr="00A41E3B" w:rsidRDefault="00DE7F92" w:rsidP="00F802B9">
            <w:pPr>
              <w:rPr>
                <w:lang w:eastAsia="en-US"/>
              </w:rPr>
            </w:pPr>
            <w:r w:rsidRPr="00A41E3B">
              <w:rPr>
                <w:lang w:eastAsia="en-US"/>
              </w:rPr>
              <w:t>(0.01</w:t>
            </w:r>
            <w:r>
              <w:rPr>
                <w:lang w:eastAsia="en-US"/>
              </w:rPr>
              <w:t>2</w:t>
            </w:r>
            <w:r w:rsidRPr="00A41E3B">
              <w:rPr>
                <w:lang w:eastAsia="en-US"/>
              </w:rPr>
              <w:t>)</w:t>
            </w:r>
            <w:r>
              <w:rPr>
                <w:lang w:eastAsia="en-US"/>
              </w:rPr>
              <w:t>**</w:t>
            </w:r>
          </w:p>
        </w:tc>
        <w:tc>
          <w:tcPr>
            <w:tcW w:w="1000" w:type="pct"/>
          </w:tcPr>
          <w:p w:rsidR="00DE7F92" w:rsidRPr="00A41E3B" w:rsidRDefault="00DE7F92" w:rsidP="00F802B9">
            <w:pPr>
              <w:rPr>
                <w:lang w:eastAsia="en-US"/>
              </w:rPr>
            </w:pPr>
            <w:r w:rsidRPr="00A41E3B">
              <w:rPr>
                <w:lang w:eastAsia="en-US"/>
              </w:rPr>
              <w:t>(0.</w:t>
            </w:r>
            <w:r>
              <w:rPr>
                <w:lang w:eastAsia="en-US"/>
              </w:rPr>
              <w:t>53</w:t>
            </w:r>
            <w:r w:rsidRPr="00A41E3B">
              <w:rPr>
                <w:lang w:eastAsia="en-US"/>
              </w:rPr>
              <w:t>)</w:t>
            </w:r>
            <w:r>
              <w:rPr>
                <w:lang w:eastAsia="en-US"/>
              </w:rPr>
              <w:t>***</w:t>
            </w:r>
          </w:p>
        </w:tc>
      </w:tr>
    </w:tbl>
    <w:p w:rsidR="00DE7F92" w:rsidRPr="00C03631" w:rsidRDefault="00DE7F92" w:rsidP="00DE7F92">
      <w:pPr>
        <w:widowControl w:val="0"/>
        <w:autoSpaceDE w:val="0"/>
        <w:autoSpaceDN w:val="0"/>
        <w:adjustRightInd w:val="0"/>
        <w:spacing w:before="79" w:after="79"/>
        <w:rPr>
          <w:color w:val="000000"/>
        </w:rPr>
      </w:pPr>
    </w:p>
    <w:p w:rsidR="00E52FB4" w:rsidRDefault="00E52FB4"/>
    <w:sectPr w:rsidR="00E52FB4" w:rsidSect="00FC776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50" w:rsidRDefault="00036050" w:rsidP="00DE7F92">
      <w:r>
        <w:separator/>
      </w:r>
    </w:p>
  </w:endnote>
  <w:endnote w:type="continuationSeparator" w:id="0">
    <w:p w:rsidR="00036050" w:rsidRDefault="00036050" w:rsidP="00DE7F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50" w:rsidRDefault="00036050" w:rsidP="00DE7F92">
      <w:r>
        <w:separator/>
      </w:r>
    </w:p>
  </w:footnote>
  <w:footnote w:type="continuationSeparator" w:id="0">
    <w:p w:rsidR="00036050" w:rsidRDefault="00036050" w:rsidP="00DE7F92">
      <w:r>
        <w:continuationSeparator/>
      </w:r>
    </w:p>
  </w:footnote>
  <w:footnote w:id="1">
    <w:p w:rsidR="00DE7F92" w:rsidRPr="006254B4" w:rsidRDefault="00DE7F92" w:rsidP="00DE7F92">
      <w:pPr>
        <w:pStyle w:val="FootnoteText"/>
        <w:spacing w:line="480" w:lineRule="auto"/>
        <w:rPr>
          <w:sz w:val="24"/>
          <w:szCs w:val="24"/>
          <w:lang w:val="en-US"/>
        </w:rPr>
      </w:pPr>
      <w:r w:rsidRPr="006254B4">
        <w:rPr>
          <w:rStyle w:val="FootnoteReference"/>
          <w:sz w:val="24"/>
          <w:szCs w:val="24"/>
        </w:rPr>
        <w:footnoteRef/>
      </w:r>
      <w:r w:rsidRPr="006254B4">
        <w:rPr>
          <w:sz w:val="24"/>
          <w:szCs w:val="24"/>
        </w:rPr>
        <w:t xml:space="preserve"> </w:t>
      </w:r>
      <w:r w:rsidRPr="006254B4">
        <w:rPr>
          <w:sz w:val="24"/>
          <w:szCs w:val="24"/>
          <w:lang w:val="en-US"/>
        </w:rPr>
        <w:t xml:space="preserve">Note this is different than net immigration as it does not account for the number of international and UK citizens emigrating from the UK.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dgnword-docGUID" w:val="{6D56C934-5A3D-4AE3-91BE-435CC6AB727C}"/>
    <w:docVar w:name="dgnword-eventsink" w:val="406103800"/>
  </w:docVars>
  <w:rsids>
    <w:rsidRoot w:val="00DE7F92"/>
    <w:rsid w:val="00036050"/>
    <w:rsid w:val="000E1560"/>
    <w:rsid w:val="000F3A83"/>
    <w:rsid w:val="001F7895"/>
    <w:rsid w:val="00254992"/>
    <w:rsid w:val="002A115E"/>
    <w:rsid w:val="002C0597"/>
    <w:rsid w:val="0043235B"/>
    <w:rsid w:val="0072428F"/>
    <w:rsid w:val="00804B82"/>
    <w:rsid w:val="00980DB7"/>
    <w:rsid w:val="00A72FAC"/>
    <w:rsid w:val="00A86600"/>
    <w:rsid w:val="00B122DF"/>
    <w:rsid w:val="00BE1710"/>
    <w:rsid w:val="00CB5F13"/>
    <w:rsid w:val="00CC59FB"/>
    <w:rsid w:val="00DE7F92"/>
    <w:rsid w:val="00E07EE3"/>
    <w:rsid w:val="00E52FB4"/>
    <w:rsid w:val="00E820A2"/>
    <w:rsid w:val="00F53A25"/>
    <w:rsid w:val="00F668C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7F92"/>
    <w:rPr>
      <w:color w:val="0563C1" w:themeColor="hyperlink"/>
      <w:u w:val="single"/>
    </w:rPr>
  </w:style>
  <w:style w:type="paragraph" w:styleId="FootnoteText">
    <w:name w:val="footnote text"/>
    <w:basedOn w:val="Normal"/>
    <w:link w:val="FootnoteTextChar"/>
    <w:rsid w:val="00DE7F92"/>
    <w:rPr>
      <w:sz w:val="20"/>
      <w:szCs w:val="20"/>
    </w:rPr>
  </w:style>
  <w:style w:type="character" w:customStyle="1" w:styleId="FootnoteTextChar">
    <w:name w:val="Footnote Text Char"/>
    <w:basedOn w:val="DefaultParagraphFont"/>
    <w:link w:val="FootnoteText"/>
    <w:rsid w:val="00DE7F92"/>
    <w:rPr>
      <w:rFonts w:ascii="Times New Roman" w:eastAsia="Times New Roman" w:hAnsi="Times New Roman" w:cs="Times New Roman"/>
      <w:sz w:val="20"/>
      <w:szCs w:val="20"/>
      <w:lang w:eastAsia="en-GB"/>
    </w:rPr>
  </w:style>
  <w:style w:type="character" w:styleId="FootnoteReference">
    <w:name w:val="footnote reference"/>
    <w:rsid w:val="00DE7F92"/>
    <w:rPr>
      <w:rFonts w:cs="Times New Roman"/>
      <w:vertAlign w:val="superscript"/>
    </w:rPr>
  </w:style>
  <w:style w:type="table" w:styleId="TableGrid">
    <w:name w:val="Table Grid"/>
    <w:basedOn w:val="TableNormal"/>
    <w:uiPriority w:val="59"/>
    <w:rsid w:val="00DE7F92"/>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68CB"/>
    <w:rPr>
      <w:rFonts w:ascii="Tahoma" w:hAnsi="Tahoma" w:cs="Tahoma"/>
      <w:sz w:val="16"/>
      <w:szCs w:val="16"/>
    </w:rPr>
  </w:style>
  <w:style w:type="character" w:customStyle="1" w:styleId="BalloonTextChar">
    <w:name w:val="Balloon Text Char"/>
    <w:basedOn w:val="DefaultParagraphFont"/>
    <w:link w:val="BalloonText"/>
    <w:uiPriority w:val="99"/>
    <w:semiHidden/>
    <w:rsid w:val="00F668CB"/>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j.jennings@soton.ac.uk"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un.Bevan@gmail.com" TargetMode="External"/><Relationship Id="rId11"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hyperlink" Target="https://www.eia.gov/dnav/pet/pet_pri_allmg_a_EPM0_PTC_Dpgal_m.htm" TargetMode="External"/><Relationship Id="rId4" Type="http://schemas.openxmlformats.org/officeDocument/2006/relationships/footnotes" Target="footnotes.xml"/><Relationship Id="rId9" Type="http://schemas.openxmlformats.org/officeDocument/2006/relationships/hyperlink" Target="http://www.be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Edinburgh</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Bevan</dc:creator>
  <cp:lastModifiedBy>Jeremy Richardson</cp:lastModifiedBy>
  <cp:revision>2</cp:revision>
  <dcterms:created xsi:type="dcterms:W3CDTF">2018-09-28T03:15:00Z</dcterms:created>
  <dcterms:modified xsi:type="dcterms:W3CDTF">2018-09-28T03:15:00Z</dcterms:modified>
</cp:coreProperties>
</file>