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A44404">
      <w:pPr>
        <w:pStyle w:val="SupplementaryMaterial"/>
        <w:rPr>
          <w:b w:val="0"/>
        </w:rPr>
      </w:pPr>
      <w:r w:rsidRPr="001549D3">
        <w:t>Supplementary Material</w:t>
      </w:r>
    </w:p>
    <w:p w14:paraId="048BC159" w14:textId="587A9A87" w:rsidR="00A44404" w:rsidRPr="00A44404" w:rsidRDefault="00A44404" w:rsidP="00A44404">
      <w:pPr>
        <w:snapToGrid w:val="0"/>
        <w:contextualSpacing/>
        <w:jc w:val="center"/>
        <w:rPr>
          <w:b/>
          <w:sz w:val="32"/>
          <w:szCs w:val="32"/>
        </w:rPr>
      </w:pPr>
      <w:r w:rsidRPr="006745A7">
        <w:rPr>
          <w:b/>
          <w:sz w:val="32"/>
          <w:szCs w:val="32"/>
        </w:rPr>
        <w:t xml:space="preserve">Differences in Ocular Complications Between </w:t>
      </w:r>
      <w:r w:rsidRPr="006745A7">
        <w:rPr>
          <w:b/>
          <w:i/>
          <w:sz w:val="32"/>
          <w:szCs w:val="32"/>
        </w:rPr>
        <w:t xml:space="preserve">Candida albicans </w:t>
      </w:r>
      <w:r w:rsidRPr="006745A7">
        <w:rPr>
          <w:b/>
          <w:sz w:val="32"/>
          <w:szCs w:val="32"/>
        </w:rPr>
        <w:t xml:space="preserve">and Non-albicans </w:t>
      </w:r>
      <w:r w:rsidRPr="006745A7">
        <w:rPr>
          <w:b/>
          <w:i/>
          <w:sz w:val="32"/>
          <w:szCs w:val="32"/>
        </w:rPr>
        <w:t xml:space="preserve">Candida </w:t>
      </w:r>
      <w:r w:rsidRPr="006745A7">
        <w:rPr>
          <w:b/>
          <w:sz w:val="32"/>
          <w:szCs w:val="32"/>
        </w:rPr>
        <w:t>Infection Analyzed by Epidemiology and a Mouse Ocular Candidiasis Model</w:t>
      </w:r>
    </w:p>
    <w:p w14:paraId="101A5A45" w14:textId="77777777" w:rsidR="00A44404" w:rsidRPr="006745A7" w:rsidRDefault="00A44404" w:rsidP="00A44404">
      <w:pPr>
        <w:snapToGrid w:val="0"/>
        <w:contextualSpacing/>
      </w:pPr>
    </w:p>
    <w:p w14:paraId="1E2771C6" w14:textId="209B37FF" w:rsidR="00A44404" w:rsidRPr="006745A7" w:rsidRDefault="00A44404" w:rsidP="00A44404">
      <w:pPr>
        <w:snapToGrid w:val="0"/>
        <w:contextualSpacing/>
        <w:rPr>
          <w:rFonts w:eastAsia="T1"/>
        </w:rPr>
      </w:pPr>
      <w:r w:rsidRPr="006745A7">
        <w:t>Masahiro Abe</w:t>
      </w:r>
      <w:r w:rsidRPr="006745A7">
        <w:rPr>
          <w:vertAlign w:val="superscript"/>
        </w:rPr>
        <w:t>*</w:t>
      </w:r>
      <w:r w:rsidR="00DC20C1">
        <w:t xml:space="preserve">, </w:t>
      </w:r>
      <w:bookmarkStart w:id="0" w:name="_GoBack"/>
      <w:bookmarkEnd w:id="0"/>
      <w:r w:rsidRPr="006745A7">
        <w:t>Yuki Kinjo</w:t>
      </w:r>
      <w:r w:rsidRPr="006745A7">
        <w:rPr>
          <w:vertAlign w:val="superscript"/>
        </w:rPr>
        <w:t>*</w:t>
      </w:r>
      <w:r w:rsidRPr="006745A7">
        <w:t>,  Keigo Ueno,  Shogo Takatsuka,  Shigeki Nakamura,  Sho Ogura,</w:t>
      </w:r>
      <w:r w:rsidRPr="006745A7">
        <w:rPr>
          <w:vertAlign w:val="superscript"/>
        </w:rPr>
        <w:t xml:space="preserve"> </w:t>
      </w:r>
      <w:r w:rsidRPr="006745A7">
        <w:t xml:space="preserve">  Muneyoshi Kimura,  Hideki Araoka,  Sota Sadamoto,  Minoru Shinozaki,  Kazutoshi Shibuya,  Akiko Yoneyama,  Mitsuo Kaku,  and Yoshitsugu Miyazaki</w:t>
      </w:r>
    </w:p>
    <w:p w14:paraId="7FAF1865" w14:textId="77777777" w:rsidR="00A44404" w:rsidRPr="006745A7" w:rsidRDefault="00A44404" w:rsidP="00A44404">
      <w:pPr>
        <w:snapToGrid w:val="0"/>
        <w:contextualSpacing/>
      </w:pPr>
    </w:p>
    <w:p w14:paraId="7B47D4D2" w14:textId="77777777" w:rsidR="00A44404" w:rsidRPr="006745A7" w:rsidRDefault="00A44404" w:rsidP="00A44404">
      <w:pPr>
        <w:snapToGrid w:val="0"/>
        <w:contextualSpacing/>
        <w:outlineLvl w:val="0"/>
      </w:pPr>
      <w:r w:rsidRPr="006745A7">
        <w:rPr>
          <w:b/>
        </w:rPr>
        <w:t xml:space="preserve">* </w:t>
      </w:r>
      <w:r w:rsidRPr="006745A7">
        <w:t>Correspondence: Masahiro Abe, MD, and Yuki Kinjo, MD, PhD</w:t>
      </w:r>
    </w:p>
    <w:p w14:paraId="0DBC7F7E" w14:textId="77777777" w:rsidR="00A44404" w:rsidRPr="006745A7" w:rsidRDefault="00A44404" w:rsidP="00A44404">
      <w:pPr>
        <w:autoSpaceDE w:val="0"/>
        <w:autoSpaceDN w:val="0"/>
        <w:adjustRightInd w:val="0"/>
        <w:snapToGrid w:val="0"/>
        <w:contextualSpacing/>
        <w:rPr>
          <w:rFonts w:eastAsia="T1"/>
        </w:rPr>
      </w:pPr>
      <w:r w:rsidRPr="006745A7">
        <w:t xml:space="preserve">Department of </w:t>
      </w:r>
      <w:r w:rsidRPr="006745A7">
        <w:rPr>
          <w:rFonts w:eastAsia="T1"/>
        </w:rPr>
        <w:t>Chemotherapy and Mycoses, National Institute of Infectious Diseases, Tokyo, Japan</w:t>
      </w:r>
    </w:p>
    <w:p w14:paraId="1373BA5A" w14:textId="77777777" w:rsidR="00A44404" w:rsidRPr="006745A7" w:rsidRDefault="00A44404" w:rsidP="00A44404">
      <w:pPr>
        <w:snapToGrid w:val="0"/>
        <w:contextualSpacing/>
      </w:pPr>
      <w:r w:rsidRPr="006745A7">
        <w:t>1-23-1 Toyama, Shinjuku-ku, Tokyo 162-8640, Japan</w:t>
      </w:r>
    </w:p>
    <w:p w14:paraId="59C0BD4D" w14:textId="77777777" w:rsidR="00A44404" w:rsidRPr="006745A7" w:rsidRDefault="00A44404" w:rsidP="00A44404">
      <w:pPr>
        <w:snapToGrid w:val="0"/>
        <w:contextualSpacing/>
      </w:pPr>
      <w:r w:rsidRPr="006745A7">
        <w:t>Tel: +81-3-5285-1111; Fax: +81-3-5285-1272</w:t>
      </w:r>
    </w:p>
    <w:p w14:paraId="522B0C10" w14:textId="77777777" w:rsidR="00A44404" w:rsidRPr="006745A7" w:rsidRDefault="00A44404" w:rsidP="00A44404">
      <w:pPr>
        <w:snapToGrid w:val="0"/>
        <w:contextualSpacing/>
      </w:pPr>
      <w:r w:rsidRPr="006745A7">
        <w:t>E-mail:To Masahiro Abe</w:t>
      </w:r>
      <w:r w:rsidRPr="006745A7">
        <w:rPr>
          <w:rFonts w:hint="eastAsia"/>
        </w:rPr>
        <w:t>：</w:t>
      </w:r>
      <w:hyperlink r:id="rId8" w:history="1">
        <w:r w:rsidRPr="006745A7">
          <w:rPr>
            <w:rStyle w:val="afc"/>
          </w:rPr>
          <w:t>masa-a@niid.go.jp</w:t>
        </w:r>
      </w:hyperlink>
      <w:r w:rsidRPr="006745A7">
        <w:t>, and To Yuki Kinjo</w:t>
      </w:r>
      <w:r w:rsidRPr="006745A7">
        <w:rPr>
          <w:rFonts w:hint="eastAsia"/>
        </w:rPr>
        <w:t>：</w:t>
      </w:r>
      <w:hyperlink r:id="rId9" w:history="1">
        <w:r w:rsidRPr="006745A7">
          <w:rPr>
            <w:rStyle w:val="afc"/>
          </w:rPr>
          <w:t>ykinjo@niid.go.jp</w:t>
        </w:r>
      </w:hyperlink>
    </w:p>
    <w:p w14:paraId="639359DF" w14:textId="3C18CAF3" w:rsidR="00A44404" w:rsidRPr="00A44404" w:rsidRDefault="00A44404" w:rsidP="00A44404">
      <w:pPr>
        <w:spacing w:before="0" w:after="200"/>
        <w:rPr>
          <w:rFonts w:eastAsia="Cambria" w:cs="Times New Roman"/>
          <w:b/>
          <w:szCs w:val="24"/>
        </w:rPr>
      </w:pPr>
      <w:r>
        <w:br w:type="page"/>
      </w:r>
    </w:p>
    <w:tbl>
      <w:tblPr>
        <w:tblStyle w:val="11"/>
        <w:tblW w:w="0" w:type="auto"/>
        <w:tblLook w:val="06A0" w:firstRow="1" w:lastRow="0" w:firstColumn="1" w:lastColumn="0" w:noHBand="1" w:noVBand="1"/>
      </w:tblPr>
      <w:tblGrid>
        <w:gridCol w:w="3296"/>
        <w:gridCol w:w="3296"/>
        <w:gridCol w:w="3297"/>
      </w:tblGrid>
      <w:tr w:rsidR="00A44404" w:rsidRPr="00A458D2" w14:paraId="4C8AEE1C" w14:textId="77777777" w:rsidTr="001F15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26EBA624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lastRenderedPageBreak/>
              <w:t>Antigen</w:t>
            </w:r>
          </w:p>
        </w:tc>
        <w:tc>
          <w:tcPr>
            <w:tcW w:w="3296" w:type="dxa"/>
            <w:hideMark/>
          </w:tcPr>
          <w:p w14:paraId="39517CA9" w14:textId="77777777" w:rsidR="00A44404" w:rsidRPr="00A458D2" w:rsidRDefault="00A44404" w:rsidP="00A4440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Clone</w:t>
            </w:r>
          </w:p>
        </w:tc>
        <w:tc>
          <w:tcPr>
            <w:tcW w:w="3297" w:type="dxa"/>
            <w:hideMark/>
          </w:tcPr>
          <w:p w14:paraId="0628211C" w14:textId="77777777" w:rsidR="00A44404" w:rsidRPr="00A458D2" w:rsidRDefault="00A44404" w:rsidP="00A44404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Supplier</w:t>
            </w:r>
          </w:p>
        </w:tc>
      </w:tr>
      <w:tr w:rsidR="00A44404" w:rsidRPr="00A458D2" w14:paraId="2CC8D9AE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08DD9832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CD45</w:t>
            </w:r>
          </w:p>
        </w:tc>
        <w:tc>
          <w:tcPr>
            <w:tcW w:w="3296" w:type="dxa"/>
            <w:hideMark/>
          </w:tcPr>
          <w:p w14:paraId="3824587B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30-F11</w:t>
            </w:r>
          </w:p>
        </w:tc>
        <w:tc>
          <w:tcPr>
            <w:tcW w:w="3297" w:type="dxa"/>
            <w:hideMark/>
          </w:tcPr>
          <w:p w14:paraId="656347DD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35DAB5E4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3053AD5F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CD11b</w:t>
            </w:r>
          </w:p>
        </w:tc>
        <w:tc>
          <w:tcPr>
            <w:tcW w:w="3296" w:type="dxa"/>
            <w:hideMark/>
          </w:tcPr>
          <w:p w14:paraId="152EE217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M1/70</w:t>
            </w:r>
          </w:p>
        </w:tc>
        <w:tc>
          <w:tcPr>
            <w:tcW w:w="3297" w:type="dxa"/>
            <w:hideMark/>
          </w:tcPr>
          <w:p w14:paraId="42A45842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584AACB2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2280C478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CD11b</w:t>
            </w:r>
          </w:p>
        </w:tc>
        <w:tc>
          <w:tcPr>
            <w:tcW w:w="3296" w:type="dxa"/>
            <w:hideMark/>
          </w:tcPr>
          <w:p w14:paraId="40FE04DD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M1/70</w:t>
            </w:r>
          </w:p>
        </w:tc>
        <w:tc>
          <w:tcPr>
            <w:tcW w:w="3297" w:type="dxa"/>
            <w:hideMark/>
          </w:tcPr>
          <w:p w14:paraId="6C0D60E2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TONBO</w:t>
            </w:r>
          </w:p>
        </w:tc>
      </w:tr>
      <w:tr w:rsidR="00A44404" w:rsidRPr="00A458D2" w14:paraId="73055AA9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43D00666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Ly6C</w:t>
            </w:r>
          </w:p>
        </w:tc>
        <w:tc>
          <w:tcPr>
            <w:tcW w:w="3296" w:type="dxa"/>
            <w:hideMark/>
          </w:tcPr>
          <w:p w14:paraId="1E9259D0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HK1.4</w:t>
            </w:r>
          </w:p>
        </w:tc>
        <w:tc>
          <w:tcPr>
            <w:tcW w:w="3297" w:type="dxa"/>
            <w:hideMark/>
          </w:tcPr>
          <w:p w14:paraId="6F8C4379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31BBBAE2" w14:textId="77777777" w:rsidTr="001F156A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2F740034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Ly6G</w:t>
            </w:r>
          </w:p>
        </w:tc>
        <w:tc>
          <w:tcPr>
            <w:tcW w:w="3296" w:type="dxa"/>
            <w:hideMark/>
          </w:tcPr>
          <w:p w14:paraId="103899A5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1A8</w:t>
            </w:r>
          </w:p>
        </w:tc>
        <w:tc>
          <w:tcPr>
            <w:tcW w:w="3297" w:type="dxa"/>
            <w:hideMark/>
          </w:tcPr>
          <w:p w14:paraId="666AFEBE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385AF7A6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09FD2D3F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F4/80</w:t>
            </w:r>
          </w:p>
        </w:tc>
        <w:tc>
          <w:tcPr>
            <w:tcW w:w="3296" w:type="dxa"/>
            <w:hideMark/>
          </w:tcPr>
          <w:p w14:paraId="50BD85C1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BM8</w:t>
            </w:r>
          </w:p>
        </w:tc>
        <w:tc>
          <w:tcPr>
            <w:tcW w:w="3297" w:type="dxa"/>
            <w:hideMark/>
          </w:tcPr>
          <w:p w14:paraId="11C11BFA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1A94E7A1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14DB6D21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I-A/I-E</w:t>
            </w:r>
          </w:p>
        </w:tc>
        <w:tc>
          <w:tcPr>
            <w:tcW w:w="3296" w:type="dxa"/>
            <w:hideMark/>
          </w:tcPr>
          <w:p w14:paraId="40F64BF4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M5/114.15.2</w:t>
            </w:r>
          </w:p>
        </w:tc>
        <w:tc>
          <w:tcPr>
            <w:tcW w:w="3297" w:type="dxa"/>
            <w:hideMark/>
          </w:tcPr>
          <w:p w14:paraId="43CC95A0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  <w:tr w:rsidR="00A44404" w:rsidRPr="00A458D2" w14:paraId="6909EDAB" w14:textId="77777777" w:rsidTr="001F156A">
        <w:trPr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6" w:type="dxa"/>
            <w:hideMark/>
          </w:tcPr>
          <w:p w14:paraId="5D86D06C" w14:textId="77777777" w:rsidR="00A44404" w:rsidRPr="00A458D2" w:rsidRDefault="00A44404" w:rsidP="00A44404">
            <w:pPr>
              <w:contextualSpacing/>
              <w:jc w:val="center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CD11c</w:t>
            </w:r>
          </w:p>
        </w:tc>
        <w:tc>
          <w:tcPr>
            <w:tcW w:w="3296" w:type="dxa"/>
            <w:hideMark/>
          </w:tcPr>
          <w:p w14:paraId="17F69D46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N418</w:t>
            </w:r>
          </w:p>
        </w:tc>
        <w:tc>
          <w:tcPr>
            <w:tcW w:w="3297" w:type="dxa"/>
            <w:hideMark/>
          </w:tcPr>
          <w:p w14:paraId="6AFC3854" w14:textId="77777777" w:rsidR="00A44404" w:rsidRPr="00A458D2" w:rsidRDefault="00A44404" w:rsidP="00A4440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szCs w:val="20"/>
              </w:rPr>
            </w:pPr>
            <w:r w:rsidRPr="00A458D2">
              <w:rPr>
                <w:rFonts w:eastAsia="メイリオ"/>
                <w:color w:val="000000"/>
                <w:kern w:val="0"/>
                <w:szCs w:val="15"/>
              </w:rPr>
              <w:t>Biolegend</w:t>
            </w:r>
          </w:p>
        </w:tc>
      </w:tr>
    </w:tbl>
    <w:p w14:paraId="3CEF9C67" w14:textId="1BA90267" w:rsidR="00A44404" w:rsidRDefault="00A44404" w:rsidP="00A44404">
      <w:pPr>
        <w:rPr>
          <w:rFonts w:eastAsia="メイリオ"/>
          <w:b/>
          <w:color w:val="000000"/>
          <w:szCs w:val="28"/>
        </w:rPr>
      </w:pPr>
      <w:r w:rsidRPr="00A458D2">
        <w:rPr>
          <w:rFonts w:eastAsia="メイリオ"/>
          <w:b/>
          <w:color w:val="000000"/>
          <w:szCs w:val="28"/>
        </w:rPr>
        <w:t>Supplementary Table: Antibodies used in this study</w:t>
      </w:r>
    </w:p>
    <w:p w14:paraId="30DE6BEB" w14:textId="1722B8FC" w:rsidR="00A44404" w:rsidRPr="00A44404" w:rsidRDefault="00A44404" w:rsidP="00A44404">
      <w:pPr>
        <w:spacing w:before="0" w:after="200" w:line="276" w:lineRule="auto"/>
        <w:rPr>
          <w:rFonts w:eastAsia="メイリオ"/>
          <w:b/>
          <w:color w:val="000000"/>
          <w:szCs w:val="28"/>
        </w:rPr>
      </w:pPr>
      <w:r>
        <w:rPr>
          <w:rFonts w:eastAsia="メイリオ"/>
          <w:b/>
          <w:color w:val="000000"/>
          <w:szCs w:val="28"/>
        </w:rPr>
        <w:br w:type="page"/>
      </w:r>
    </w:p>
    <w:p w14:paraId="063C3E98" w14:textId="659FEBF8" w:rsidR="001F156A" w:rsidRDefault="00A44404" w:rsidP="00A44404">
      <w:pPr>
        <w:rPr>
          <w:rFonts w:eastAsia="メイリオ"/>
          <w:color w:val="000000"/>
          <w:szCs w:val="28"/>
          <w:u w:color="000000"/>
        </w:rPr>
      </w:pPr>
      <w:r w:rsidRPr="00A44404">
        <w:rPr>
          <w:noProof/>
          <w:lang w:eastAsia="ja-JP"/>
        </w:rPr>
        <w:lastRenderedPageBreak/>
        <w:drawing>
          <wp:anchor distT="0" distB="0" distL="114300" distR="114300" simplePos="0" relativeHeight="251659264" behindDoc="0" locked="0" layoutInCell="1" allowOverlap="1" wp14:anchorId="3ED7D9FD" wp14:editId="1B0FA327">
            <wp:simplePos x="0" y="0"/>
            <wp:positionH relativeFrom="column">
              <wp:posOffset>-114300</wp:posOffset>
            </wp:positionH>
            <wp:positionV relativeFrom="paragraph">
              <wp:posOffset>-24130</wp:posOffset>
            </wp:positionV>
            <wp:extent cx="6370955" cy="2951480"/>
            <wp:effectExtent l="0" t="0" r="4445" b="0"/>
            <wp:wrapTight wrapText="bothSides">
              <wp:wrapPolygon edited="0">
                <wp:start x="0" y="0"/>
                <wp:lineTo x="0" y="21377"/>
                <wp:lineTo x="21529" y="21377"/>
                <wp:lineTo x="21529" y="0"/>
                <wp:lineTo x="0" y="0"/>
              </wp:wrapPolygon>
            </wp:wrapTight>
            <wp:docPr id="24" name="図 24" descr="Macintosh HD:Users:Masahiro:Documents:国立感染症研究所:国立感染症研究所 (大学院):基礎研究 論文:Ocular candidiasis:論文 投稿原稿他:Figure:TIFF:Supplementary Figure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sahiro:Documents:国立感染症研究所:国立感染症研究所 (大学院):基礎研究 論文:Ocular candidiasis:論文 投稿原稿他:Figure:TIFF:Supplementary Figure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8657" r="11330" b="66172"/>
                    <a:stretch/>
                  </pic:blipFill>
                  <pic:spPr bwMode="auto">
                    <a:xfrm>
                      <a:off x="0" y="0"/>
                      <a:ext cx="637095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404">
        <w:rPr>
          <w:rFonts w:eastAsia="メイリオ"/>
          <w:b/>
          <w:color w:val="000000"/>
          <w:szCs w:val="28"/>
        </w:rPr>
        <w:t>Supplementary Figure 1. Serum β-D-glucan did not differ significantly between ocula</w:t>
      </w:r>
      <w:r w:rsidRPr="00A44404">
        <w:rPr>
          <w:b/>
          <w:color w:val="000000"/>
        </w:rPr>
        <w:t>r c</w:t>
      </w:r>
      <w:r w:rsidRPr="00A44404">
        <w:rPr>
          <w:rFonts w:eastAsia="メイリオ"/>
          <w:b/>
          <w:color w:val="000000"/>
          <w:szCs w:val="28"/>
        </w:rPr>
        <w:t>andidiasis and non-ocular</w:t>
      </w:r>
      <w:r w:rsidRPr="00A44404">
        <w:rPr>
          <w:b/>
        </w:rPr>
        <w:t xml:space="preserve"> </w:t>
      </w:r>
      <w:r w:rsidRPr="00A44404">
        <w:rPr>
          <w:rFonts w:eastAsia="メイリオ"/>
          <w:b/>
          <w:color w:val="000000"/>
          <w:szCs w:val="28"/>
        </w:rPr>
        <w:t>candidiasis groups.</w:t>
      </w:r>
      <w:r>
        <w:rPr>
          <w:rFonts w:eastAsia="メイリオ"/>
          <w:b/>
          <w:color w:val="000000"/>
          <w:szCs w:val="28"/>
        </w:rPr>
        <w:t xml:space="preserve">  </w:t>
      </w:r>
      <w:r>
        <w:rPr>
          <w:rFonts w:eastAsia="メイリオ"/>
          <w:color w:val="000000"/>
          <w:szCs w:val="28"/>
          <w:u w:color="000000"/>
        </w:rPr>
        <w:t xml:space="preserve">(A, B) </w:t>
      </w:r>
      <w:r w:rsidRPr="00A06A27">
        <w:rPr>
          <w:rFonts w:eastAsia="メイリオ"/>
          <w:color w:val="000000"/>
          <w:szCs w:val="28"/>
          <w:u w:color="000000"/>
        </w:rPr>
        <w:t xml:space="preserve">The serum BDG values of ocular candidiasis and non-ocular candidiasis groups </w:t>
      </w:r>
      <w:r>
        <w:rPr>
          <w:rFonts w:eastAsia="メイリオ"/>
          <w:color w:val="000000"/>
          <w:szCs w:val="28"/>
          <w:u w:color="000000"/>
        </w:rPr>
        <w:t xml:space="preserve">including </w:t>
      </w:r>
      <w:r w:rsidRPr="00A06A27">
        <w:rPr>
          <w:rFonts w:eastAsia="メイリオ"/>
          <w:color w:val="000000"/>
          <w:szCs w:val="28"/>
          <w:u w:color="000000"/>
        </w:rPr>
        <w:t xml:space="preserve">all </w:t>
      </w:r>
      <w:r w:rsidRPr="00A06A27">
        <w:rPr>
          <w:rFonts w:eastAsia="メイリオ"/>
          <w:i/>
          <w:iCs/>
          <w:color w:val="000000"/>
          <w:szCs w:val="28"/>
          <w:u w:color="000000"/>
        </w:rPr>
        <w:t xml:space="preserve">Candida </w:t>
      </w:r>
      <w:r w:rsidRPr="00A06A27">
        <w:rPr>
          <w:rFonts w:eastAsia="メイリオ"/>
          <w:color w:val="000000"/>
          <w:szCs w:val="28"/>
          <w:u w:color="000000"/>
        </w:rPr>
        <w:t xml:space="preserve">species (A) or </w:t>
      </w:r>
      <w:r>
        <w:rPr>
          <w:rFonts w:eastAsia="メイリオ"/>
          <w:color w:val="000000"/>
          <w:szCs w:val="28"/>
          <w:u w:color="000000"/>
        </w:rPr>
        <w:t xml:space="preserve">just those with </w:t>
      </w:r>
      <w:r w:rsidRPr="00A06A27">
        <w:rPr>
          <w:rFonts w:eastAsia="メイリオ"/>
          <w:i/>
          <w:iCs/>
          <w:color w:val="000000"/>
          <w:szCs w:val="28"/>
          <w:u w:color="000000"/>
        </w:rPr>
        <w:t>C</w:t>
      </w:r>
      <w:r w:rsidRPr="009D5F1C">
        <w:rPr>
          <w:color w:val="000000"/>
          <w:u w:color="000000"/>
        </w:rPr>
        <w:t>.</w:t>
      </w:r>
      <w:r>
        <w:rPr>
          <w:rFonts w:eastAsia="メイリオ"/>
          <w:i/>
          <w:iCs/>
          <w:color w:val="000000"/>
          <w:szCs w:val="28"/>
          <w:u w:color="000000"/>
        </w:rPr>
        <w:t> </w:t>
      </w:r>
      <w:r w:rsidRPr="00A06A27">
        <w:rPr>
          <w:rFonts w:eastAsia="メイリオ"/>
          <w:i/>
          <w:iCs/>
          <w:color w:val="000000"/>
          <w:szCs w:val="28"/>
          <w:u w:color="000000"/>
        </w:rPr>
        <w:t>albicans</w:t>
      </w:r>
      <w:r w:rsidRPr="00A06A27">
        <w:rPr>
          <w:rFonts w:eastAsia="メイリオ"/>
          <w:color w:val="000000"/>
          <w:szCs w:val="28"/>
          <w:u w:color="000000"/>
        </w:rPr>
        <w:t xml:space="preserve"> bloodstream infection (B). </w:t>
      </w:r>
      <w:r>
        <w:rPr>
          <w:rFonts w:eastAsia="メイリオ"/>
          <w:color w:val="000000"/>
          <w:szCs w:val="28"/>
          <w:u w:color="000000"/>
        </w:rPr>
        <w:t xml:space="preserve"> </w:t>
      </w:r>
      <w:r w:rsidRPr="00A06A27">
        <w:rPr>
          <w:rFonts w:eastAsia="メイリオ"/>
          <w:color w:val="000000"/>
          <w:szCs w:val="28"/>
          <w:u w:color="000000"/>
        </w:rPr>
        <w:t>All results are expressed as mean</w:t>
      </w:r>
      <w:r>
        <w:rPr>
          <w:rFonts w:eastAsia="メイリオ"/>
          <w:color w:val="000000"/>
          <w:szCs w:val="28"/>
          <w:u w:color="000000"/>
        </w:rPr>
        <w:t> </w:t>
      </w:r>
      <w:r>
        <w:rPr>
          <w:rFonts w:ascii="Calibri" w:eastAsia="メイリオ" w:hAnsi="Calibri"/>
          <w:color w:val="000000"/>
          <w:szCs w:val="28"/>
          <w:u w:color="000000"/>
        </w:rPr>
        <w:t>±</w:t>
      </w:r>
      <w:r>
        <w:rPr>
          <w:rFonts w:eastAsia="メイリオ"/>
          <w:color w:val="000000"/>
          <w:szCs w:val="28"/>
          <w:u w:color="000000"/>
        </w:rPr>
        <w:t> </w:t>
      </w:r>
      <w:r w:rsidRPr="00A06A27">
        <w:rPr>
          <w:rFonts w:eastAsia="メイリオ"/>
          <w:color w:val="000000"/>
          <w:szCs w:val="28"/>
          <w:u w:color="000000"/>
        </w:rPr>
        <w:t xml:space="preserve">standard error of the mean. </w:t>
      </w:r>
      <w:r>
        <w:rPr>
          <w:rFonts w:eastAsia="メイリオ"/>
          <w:color w:val="000000"/>
          <w:szCs w:val="28"/>
          <w:u w:color="000000"/>
        </w:rPr>
        <w:t xml:space="preserve"> </w:t>
      </w:r>
      <w:r w:rsidRPr="00A06A27">
        <w:rPr>
          <w:rFonts w:eastAsia="メイリオ"/>
          <w:color w:val="000000"/>
          <w:szCs w:val="28"/>
          <w:u w:color="000000"/>
        </w:rPr>
        <w:t>ns</w:t>
      </w:r>
      <w:r>
        <w:rPr>
          <w:rFonts w:eastAsia="メイリオ"/>
          <w:color w:val="000000"/>
          <w:szCs w:val="28"/>
          <w:u w:color="000000"/>
        </w:rPr>
        <w:t>,</w:t>
      </w:r>
      <w:r w:rsidRPr="00A06A27">
        <w:rPr>
          <w:rFonts w:eastAsia="メイリオ"/>
          <w:color w:val="000000"/>
          <w:szCs w:val="28"/>
          <w:u w:color="000000"/>
        </w:rPr>
        <w:t xml:space="preserve"> not significant.</w:t>
      </w:r>
    </w:p>
    <w:p w14:paraId="22EE86E0" w14:textId="01D849EF" w:rsidR="001F156A" w:rsidRDefault="001F156A">
      <w:pPr>
        <w:spacing w:before="0" w:after="200" w:line="276" w:lineRule="auto"/>
        <w:rPr>
          <w:rFonts w:eastAsia="メイリオ"/>
          <w:color w:val="000000"/>
          <w:szCs w:val="28"/>
          <w:u w:color="000000"/>
        </w:rPr>
      </w:pPr>
      <w:r>
        <w:rPr>
          <w:rFonts w:eastAsia="メイリオ"/>
          <w:color w:val="000000"/>
          <w:szCs w:val="28"/>
          <w:u w:color="000000"/>
        </w:rPr>
        <w:br w:type="page"/>
      </w:r>
    </w:p>
    <w:p w14:paraId="72B82C22" w14:textId="2728B638" w:rsidR="001F156A" w:rsidRPr="004177A9" w:rsidRDefault="001F156A" w:rsidP="001F156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contextualSpacing/>
        <w:rPr>
          <w:rFonts w:eastAsia="メイリオ"/>
          <w:szCs w:val="28"/>
          <w:u w:color="000000"/>
        </w:rPr>
      </w:pPr>
      <w:r w:rsidRPr="004177A9">
        <w:rPr>
          <w:rFonts w:eastAsia="メイリオ"/>
          <w:noProof/>
          <w:szCs w:val="28"/>
          <w:u w:color="000000"/>
          <w:lang w:eastAsia="ja-JP"/>
        </w:rPr>
        <w:lastRenderedPageBreak/>
        <w:drawing>
          <wp:anchor distT="0" distB="0" distL="114300" distR="114300" simplePos="0" relativeHeight="251665408" behindDoc="0" locked="0" layoutInCell="1" allowOverlap="1" wp14:anchorId="710EEED3" wp14:editId="09B470E5">
            <wp:simplePos x="0" y="0"/>
            <wp:positionH relativeFrom="column">
              <wp:posOffset>-342900</wp:posOffset>
            </wp:positionH>
            <wp:positionV relativeFrom="paragraph">
              <wp:posOffset>-24130</wp:posOffset>
            </wp:positionV>
            <wp:extent cx="691324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507" y="21382"/>
                <wp:lineTo x="21507" y="0"/>
                <wp:lineTo x="0" y="0"/>
              </wp:wrapPolygon>
            </wp:wrapTight>
            <wp:docPr id="3" name="図 3" descr="Macintosh HD:Users:Masahiro:Documents:国立感染症研究所:国立感染症研究所 (大学院):基礎研究 論文:Ocular candidiasis:論文 投稿原稿他:Figure:TIFF:Supplementary Fig. 2, revis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sahiro:Documents:国立感染症研究所:国立感染症研究所 (大学院):基礎研究 論文:Ocular candidiasis:論文 投稿原稿他:Figure:TIFF:Supplementary Fig. 2, revised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8" t="9387" r="11767" b="71078"/>
                    <a:stretch/>
                  </pic:blipFill>
                  <pic:spPr bwMode="auto">
                    <a:xfrm>
                      <a:off x="0" y="0"/>
                      <a:ext cx="691324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7A9">
        <w:rPr>
          <w:b/>
          <w:u w:val="single"/>
        </w:rPr>
        <w:t>Supplementary Figure 2</w:t>
      </w:r>
      <w:r w:rsidRPr="004177A9">
        <w:rPr>
          <w:rFonts w:eastAsia="メイリオ"/>
          <w:b/>
          <w:szCs w:val="28"/>
          <w:u w:val="single"/>
        </w:rPr>
        <w:t>.</w:t>
      </w:r>
      <w:r w:rsidRPr="004177A9">
        <w:rPr>
          <w:rFonts w:eastAsia="メイリオ"/>
          <w:i/>
          <w:iCs/>
          <w:szCs w:val="28"/>
        </w:rPr>
        <w:t xml:space="preserve"> </w:t>
      </w:r>
      <w:r w:rsidRPr="004177A9">
        <w:rPr>
          <w:rFonts w:eastAsia="メイリオ"/>
          <w:iCs/>
          <w:szCs w:val="28"/>
        </w:rPr>
        <w:t xml:space="preserve">(A−D) </w:t>
      </w:r>
      <w:r w:rsidRPr="004177A9">
        <w:rPr>
          <w:rFonts w:eastAsia="メイリオ"/>
          <w:szCs w:val="28"/>
          <w:u w:color="000000"/>
        </w:rPr>
        <w:t xml:space="preserve">Histopathological analysis of mouse eyes infected by </w:t>
      </w:r>
      <w:r w:rsidRPr="004177A9">
        <w:rPr>
          <w:rFonts w:eastAsia="メイリオ"/>
          <w:i/>
          <w:iCs/>
          <w:szCs w:val="28"/>
          <w:u w:color="000000"/>
        </w:rPr>
        <w:t>C</w:t>
      </w:r>
      <w:r w:rsidRPr="004177A9">
        <w:rPr>
          <w:u w:color="000000"/>
        </w:rPr>
        <w:t>.</w:t>
      </w:r>
      <w:r w:rsidRPr="004177A9">
        <w:rPr>
          <w:rFonts w:eastAsia="メイリオ"/>
          <w:i/>
          <w:iCs/>
          <w:szCs w:val="28"/>
          <w:u w:color="000000"/>
        </w:rPr>
        <w:t> albicans</w:t>
      </w:r>
      <w:r w:rsidRPr="004177A9">
        <w:rPr>
          <w:rFonts w:eastAsia="メイリオ"/>
          <w:szCs w:val="28"/>
          <w:u w:color="000000"/>
        </w:rPr>
        <w:t xml:space="preserve"> reference strain (A), </w:t>
      </w:r>
      <w:r w:rsidRPr="004177A9">
        <w:rPr>
          <w:rFonts w:eastAsia="メイリオ"/>
          <w:i/>
          <w:iCs/>
          <w:szCs w:val="28"/>
          <w:u w:color="000000"/>
        </w:rPr>
        <w:t>C</w:t>
      </w:r>
      <w:r w:rsidRPr="004177A9">
        <w:rPr>
          <w:u w:color="000000"/>
        </w:rPr>
        <w:t>.</w:t>
      </w:r>
      <w:r w:rsidRPr="004177A9">
        <w:rPr>
          <w:rFonts w:eastAsia="メイリオ"/>
          <w:i/>
          <w:iCs/>
          <w:szCs w:val="28"/>
          <w:u w:color="000000"/>
        </w:rPr>
        <w:t> albicans</w:t>
      </w:r>
      <w:r w:rsidRPr="004177A9">
        <w:rPr>
          <w:rFonts w:eastAsia="メイリオ"/>
          <w:szCs w:val="28"/>
          <w:u w:color="000000"/>
        </w:rPr>
        <w:t xml:space="preserve"> clinically isolated strain (B), </w:t>
      </w:r>
      <w:r w:rsidRPr="004177A9">
        <w:rPr>
          <w:rFonts w:eastAsia="メイリオ"/>
          <w:i/>
          <w:iCs/>
          <w:szCs w:val="28"/>
          <w:u w:color="000000"/>
        </w:rPr>
        <w:t>C</w:t>
      </w:r>
      <w:r w:rsidRPr="004177A9">
        <w:rPr>
          <w:u w:color="000000"/>
        </w:rPr>
        <w:t>.</w:t>
      </w:r>
      <w:r w:rsidRPr="004177A9">
        <w:rPr>
          <w:rFonts w:eastAsia="メイリオ"/>
          <w:i/>
          <w:iCs/>
          <w:szCs w:val="28"/>
          <w:u w:color="000000"/>
        </w:rPr>
        <w:t> glabrata</w:t>
      </w:r>
      <w:r w:rsidRPr="004177A9">
        <w:rPr>
          <w:rFonts w:eastAsia="メイリオ"/>
          <w:szCs w:val="28"/>
          <w:u w:color="000000"/>
        </w:rPr>
        <w:t xml:space="preserve"> clinically isolated strain, and </w:t>
      </w:r>
      <w:r w:rsidRPr="004177A9">
        <w:rPr>
          <w:rFonts w:eastAsia="メイリオ"/>
          <w:i/>
          <w:iCs/>
          <w:szCs w:val="28"/>
          <w:u w:color="000000"/>
        </w:rPr>
        <w:t>C</w:t>
      </w:r>
      <w:r w:rsidRPr="004177A9">
        <w:rPr>
          <w:u w:color="000000"/>
        </w:rPr>
        <w:t>.</w:t>
      </w:r>
      <w:r w:rsidRPr="004177A9">
        <w:rPr>
          <w:rFonts w:eastAsia="メイリオ"/>
          <w:i/>
          <w:iCs/>
          <w:szCs w:val="28"/>
          <w:u w:color="000000"/>
        </w:rPr>
        <w:t> parapsilosis</w:t>
      </w:r>
      <w:r w:rsidRPr="004177A9">
        <w:rPr>
          <w:rFonts w:eastAsia="メイリオ"/>
          <w:szCs w:val="28"/>
          <w:u w:color="000000"/>
        </w:rPr>
        <w:t xml:space="preserve"> clinically isolated strain.</w:t>
      </w:r>
      <w:r w:rsidR="006149A3" w:rsidRPr="004177A9">
        <w:rPr>
          <w:rFonts w:eastAsia="メイリオ"/>
          <w:szCs w:val="28"/>
          <w:u w:color="000000"/>
        </w:rPr>
        <w:t xml:space="preserve">  Left panel of each slides shows middle magnification of Hematoxylin</w:t>
      </w:r>
      <w:r w:rsidR="00BF7E4F" w:rsidRPr="004177A9">
        <w:rPr>
          <w:rFonts w:eastAsia="メイリオ"/>
          <w:szCs w:val="28"/>
          <w:u w:color="000000"/>
        </w:rPr>
        <w:t xml:space="preserve"> &amp; </w:t>
      </w:r>
      <w:r w:rsidR="006149A3" w:rsidRPr="004177A9">
        <w:rPr>
          <w:rFonts w:eastAsia="メイリオ"/>
          <w:szCs w:val="28"/>
          <w:u w:color="000000"/>
        </w:rPr>
        <w:t>eosin stain and right panel shows high magnification of Gomori methenamine silver stain.</w:t>
      </w:r>
    </w:p>
    <w:p w14:paraId="77DBDA20" w14:textId="127C1C08" w:rsidR="006E4F6A" w:rsidRPr="004177A9" w:rsidRDefault="006E4F6A" w:rsidP="00A44404">
      <w:pPr>
        <w:rPr>
          <w:rFonts w:eastAsia="メイリオ"/>
          <w:szCs w:val="28"/>
          <w:u w:color="000000"/>
        </w:rPr>
      </w:pPr>
    </w:p>
    <w:p w14:paraId="5D59663F" w14:textId="5A988725" w:rsidR="006E4F6A" w:rsidRDefault="006E4F6A">
      <w:pPr>
        <w:spacing w:before="0" w:after="200" w:line="276" w:lineRule="auto"/>
        <w:rPr>
          <w:rFonts w:eastAsia="メイリオ"/>
          <w:color w:val="000000"/>
          <w:szCs w:val="28"/>
          <w:u w:color="000000"/>
        </w:rPr>
      </w:pPr>
      <w:r>
        <w:rPr>
          <w:rFonts w:eastAsia="メイリオ"/>
          <w:color w:val="000000"/>
          <w:szCs w:val="28"/>
          <w:u w:color="000000"/>
        </w:rPr>
        <w:br w:type="page"/>
      </w:r>
    </w:p>
    <w:p w14:paraId="503A0FC1" w14:textId="77C06819" w:rsidR="00A44404" w:rsidRPr="006E4F6A" w:rsidRDefault="006E4F6A" w:rsidP="006E4F6A">
      <w:pPr>
        <w:rPr>
          <w:rFonts w:eastAsia="メイリオ"/>
          <w:b/>
          <w:color w:val="000000"/>
          <w:szCs w:val="28"/>
        </w:rPr>
      </w:pPr>
      <w:r>
        <w:rPr>
          <w:rFonts w:cs="Times New Roman"/>
          <w:b/>
          <w:noProof/>
          <w:lang w:eastAsia="ja-JP"/>
        </w:rPr>
        <w:lastRenderedPageBreak/>
        <w:drawing>
          <wp:anchor distT="0" distB="0" distL="114300" distR="114300" simplePos="0" relativeHeight="251663360" behindDoc="0" locked="0" layoutInCell="1" allowOverlap="1" wp14:anchorId="0DB003D5" wp14:editId="5C04419F">
            <wp:simplePos x="0" y="0"/>
            <wp:positionH relativeFrom="column">
              <wp:posOffset>0</wp:posOffset>
            </wp:positionH>
            <wp:positionV relativeFrom="paragraph">
              <wp:posOffset>-113665</wp:posOffset>
            </wp:positionV>
            <wp:extent cx="6172200" cy="4661535"/>
            <wp:effectExtent l="0" t="0" r="0" b="12065"/>
            <wp:wrapTight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ight>
            <wp:docPr id="2" name="図 2" descr="Macintosh HD:Users:Masahiro:Documents:国立感染症研究所:国立感染症研究所 (大学院):基礎研究 論文:Ocular candidiasis:論文 投稿原稿他:Figure:TIFF:Supplementary Figure2, revis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sahiro:Documents:国立感染症研究所:国立感染症研究所 (大学院):基礎研究 論文:Ocular candidiasis:論文 投稿原稿他:Figure:TIFF:Supplementary Figure2, revised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8" t="8727" r="12919" b="51125"/>
                    <a:stretch/>
                  </pic:blipFill>
                  <pic:spPr bwMode="auto">
                    <a:xfrm>
                      <a:off x="0" y="0"/>
                      <a:ext cx="617220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04" w:rsidRPr="00A44404">
        <w:rPr>
          <w:rFonts w:eastAsia="メイリオ" w:cs="Times New Roman"/>
          <w:b/>
          <w:color w:val="000000"/>
          <w:szCs w:val="28"/>
        </w:rPr>
        <w:t xml:space="preserve">Supplementary Figure </w:t>
      </w:r>
      <w:r w:rsidR="001F156A" w:rsidRPr="004177A9">
        <w:rPr>
          <w:rFonts w:eastAsia="メイリオ" w:cs="Times New Roman"/>
          <w:b/>
          <w:szCs w:val="28"/>
        </w:rPr>
        <w:t>3</w:t>
      </w:r>
      <w:r w:rsidR="00A44404" w:rsidRPr="00A44404">
        <w:rPr>
          <w:rFonts w:eastAsia="メイリオ" w:cs="Times New Roman"/>
          <w:b/>
          <w:color w:val="000000"/>
          <w:szCs w:val="28"/>
        </w:rPr>
        <w:t xml:space="preserve">. Inflammatory cytokines were not abundantly induced by </w:t>
      </w:r>
      <w:r w:rsidR="00A44404" w:rsidRPr="00A44404">
        <w:rPr>
          <w:rFonts w:eastAsia="メイリオ" w:cs="Times New Roman"/>
          <w:b/>
          <w:i/>
          <w:iCs/>
          <w:color w:val="000000"/>
          <w:szCs w:val="28"/>
        </w:rPr>
        <w:t>C</w:t>
      </w:r>
      <w:r w:rsidR="00A44404" w:rsidRPr="00A44404">
        <w:rPr>
          <w:rFonts w:cs="Times New Roman"/>
          <w:b/>
          <w:color w:val="000000"/>
        </w:rPr>
        <w:t>.</w:t>
      </w:r>
      <w:r w:rsidR="00A44404" w:rsidRPr="00A44404">
        <w:rPr>
          <w:rFonts w:eastAsia="メイリオ" w:cs="Times New Roman"/>
          <w:b/>
          <w:i/>
          <w:iCs/>
          <w:color w:val="000000"/>
          <w:szCs w:val="28"/>
        </w:rPr>
        <w:t> albicans</w:t>
      </w:r>
      <w:r w:rsidR="00A44404" w:rsidRPr="00A44404">
        <w:rPr>
          <w:rFonts w:eastAsia="メイリオ" w:cs="Times New Roman"/>
          <w:b/>
          <w:color w:val="000000"/>
          <w:szCs w:val="28"/>
        </w:rPr>
        <w:t xml:space="preserve"> infection.</w:t>
      </w:r>
      <w:r w:rsidR="00A44404">
        <w:rPr>
          <w:rFonts w:eastAsia="メイリオ" w:cs="Times New Roman"/>
          <w:color w:val="000000"/>
          <w:szCs w:val="28"/>
        </w:rPr>
        <w:t xml:space="preserve">  </w:t>
      </w:r>
      <w:r w:rsidR="00A44404" w:rsidRPr="00A44404">
        <w:rPr>
          <w:rFonts w:eastAsia="メイリオ" w:cs="Times New Roman"/>
          <w:color w:val="000000"/>
          <w:szCs w:val="28"/>
        </w:rPr>
        <w:t>(A, B) The values of ocular IL-12p40, IL-1</w:t>
      </w:r>
      <w:r w:rsidR="00AF022B" w:rsidRPr="00AF022B">
        <w:rPr>
          <w:rFonts w:ascii="Symbol" w:eastAsia="メイリオ" w:hAnsi="Symbol" w:cs="Times New Roman"/>
          <w:color w:val="000000"/>
          <w:szCs w:val="28"/>
        </w:rPr>
        <w:t></w:t>
      </w:r>
      <w:r w:rsidR="00AF022B">
        <w:rPr>
          <w:rFonts w:eastAsia="メイリオ" w:cs="Times New Roman"/>
          <w:color w:val="000000"/>
          <w:szCs w:val="28"/>
        </w:rPr>
        <w:t>, and TNF-</w:t>
      </w:r>
      <w:r w:rsidR="00AF022B" w:rsidRPr="00AF022B">
        <w:rPr>
          <w:rFonts w:ascii="Symbol" w:eastAsia="メイリオ" w:hAnsi="Symbol" w:cs="Times New Roman"/>
          <w:color w:val="000000"/>
          <w:szCs w:val="28"/>
        </w:rPr>
        <w:t></w:t>
      </w:r>
      <w:r w:rsidR="00A44404" w:rsidRPr="00A44404">
        <w:rPr>
          <w:rFonts w:eastAsia="メイリオ" w:cs="Times New Roman"/>
          <w:color w:val="000000"/>
          <w:szCs w:val="28"/>
        </w:rPr>
        <w:t xml:space="preserve"> 3 days after injection of the </w:t>
      </w:r>
      <w:r w:rsidR="00A44404" w:rsidRPr="00A44404">
        <w:rPr>
          <w:rFonts w:eastAsia="メイリオ" w:cs="Times New Roman"/>
          <w:i/>
          <w:iCs/>
          <w:color w:val="000000"/>
          <w:szCs w:val="28"/>
        </w:rPr>
        <w:t>C</w:t>
      </w:r>
      <w:r w:rsidR="00A44404" w:rsidRPr="00A44404">
        <w:rPr>
          <w:rFonts w:cs="Times New Roman"/>
          <w:color w:val="000000"/>
        </w:rPr>
        <w:t>.</w:t>
      </w:r>
      <w:r w:rsidR="00A44404" w:rsidRPr="00A44404">
        <w:rPr>
          <w:rFonts w:eastAsia="メイリオ" w:cs="Times New Roman"/>
          <w:i/>
          <w:iCs/>
          <w:color w:val="000000"/>
          <w:szCs w:val="28"/>
        </w:rPr>
        <w:t> albicans</w:t>
      </w:r>
      <w:r w:rsidR="00A44404" w:rsidRPr="00A44404">
        <w:rPr>
          <w:rFonts w:eastAsia="メイリオ" w:cs="Times New Roman"/>
          <w:color w:val="000000"/>
          <w:szCs w:val="28"/>
        </w:rPr>
        <w:t xml:space="preserve"> strain (A) or clinically isolated strain (B).  Ocular cytokine and chemokine levels are expressed in pg/mouse.  All results are expressed as mean ± standard error of the mean from three independent experiments, each including 17 tissue samples per group (corresponding with Figure 2A).  ns, not significant; * </w:t>
      </w:r>
      <w:r w:rsidR="00A44404" w:rsidRPr="00A44404">
        <w:rPr>
          <w:rFonts w:cs="Times New Roman"/>
          <w:i/>
          <w:color w:val="000000"/>
        </w:rPr>
        <w:t>P</w:t>
      </w:r>
      <w:r w:rsidR="00A44404" w:rsidRPr="00A44404">
        <w:rPr>
          <w:rFonts w:eastAsia="メイリオ" w:cs="Times New Roman"/>
          <w:color w:val="000000"/>
          <w:szCs w:val="28"/>
        </w:rPr>
        <w:t xml:space="preserve"> &lt; .05; *** </w:t>
      </w:r>
      <w:r w:rsidR="00A44404" w:rsidRPr="00A44404">
        <w:rPr>
          <w:rFonts w:cs="Times New Roman"/>
          <w:i/>
          <w:color w:val="000000"/>
        </w:rPr>
        <w:t>P</w:t>
      </w:r>
      <w:r w:rsidR="00A44404" w:rsidRPr="00A44404">
        <w:rPr>
          <w:rFonts w:eastAsia="メイリオ" w:cs="Times New Roman"/>
          <w:i/>
          <w:color w:val="000000"/>
          <w:szCs w:val="28"/>
        </w:rPr>
        <w:t> </w:t>
      </w:r>
      <w:r w:rsidR="00A44404" w:rsidRPr="00A44404">
        <w:rPr>
          <w:rFonts w:eastAsia="メイリオ" w:cs="Times New Roman"/>
          <w:color w:val="000000"/>
          <w:szCs w:val="28"/>
        </w:rPr>
        <w:t xml:space="preserve">&lt; .001; **** </w:t>
      </w:r>
      <w:r w:rsidR="00A44404" w:rsidRPr="00A44404">
        <w:rPr>
          <w:rFonts w:cs="Times New Roman"/>
          <w:i/>
          <w:color w:val="000000"/>
        </w:rPr>
        <w:t>P</w:t>
      </w:r>
      <w:r w:rsidR="00A44404" w:rsidRPr="00A44404">
        <w:rPr>
          <w:rFonts w:eastAsia="メイリオ" w:cs="Times New Roman"/>
          <w:color w:val="000000"/>
          <w:szCs w:val="28"/>
        </w:rPr>
        <w:t> &lt; .0001.</w:t>
      </w:r>
    </w:p>
    <w:p w14:paraId="5E7B4457" w14:textId="77777777" w:rsidR="00A44404" w:rsidRPr="00847C0D" w:rsidRDefault="00A44404" w:rsidP="00A44404">
      <w:pPr>
        <w:rPr>
          <w:b/>
        </w:rPr>
      </w:pPr>
      <w:r w:rsidRPr="00847C0D">
        <w:rPr>
          <w:b/>
        </w:rPr>
        <w:br w:type="page"/>
      </w:r>
    </w:p>
    <w:p w14:paraId="61413623" w14:textId="35017ABB" w:rsidR="00A44404" w:rsidRPr="00A44404" w:rsidRDefault="00A44404" w:rsidP="00A4440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eastAsia="メイリオ"/>
          <w:color w:val="000000"/>
        </w:rPr>
      </w:pPr>
      <w:r w:rsidRPr="00A44404">
        <w:rPr>
          <w:b/>
          <w:noProof/>
          <w:lang w:eastAsia="ja-JP"/>
        </w:rPr>
        <w:lastRenderedPageBreak/>
        <w:drawing>
          <wp:anchor distT="0" distB="0" distL="114300" distR="114300" simplePos="0" relativeHeight="251661312" behindDoc="0" locked="0" layoutInCell="1" allowOverlap="1" wp14:anchorId="2196C705" wp14:editId="5FD4693C">
            <wp:simplePos x="0" y="0"/>
            <wp:positionH relativeFrom="column">
              <wp:posOffset>-114300</wp:posOffset>
            </wp:positionH>
            <wp:positionV relativeFrom="paragraph">
              <wp:posOffset>-138430</wp:posOffset>
            </wp:positionV>
            <wp:extent cx="6172200" cy="5390515"/>
            <wp:effectExtent l="0" t="0" r="0" b="0"/>
            <wp:wrapTight wrapText="bothSides">
              <wp:wrapPolygon edited="0">
                <wp:start x="0" y="0"/>
                <wp:lineTo x="0" y="21475"/>
                <wp:lineTo x="21511" y="21475"/>
                <wp:lineTo x="21511" y="0"/>
                <wp:lineTo x="0" y="0"/>
              </wp:wrapPolygon>
            </wp:wrapTight>
            <wp:docPr id="27" name="図 27" descr="Macintosh HD:Users:Masahiro:Documents:国立感染症研究所:国立感染症研究所 (大学院):基礎研究 論文:Ocular candidiasis:論文 投稿原稿他:Figure:TIFF:Supplementary Figure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Masahiro:Documents:国立感染症研究所:国立感染症研究所 (大学院):基礎研究 論文:Ocular candidiasis:論文 投稿原稿他:Figure:TIFF:Supplementary Figure3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3" t="8524" r="12648" b="44597"/>
                    <a:stretch/>
                  </pic:blipFill>
                  <pic:spPr bwMode="auto">
                    <a:xfrm>
                      <a:off x="0" y="0"/>
                      <a:ext cx="617220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404">
        <w:rPr>
          <w:rFonts w:eastAsia="メイリオ"/>
          <w:b/>
          <w:color w:val="000000"/>
          <w:szCs w:val="28"/>
        </w:rPr>
        <w:t xml:space="preserve">Supplementary Figure </w:t>
      </w:r>
      <w:r w:rsidR="001F156A" w:rsidRPr="004177A9">
        <w:rPr>
          <w:rFonts w:eastAsia="メイリオ" w:cs="Times New Roman"/>
          <w:b/>
          <w:szCs w:val="28"/>
        </w:rPr>
        <w:t>4</w:t>
      </w:r>
      <w:r w:rsidRPr="00A44404">
        <w:rPr>
          <w:rFonts w:eastAsia="メイリオ"/>
          <w:b/>
          <w:color w:val="000000"/>
          <w:szCs w:val="28"/>
        </w:rPr>
        <w:t xml:space="preserve">. There were few positive relationships between ocular non-albicans </w:t>
      </w:r>
      <w:r w:rsidRPr="00A44404">
        <w:rPr>
          <w:rFonts w:eastAsia="メイリオ"/>
          <w:b/>
          <w:i/>
          <w:color w:val="000000"/>
          <w:szCs w:val="28"/>
        </w:rPr>
        <w:t>Candida</w:t>
      </w:r>
      <w:r w:rsidRPr="00A44404">
        <w:rPr>
          <w:rFonts w:eastAsia="メイリオ"/>
          <w:b/>
          <w:color w:val="000000"/>
          <w:szCs w:val="28"/>
        </w:rPr>
        <w:t xml:space="preserve"> burdens and most inflammatory cytokine or chemokine levels.</w:t>
      </w:r>
      <w:r w:rsidRPr="00A44404">
        <w:rPr>
          <w:rFonts w:eastAsia="メイリオ"/>
          <w:color w:val="000000"/>
        </w:rPr>
        <w:t xml:space="preserve">  (A, B) Relationships between ocular </w:t>
      </w:r>
      <w:r w:rsidRPr="00A44404">
        <w:rPr>
          <w:rFonts w:eastAsia="メイリオ"/>
          <w:i/>
          <w:iCs/>
          <w:color w:val="000000"/>
        </w:rPr>
        <w:t>C</w:t>
      </w:r>
      <w:r w:rsidRPr="00A44404">
        <w:rPr>
          <w:color w:val="000000"/>
        </w:rPr>
        <w:t>.</w:t>
      </w:r>
      <w:r w:rsidRPr="00A44404">
        <w:rPr>
          <w:rFonts w:eastAsia="メイリオ"/>
          <w:i/>
          <w:iCs/>
          <w:color w:val="000000"/>
        </w:rPr>
        <w:t> parapsilosis</w:t>
      </w:r>
      <w:r w:rsidRPr="00A44404">
        <w:rPr>
          <w:rFonts w:eastAsia="メイリオ"/>
          <w:color w:val="000000"/>
        </w:rPr>
        <w:t xml:space="preserve"> burden and IL-6, CXCL1/KC, CXCL2/MIP-2, and CCL2/MCP-1 3 days after injection of the reference strain (A) or clinically isolated strain (B).  (C, D) Relationships between ocular </w:t>
      </w:r>
      <w:r w:rsidRPr="00A44404">
        <w:rPr>
          <w:rFonts w:eastAsia="メイリオ"/>
          <w:i/>
          <w:color w:val="000000"/>
        </w:rPr>
        <w:t>C</w:t>
      </w:r>
      <w:r w:rsidRPr="00A44404">
        <w:rPr>
          <w:rFonts w:eastAsia="メイリオ"/>
          <w:color w:val="000000"/>
        </w:rPr>
        <w:t>.</w:t>
      </w:r>
      <w:r w:rsidRPr="00A44404">
        <w:rPr>
          <w:rFonts w:eastAsia="メイリオ"/>
          <w:i/>
          <w:color w:val="000000"/>
        </w:rPr>
        <w:t> glabrata</w:t>
      </w:r>
      <w:r w:rsidRPr="00A44404">
        <w:rPr>
          <w:rFonts w:eastAsia="メイリオ"/>
          <w:color w:val="000000"/>
        </w:rPr>
        <w:t xml:space="preserve"> burden and these same cytokines or chemokines 3 days after injection of the reference strain (C) or clinically isolated strain (D).  Ocular fungal burden is shown as Log CFU/2 eyes and ocular cytokine or chemokine level as Log cytokine or chemokine concentration in pg/mouse.  The results of three independent experiments were pooled for analysis, each with 17 tissue samples.  “r” is the Pearson’s correlation coefficient.  **** </w:t>
      </w:r>
      <w:r w:rsidRPr="00A44404">
        <w:rPr>
          <w:i/>
          <w:color w:val="000000"/>
        </w:rPr>
        <w:t>P</w:t>
      </w:r>
      <w:r w:rsidRPr="00A44404">
        <w:rPr>
          <w:rFonts w:eastAsia="メイリオ"/>
          <w:color w:val="000000"/>
        </w:rPr>
        <w:t> &lt; .0001.</w:t>
      </w:r>
    </w:p>
    <w:p w14:paraId="397B47D5" w14:textId="77777777" w:rsidR="00A44404" w:rsidRPr="00873867" w:rsidRDefault="00A44404" w:rsidP="00A44404">
      <w:r w:rsidRPr="00873867">
        <w:br w:type="page"/>
      </w:r>
    </w:p>
    <w:p w14:paraId="0F6BA7DE" w14:textId="14CE38AB" w:rsidR="00A44404" w:rsidRPr="00A44404" w:rsidRDefault="006E4F6A" w:rsidP="00A44404">
      <w:pPr>
        <w:rPr>
          <w:b/>
        </w:rPr>
      </w:pPr>
      <w:r>
        <w:rPr>
          <w:rFonts w:eastAsia="メイリオ"/>
          <w:b/>
          <w:noProof/>
          <w:color w:val="000000"/>
          <w:szCs w:val="28"/>
          <w:lang w:eastAsia="ja-JP"/>
        </w:rPr>
        <w:lastRenderedPageBreak/>
        <w:drawing>
          <wp:anchor distT="0" distB="0" distL="114300" distR="114300" simplePos="0" relativeHeight="251664384" behindDoc="0" locked="0" layoutInCell="1" allowOverlap="1" wp14:anchorId="6428531F" wp14:editId="1343D355">
            <wp:simplePos x="0" y="0"/>
            <wp:positionH relativeFrom="column">
              <wp:posOffset>-22225</wp:posOffset>
            </wp:positionH>
            <wp:positionV relativeFrom="paragraph">
              <wp:posOffset>-138430</wp:posOffset>
            </wp:positionV>
            <wp:extent cx="6194425" cy="2014220"/>
            <wp:effectExtent l="0" t="0" r="3175" b="0"/>
            <wp:wrapTight wrapText="bothSides">
              <wp:wrapPolygon edited="0">
                <wp:start x="0" y="0"/>
                <wp:lineTo x="0" y="21246"/>
                <wp:lineTo x="21523" y="21246"/>
                <wp:lineTo x="21523" y="0"/>
                <wp:lineTo x="0" y="0"/>
              </wp:wrapPolygon>
            </wp:wrapTight>
            <wp:docPr id="4" name="図 4" descr="Macintosh HD:Users:Masahiro:Documents:国立感染症研究所:国立感染症研究所 (大学院):基礎研究 論文:Ocular candidiasis:論文 投稿原稿他:Figure:TIFF:Supplementary FIgure4, revised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sahiro:Documents:国立感染症研究所:国立感染症研究所 (大学院):基礎研究 論文:Ocular candidiasis:論文 投稿原稿他:Figure:TIFF:Supplementary FIgure4, revised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541" r="12941" b="74252"/>
                    <a:stretch/>
                  </pic:blipFill>
                  <pic:spPr bwMode="auto">
                    <a:xfrm>
                      <a:off x="0" y="0"/>
                      <a:ext cx="619442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04" w:rsidRPr="00A44404">
        <w:rPr>
          <w:rFonts w:eastAsia="メイリオ"/>
          <w:b/>
          <w:color w:val="000000"/>
          <w:szCs w:val="28"/>
        </w:rPr>
        <w:t xml:space="preserve">Supplementary Figure </w:t>
      </w:r>
      <w:r w:rsidR="001F156A" w:rsidRPr="004177A9">
        <w:rPr>
          <w:rFonts w:eastAsia="メイリオ" w:cs="Times New Roman"/>
          <w:b/>
          <w:szCs w:val="28"/>
        </w:rPr>
        <w:t>5</w:t>
      </w:r>
      <w:r w:rsidR="00A44404" w:rsidRPr="00A44404">
        <w:rPr>
          <w:rFonts w:eastAsia="メイリオ"/>
          <w:b/>
          <w:color w:val="000000"/>
          <w:szCs w:val="28"/>
        </w:rPr>
        <w:t xml:space="preserve">. Resident monocytes, but not macrophages, were significantly elevated in the mouse eye during </w:t>
      </w:r>
      <w:r w:rsidR="00A44404" w:rsidRPr="00A44404">
        <w:rPr>
          <w:rFonts w:eastAsia="メイリオ"/>
          <w:b/>
          <w:i/>
          <w:iCs/>
          <w:color w:val="000000"/>
          <w:szCs w:val="28"/>
        </w:rPr>
        <w:t>C</w:t>
      </w:r>
      <w:r w:rsidR="00A44404" w:rsidRPr="00A44404">
        <w:rPr>
          <w:b/>
          <w:color w:val="000000"/>
        </w:rPr>
        <w:t>.</w:t>
      </w:r>
      <w:r w:rsidR="00A44404" w:rsidRPr="00A44404">
        <w:rPr>
          <w:rFonts w:eastAsia="メイリオ"/>
          <w:b/>
          <w:i/>
          <w:iCs/>
          <w:color w:val="000000"/>
          <w:szCs w:val="28"/>
        </w:rPr>
        <w:t> </w:t>
      </w:r>
      <w:r w:rsidR="00A44404" w:rsidRPr="00A44404">
        <w:rPr>
          <w:b/>
          <w:i/>
          <w:color w:val="000000"/>
        </w:rPr>
        <w:t>albicans</w:t>
      </w:r>
      <w:r w:rsidR="00A44404" w:rsidRPr="00A44404">
        <w:rPr>
          <w:b/>
        </w:rPr>
        <w:t xml:space="preserve"> injection </w:t>
      </w:r>
      <w:r w:rsidR="00A44404" w:rsidRPr="00A44404">
        <w:rPr>
          <w:b/>
          <w:color w:val="000000"/>
        </w:rPr>
        <w:t>compared with</w:t>
      </w:r>
      <w:r w:rsidR="00A44404" w:rsidRPr="00A44404">
        <w:rPr>
          <w:rFonts w:eastAsia="メイリオ"/>
          <w:b/>
          <w:color w:val="000000"/>
          <w:szCs w:val="28"/>
        </w:rPr>
        <w:t xml:space="preserve"> non-albicans </w:t>
      </w:r>
      <w:r w:rsidR="00A44404" w:rsidRPr="00A44404">
        <w:rPr>
          <w:rFonts w:eastAsia="メイリオ"/>
          <w:b/>
          <w:i/>
          <w:iCs/>
          <w:color w:val="000000"/>
          <w:szCs w:val="28"/>
        </w:rPr>
        <w:t>Candida</w:t>
      </w:r>
      <w:r w:rsidR="00A44404" w:rsidRPr="00A44404">
        <w:rPr>
          <w:rFonts w:eastAsia="メイリオ"/>
          <w:b/>
          <w:color w:val="000000"/>
          <w:szCs w:val="28"/>
        </w:rPr>
        <w:t xml:space="preserve"> infection.</w:t>
      </w:r>
      <w:r w:rsidR="00A44404" w:rsidRPr="00A44404">
        <w:rPr>
          <w:b/>
        </w:rPr>
        <w:t xml:space="preserve">  </w:t>
      </w:r>
      <w:r w:rsidR="00A44404" w:rsidRPr="00A44404">
        <w:rPr>
          <w:rFonts w:eastAsia="メイリオ"/>
          <w:color w:val="000000"/>
          <w:szCs w:val="28"/>
        </w:rPr>
        <w:t>(A−C) The event counts of (A) ocular resident monocytes (CD11b+ Ly6G− Ly6C− MHC classII−), (B) activated macrophages (CD11b+ Ly6G− Ly6C+ MHC classII+), and (C) resident macrophages (CD11b+ Ly6G− Ly6C− MHC classII+).  Cell numbers are in Log Event counts.  All results are expressed as mean </w:t>
      </w:r>
      <w:r w:rsidR="00A44404" w:rsidRPr="00A44404">
        <w:rPr>
          <w:rFonts w:ascii="Calibri" w:eastAsia="メイリオ" w:hAnsi="Calibri"/>
          <w:color w:val="000000"/>
          <w:szCs w:val="28"/>
        </w:rPr>
        <w:t>±</w:t>
      </w:r>
      <w:r w:rsidR="00A44404" w:rsidRPr="00A44404">
        <w:rPr>
          <w:rFonts w:eastAsia="メイリオ"/>
          <w:color w:val="000000"/>
          <w:szCs w:val="28"/>
        </w:rPr>
        <w:t xml:space="preserve"> standard error of the mean from three independent experiments including 15 tissue samples for the </w:t>
      </w:r>
      <w:r w:rsidR="00A44404" w:rsidRPr="00A44404">
        <w:rPr>
          <w:rFonts w:eastAsia="メイリオ"/>
          <w:i/>
          <w:iCs/>
          <w:color w:val="000000"/>
          <w:szCs w:val="28"/>
        </w:rPr>
        <w:t>C</w:t>
      </w:r>
      <w:r w:rsidR="00A44404" w:rsidRPr="00A44404">
        <w:rPr>
          <w:rFonts w:eastAsia="メイリオ"/>
          <w:iCs/>
          <w:color w:val="000000"/>
          <w:szCs w:val="28"/>
        </w:rPr>
        <w:t>.</w:t>
      </w:r>
      <w:r w:rsidR="00A44404" w:rsidRPr="00A44404">
        <w:rPr>
          <w:rFonts w:eastAsia="メイリオ"/>
          <w:i/>
          <w:iCs/>
          <w:color w:val="000000"/>
          <w:szCs w:val="28"/>
        </w:rPr>
        <w:t> albicans</w:t>
      </w:r>
      <w:r w:rsidR="00A44404" w:rsidRPr="00A44404">
        <w:rPr>
          <w:rFonts w:eastAsia="メイリオ"/>
          <w:color w:val="000000"/>
          <w:szCs w:val="28"/>
        </w:rPr>
        <w:t xml:space="preserve"> group and 14 samples for each non-albicans group.</w:t>
      </w:r>
      <w:r w:rsidR="00A44404" w:rsidRPr="00A44404">
        <w:rPr>
          <w:b/>
        </w:rPr>
        <w:t xml:space="preserve">  </w:t>
      </w:r>
      <w:r w:rsidR="00A44404" w:rsidRPr="00A44404">
        <w:rPr>
          <w:rFonts w:eastAsia="メイリオ"/>
          <w:color w:val="000000"/>
          <w:szCs w:val="28"/>
        </w:rPr>
        <w:t xml:space="preserve">** </w:t>
      </w:r>
      <w:r w:rsidR="00A44404" w:rsidRPr="00A44404">
        <w:rPr>
          <w:i/>
          <w:color w:val="000000"/>
        </w:rPr>
        <w:t>P</w:t>
      </w:r>
      <w:r w:rsidR="00A44404" w:rsidRPr="00A44404">
        <w:rPr>
          <w:rFonts w:eastAsia="メイリオ"/>
          <w:color w:val="000000"/>
          <w:szCs w:val="28"/>
        </w:rPr>
        <w:t xml:space="preserve"> &lt; .01, *** </w:t>
      </w:r>
      <w:r w:rsidR="00A44404" w:rsidRPr="00A44404">
        <w:rPr>
          <w:i/>
          <w:color w:val="000000"/>
        </w:rPr>
        <w:t>P</w:t>
      </w:r>
      <w:r w:rsidR="00A44404" w:rsidRPr="00A44404">
        <w:rPr>
          <w:rFonts w:eastAsia="メイリオ"/>
          <w:color w:val="000000"/>
          <w:szCs w:val="28"/>
        </w:rPr>
        <w:t xml:space="preserve"> &lt; .001, **** </w:t>
      </w:r>
      <w:r w:rsidR="00A44404" w:rsidRPr="00A44404">
        <w:rPr>
          <w:i/>
          <w:color w:val="000000"/>
        </w:rPr>
        <w:t>P</w:t>
      </w:r>
      <w:r w:rsidR="00A44404" w:rsidRPr="00A44404">
        <w:rPr>
          <w:rFonts w:eastAsia="メイリオ"/>
          <w:color w:val="000000"/>
          <w:szCs w:val="28"/>
        </w:rPr>
        <w:t> &lt; .0001.</w:t>
      </w:r>
    </w:p>
    <w:p w14:paraId="7B65BC41" w14:textId="33F8C143" w:rsidR="00DE23E8" w:rsidRPr="00A44404" w:rsidRDefault="00DE23E8" w:rsidP="00A44404">
      <w:pPr>
        <w:rPr>
          <w:b/>
          <w:u w:val="single"/>
        </w:rPr>
      </w:pPr>
    </w:p>
    <w:sectPr w:rsidR="00DE23E8" w:rsidRPr="00A44404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C46A8" w14:textId="77777777" w:rsidR="00271F70" w:rsidRDefault="00271F70" w:rsidP="00117666">
      <w:pPr>
        <w:spacing w:after="0"/>
      </w:pPr>
      <w:r>
        <w:separator/>
      </w:r>
    </w:p>
  </w:endnote>
  <w:endnote w:type="continuationSeparator" w:id="0">
    <w:p w14:paraId="34D8AA33" w14:textId="77777777" w:rsidR="00271F70" w:rsidRDefault="00271F7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1">
    <w:altName w:val="Arial Unicode MS"/>
    <w:panose1 w:val="020B0604020202020204"/>
    <w:charset w:val="80"/>
    <w:family w:val="swiss"/>
    <w:notTrueType/>
    <w:pitch w:val="default"/>
    <w:sig w:usb0="00000001" w:usb1="08070000" w:usb2="00000010" w:usb3="00000000" w:csb0="00020000" w:csb1="00000000"/>
  </w:font>
  <w:font w:name="メイリオ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1F156A" w:rsidRPr="00577C4C" w:rsidRDefault="001F156A">
    <w:pPr>
      <w:rPr>
        <w:color w:val="C0000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1F156A" w:rsidRPr="00577C4C" w:rsidRDefault="001F156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177A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" filled="f" stroked="f" strokeweight=".5pt">
              <v:textbox style="mso-fit-shape-to-text:t">
                <w:txbxContent>
                  <w:p w14:paraId="50BC4D33" w14:textId="77777777" w:rsidR="001F156A" w:rsidRPr="00577C4C" w:rsidRDefault="001F156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177A9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1F156A" w:rsidRPr="00577C4C" w:rsidRDefault="001F156A">
    <w:pPr>
      <w:rPr>
        <w:b/>
        <w:sz w:val="20"/>
        <w:szCs w:val="24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1F156A" w:rsidRPr="00577C4C" w:rsidRDefault="001F156A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177A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" filled="f" stroked="f" strokeweight=".5pt">
              <v:textbox style="mso-fit-shape-to-text:t">
                <w:txbxContent>
                  <w:p w14:paraId="570F0D09" w14:textId="77777777" w:rsidR="001F156A" w:rsidRPr="00577C4C" w:rsidRDefault="001F156A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177A9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51954" w14:textId="77777777" w:rsidR="00271F70" w:rsidRDefault="00271F70" w:rsidP="00117666">
      <w:pPr>
        <w:spacing w:after="0"/>
      </w:pPr>
      <w:r>
        <w:separator/>
      </w:r>
    </w:p>
  </w:footnote>
  <w:footnote w:type="continuationSeparator" w:id="0">
    <w:p w14:paraId="6D9D74DC" w14:textId="77777777" w:rsidR="00271F70" w:rsidRDefault="00271F7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1F156A" w:rsidRPr="009151AA" w:rsidRDefault="001F156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1F156A" w:rsidRDefault="001F156A" w:rsidP="0093429D">
    <w:r w:rsidRPr="005A1D84">
      <w:rPr>
        <w:b/>
        <w:noProof/>
        <w:color w:val="A6A6A6" w:themeColor="background1" w:themeShade="A6"/>
        <w:lang w:eastAsia="ja-JP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F156A"/>
    <w:rsid w:val="00267D18"/>
    <w:rsid w:val="00271F70"/>
    <w:rsid w:val="002868E2"/>
    <w:rsid w:val="002869C3"/>
    <w:rsid w:val="002936E4"/>
    <w:rsid w:val="002B4A57"/>
    <w:rsid w:val="002C74CA"/>
    <w:rsid w:val="003544FB"/>
    <w:rsid w:val="003D2F2D"/>
    <w:rsid w:val="00401590"/>
    <w:rsid w:val="004177A9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149A3"/>
    <w:rsid w:val="006375C7"/>
    <w:rsid w:val="00654E8F"/>
    <w:rsid w:val="00660D05"/>
    <w:rsid w:val="006820B1"/>
    <w:rsid w:val="006B7D14"/>
    <w:rsid w:val="006E4F6A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31F0B"/>
    <w:rsid w:val="00A44404"/>
    <w:rsid w:val="00AA4D24"/>
    <w:rsid w:val="00AB6715"/>
    <w:rsid w:val="00AF022B"/>
    <w:rsid w:val="00B1671E"/>
    <w:rsid w:val="00B25EB8"/>
    <w:rsid w:val="00B37F4D"/>
    <w:rsid w:val="00BF7E4F"/>
    <w:rsid w:val="00C52A7B"/>
    <w:rsid w:val="00C56BAF"/>
    <w:rsid w:val="00C679AA"/>
    <w:rsid w:val="00C75972"/>
    <w:rsid w:val="00CD066B"/>
    <w:rsid w:val="00CE4FEE"/>
    <w:rsid w:val="00DB59C3"/>
    <w:rsid w:val="00DC20C1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0168E68C-A16B-3C41-BD53-165464EDC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table" w:styleId="11">
    <w:name w:val="Light Shading"/>
    <w:basedOn w:val="a2"/>
    <w:uiPriority w:val="60"/>
    <w:rsid w:val="00A44404"/>
    <w:pPr>
      <w:spacing w:after="0" w:line="240" w:lineRule="auto"/>
    </w:pPr>
    <w:rPr>
      <w:color w:val="000000" w:themeColor="text1" w:themeShade="BF"/>
      <w:kern w:val="2"/>
      <w:sz w:val="21"/>
      <w:lang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a-a@niid.go.jp" TargetMode="Externa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kinjo@niid.go.jp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A5A7AB3-0233-D04F-9220-E3CD085D0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7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 MASAHIRO</dc:creator>
  <cp:lastModifiedBy>Yuki Kinjo</cp:lastModifiedBy>
  <cp:revision>3</cp:revision>
  <cp:lastPrinted>2013-10-03T12:51:00Z</cp:lastPrinted>
  <dcterms:created xsi:type="dcterms:W3CDTF">2018-09-27T07:29:00Z</dcterms:created>
  <dcterms:modified xsi:type="dcterms:W3CDTF">2018-09-27T07:46:00Z</dcterms:modified>
</cp:coreProperties>
</file>