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05897" w14:textId="6101FC18" w:rsidR="003C41C8" w:rsidRDefault="00403EFD" w:rsidP="003C41C8">
      <w:pPr>
        <w:pStyle w:val="Normal1"/>
        <w:spacing w:after="0" w:line="240" w:lineRule="auto"/>
        <w:jc w:val="center"/>
        <w:rPr>
          <w:rFonts w:asciiTheme="minorHAnsi" w:eastAsia="Times New Roman" w:hAnsiTheme="minorHAnsi" w:cstheme="minorHAnsi"/>
          <w:b/>
          <w:color w:val="auto"/>
          <w:sz w:val="32"/>
          <w:szCs w:val="32"/>
        </w:rPr>
      </w:pPr>
      <w:r>
        <w:rPr>
          <w:rFonts w:asciiTheme="minorHAnsi" w:eastAsia="Times New Roman" w:hAnsiTheme="minorHAnsi" w:cstheme="minorHAnsi"/>
          <w:b/>
          <w:color w:val="auto"/>
          <w:sz w:val="32"/>
          <w:szCs w:val="32"/>
        </w:rPr>
        <w:t>Additional File 1</w:t>
      </w:r>
    </w:p>
    <w:p w14:paraId="139F1B43" w14:textId="77777777" w:rsidR="006E3386" w:rsidRDefault="006E3386" w:rsidP="006E3386">
      <w:pPr>
        <w:jc w:val="both"/>
        <w:rPr>
          <w:rFonts w:cstheme="minorHAnsi"/>
          <w:sz w:val="24"/>
          <w:szCs w:val="24"/>
        </w:rPr>
      </w:pPr>
    </w:p>
    <w:p w14:paraId="59E58240" w14:textId="15EE67A5" w:rsidR="006E3386" w:rsidRPr="00DB2F84" w:rsidRDefault="00DF4B64" w:rsidP="006E3386">
      <w:pPr>
        <w:jc w:val="both"/>
        <w:rPr>
          <w:rFonts w:cstheme="minorHAnsi"/>
          <w:b/>
          <w:sz w:val="24"/>
          <w:szCs w:val="24"/>
        </w:rPr>
      </w:pPr>
      <w:r>
        <w:rPr>
          <w:rFonts w:cstheme="minorHAnsi"/>
          <w:b/>
          <w:sz w:val="24"/>
          <w:szCs w:val="24"/>
        </w:rPr>
        <w:t>Bayes f</w:t>
      </w:r>
      <w:r w:rsidR="006E3386" w:rsidRPr="00DB2F84">
        <w:rPr>
          <w:rFonts w:cstheme="minorHAnsi"/>
          <w:b/>
          <w:sz w:val="24"/>
          <w:szCs w:val="24"/>
        </w:rPr>
        <w:t>actors for AQ data</w:t>
      </w:r>
    </w:p>
    <w:p w14:paraId="4C2D1763" w14:textId="11EF0F28" w:rsidR="0049516F" w:rsidRDefault="00DF4B64" w:rsidP="006E3386">
      <w:pPr>
        <w:jc w:val="both"/>
        <w:rPr>
          <w:rFonts w:cstheme="minorHAnsi"/>
          <w:sz w:val="24"/>
          <w:szCs w:val="24"/>
        </w:rPr>
      </w:pPr>
      <w:r>
        <w:rPr>
          <w:rFonts w:cstheme="minorHAnsi"/>
          <w:sz w:val="24"/>
          <w:szCs w:val="24"/>
        </w:rPr>
        <w:t>Table S1 shows the Bayes f</w:t>
      </w:r>
      <w:r w:rsidR="006E3386" w:rsidRPr="00DB2F84">
        <w:rPr>
          <w:rFonts w:cstheme="minorHAnsi"/>
          <w:sz w:val="24"/>
          <w:szCs w:val="24"/>
        </w:rPr>
        <w:t xml:space="preserve">actors for each </w:t>
      </w:r>
      <w:r w:rsidR="00A81DD6">
        <w:rPr>
          <w:rFonts w:cstheme="minorHAnsi"/>
          <w:sz w:val="24"/>
          <w:szCs w:val="24"/>
        </w:rPr>
        <w:t xml:space="preserve">of </w:t>
      </w:r>
      <w:r w:rsidR="00251BD6">
        <w:rPr>
          <w:rFonts w:cstheme="minorHAnsi"/>
          <w:sz w:val="24"/>
          <w:szCs w:val="24"/>
        </w:rPr>
        <w:t>the</w:t>
      </w:r>
      <w:r w:rsidR="00A81DD6">
        <w:rPr>
          <w:rFonts w:cstheme="minorHAnsi"/>
          <w:sz w:val="24"/>
          <w:szCs w:val="24"/>
        </w:rPr>
        <w:t xml:space="preserve"> </w:t>
      </w:r>
      <w:r w:rsidR="006E3386" w:rsidRPr="00DB2F84">
        <w:rPr>
          <w:rFonts w:cstheme="minorHAnsi"/>
          <w:sz w:val="24"/>
          <w:szCs w:val="24"/>
        </w:rPr>
        <w:t>AQ domain</w:t>
      </w:r>
      <w:r w:rsidR="00251BD6">
        <w:rPr>
          <w:rFonts w:cstheme="minorHAnsi"/>
          <w:sz w:val="24"/>
          <w:szCs w:val="24"/>
        </w:rPr>
        <w:t>s</w:t>
      </w:r>
      <w:r w:rsidR="006E3386" w:rsidRPr="00DB2F84">
        <w:rPr>
          <w:rFonts w:cstheme="minorHAnsi"/>
          <w:sz w:val="24"/>
          <w:szCs w:val="24"/>
        </w:rPr>
        <w:t xml:space="preserve"> </w:t>
      </w:r>
      <w:r w:rsidR="003C41C8">
        <w:rPr>
          <w:rFonts w:cstheme="minorHAnsi"/>
          <w:sz w:val="24"/>
          <w:szCs w:val="24"/>
        </w:rPr>
        <w:t xml:space="preserve">(Social Skills, Attention Switching, Attention to Detail, Communication, Imagination) </w:t>
      </w:r>
      <w:r w:rsidR="006E3386" w:rsidRPr="00DB2F84">
        <w:rPr>
          <w:rFonts w:cstheme="minorHAnsi"/>
          <w:sz w:val="24"/>
          <w:szCs w:val="24"/>
        </w:rPr>
        <w:t xml:space="preserve">comparing </w:t>
      </w:r>
      <w:r w:rsidR="00251BD6">
        <w:rPr>
          <w:rFonts w:cstheme="minorHAnsi"/>
          <w:sz w:val="24"/>
          <w:szCs w:val="24"/>
        </w:rPr>
        <w:t xml:space="preserve">our </w:t>
      </w:r>
      <w:r w:rsidR="006E3386" w:rsidRPr="00DB2F84">
        <w:rPr>
          <w:rFonts w:cstheme="minorHAnsi"/>
          <w:sz w:val="24"/>
          <w:szCs w:val="24"/>
        </w:rPr>
        <w:t xml:space="preserve">autistic-savants </w:t>
      </w:r>
      <w:r w:rsidR="00251BD6">
        <w:rPr>
          <w:rFonts w:cstheme="minorHAnsi"/>
          <w:sz w:val="24"/>
          <w:szCs w:val="24"/>
        </w:rPr>
        <w:t>to our</w:t>
      </w:r>
      <w:r w:rsidR="006E3386" w:rsidRPr="00DB2F84">
        <w:rPr>
          <w:rFonts w:cstheme="minorHAnsi"/>
          <w:sz w:val="24"/>
          <w:szCs w:val="24"/>
        </w:rPr>
        <w:t xml:space="preserve"> autistic-nonsavants. </w:t>
      </w:r>
      <w:r>
        <w:rPr>
          <w:rFonts w:cstheme="minorHAnsi"/>
          <w:sz w:val="24"/>
          <w:szCs w:val="24"/>
        </w:rPr>
        <w:t>Bayes f</w:t>
      </w:r>
      <w:r w:rsidR="00A81DD6">
        <w:rPr>
          <w:rFonts w:cstheme="minorHAnsi"/>
          <w:sz w:val="24"/>
          <w:szCs w:val="24"/>
        </w:rPr>
        <w:t>actors allow us to evaluate whether our null findings indicate lack of power or true support for the null hypothesis</w:t>
      </w:r>
      <w:r w:rsidR="00251BD6">
        <w:rPr>
          <w:rFonts w:cstheme="minorHAnsi"/>
          <w:sz w:val="24"/>
          <w:szCs w:val="24"/>
        </w:rPr>
        <w:t xml:space="preserve"> </w:t>
      </w:r>
      <w:r w:rsidR="00251BD6">
        <w:rPr>
          <w:rFonts w:cstheme="minorHAnsi"/>
          <w:sz w:val="24"/>
          <w:szCs w:val="24"/>
        </w:rPr>
        <w:fldChar w:fldCharType="begin" w:fldLock="1"/>
      </w:r>
      <w:r w:rsidR="00251BD6">
        <w:rPr>
          <w:rFonts w:cstheme="minorHAnsi"/>
          <w:sz w:val="24"/>
          <w:szCs w:val="24"/>
        </w:rPr>
        <w:instrText>ADDIN CSL_CITATION { "citationItems" : [ { "id" : "ITEM-1", "itemData" : { "DOI" : "10.3389/fpsyg.2014.00781", "ISBN" : "1664-1078 (Electronic)", "ISSN" : "1664-1078", "PMID" : "25120503", "abstract" : "No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theory\u2019s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 "author" : [ { "dropping-particle" : "", "family" : "Dienes", "given" : "Zoltan", "non-dropping-particle" : "", "parse-names" : false, "suffix" : "" } ], "container-title" : "Frontiers in Psychology", "id" : "ITEM-1", "issued" : { "date-parts" : [ [ "2014", "7", "29" ] ] }, "page" : "781", "publisher" : "Frontiers", "title" : "Using Bayes to get the most out of non-significant results", "type" : "article-journal", "volume" : "5" }, "uris" : [ "http://www.mendeley.com/documents/?uuid=c8626a3c-122b-30f0-ab99-53a6f1f4e378" ] } ], "mendeley" : { "formattedCitation" : "(Dienes, 2014)", "plainTextFormattedCitation" : "(Dienes, 2014)", "previouslyFormattedCitation" : "(Dienes, 2014)" }, "properties" : { "noteIndex" : 0 }, "schema" : "https://github.com/citation-style-language/schema/raw/master/csl-citation.json" }</w:instrText>
      </w:r>
      <w:r w:rsidR="00251BD6">
        <w:rPr>
          <w:rFonts w:cstheme="minorHAnsi"/>
          <w:sz w:val="24"/>
          <w:szCs w:val="24"/>
        </w:rPr>
        <w:fldChar w:fldCharType="separate"/>
      </w:r>
      <w:r w:rsidR="00251BD6" w:rsidRPr="00251BD6">
        <w:rPr>
          <w:rFonts w:cstheme="minorHAnsi"/>
          <w:noProof/>
          <w:sz w:val="24"/>
          <w:szCs w:val="24"/>
        </w:rPr>
        <w:t>(Dienes, 2014)</w:t>
      </w:r>
      <w:r w:rsidR="00251BD6">
        <w:rPr>
          <w:rFonts w:cstheme="minorHAnsi"/>
          <w:sz w:val="24"/>
          <w:szCs w:val="24"/>
        </w:rPr>
        <w:fldChar w:fldCharType="end"/>
      </w:r>
      <w:r w:rsidR="00A81DD6">
        <w:rPr>
          <w:rFonts w:cstheme="minorHAnsi"/>
          <w:sz w:val="24"/>
          <w:szCs w:val="24"/>
        </w:rPr>
        <w:t>. We</w:t>
      </w:r>
      <w:r w:rsidR="003C41C8">
        <w:rPr>
          <w:rFonts w:cstheme="minorHAnsi"/>
          <w:sz w:val="24"/>
          <w:szCs w:val="24"/>
        </w:rPr>
        <w:t xml:space="preserve"> calculate</w:t>
      </w:r>
      <w:r w:rsidR="00A81DD6">
        <w:rPr>
          <w:rFonts w:cstheme="minorHAnsi"/>
          <w:sz w:val="24"/>
          <w:szCs w:val="24"/>
        </w:rPr>
        <w:t>d</w:t>
      </w:r>
      <w:r>
        <w:rPr>
          <w:rFonts w:cstheme="minorHAnsi"/>
          <w:sz w:val="24"/>
          <w:szCs w:val="24"/>
        </w:rPr>
        <w:t xml:space="preserve"> Bayes f</w:t>
      </w:r>
      <w:r w:rsidR="003C41C8">
        <w:rPr>
          <w:rFonts w:cstheme="minorHAnsi"/>
          <w:sz w:val="24"/>
          <w:szCs w:val="24"/>
        </w:rPr>
        <w:t>actor</w:t>
      </w:r>
      <w:r w:rsidR="00251BD6">
        <w:rPr>
          <w:rFonts w:cstheme="minorHAnsi"/>
          <w:sz w:val="24"/>
          <w:szCs w:val="24"/>
        </w:rPr>
        <w:t>s using an informative model of H1 (prior)</w:t>
      </w:r>
      <w:r w:rsidR="003C41C8">
        <w:rPr>
          <w:rFonts w:cstheme="minorHAnsi"/>
          <w:sz w:val="24"/>
          <w:szCs w:val="24"/>
        </w:rPr>
        <w:t xml:space="preserve"> </w:t>
      </w:r>
      <w:r w:rsidR="00A81DD6">
        <w:rPr>
          <w:rFonts w:cstheme="minorHAnsi"/>
          <w:sz w:val="24"/>
          <w:szCs w:val="24"/>
        </w:rPr>
        <w:t xml:space="preserve">assuming </w:t>
      </w:r>
      <w:r w:rsidR="00251BD6">
        <w:rPr>
          <w:rFonts w:cstheme="minorHAnsi"/>
          <w:sz w:val="24"/>
          <w:szCs w:val="24"/>
        </w:rPr>
        <w:t xml:space="preserve">a </w:t>
      </w:r>
      <w:r w:rsidR="00A81DD6">
        <w:rPr>
          <w:rFonts w:cstheme="minorHAnsi"/>
          <w:sz w:val="24"/>
          <w:szCs w:val="24"/>
        </w:rPr>
        <w:t xml:space="preserve">half-normal distribution which was a study showing the difference between autistic individuals and </w:t>
      </w:r>
      <w:r w:rsidR="00251BD6">
        <w:rPr>
          <w:rFonts w:cstheme="minorHAnsi"/>
          <w:sz w:val="24"/>
          <w:szCs w:val="24"/>
        </w:rPr>
        <w:t>winners of a UK Mathematics Olympiad</w:t>
      </w:r>
      <w:r w:rsidR="00A81DD6">
        <w:rPr>
          <w:rFonts w:cstheme="minorHAnsi"/>
          <w:sz w:val="24"/>
          <w:szCs w:val="24"/>
        </w:rPr>
        <w:t xml:space="preserve"> using the same dependent measures</w:t>
      </w:r>
      <w:r w:rsidR="00251BD6">
        <w:rPr>
          <w:rFonts w:cstheme="minorHAnsi"/>
          <w:sz w:val="24"/>
          <w:szCs w:val="24"/>
        </w:rPr>
        <w:t xml:space="preserve"> of our own study</w:t>
      </w:r>
      <w:r w:rsidR="00A81DD6">
        <w:rPr>
          <w:rFonts w:cstheme="minorHAnsi"/>
          <w:sz w:val="24"/>
          <w:szCs w:val="24"/>
        </w:rPr>
        <w:t xml:space="preserve"> (</w:t>
      </w:r>
      <w:r w:rsidR="00A81DD6">
        <w:rPr>
          <w:rFonts w:cstheme="minorHAnsi"/>
          <w:sz w:val="24"/>
          <w:szCs w:val="24"/>
        </w:rPr>
        <w:fldChar w:fldCharType="begin" w:fldLock="1"/>
      </w:r>
      <w:r w:rsidR="00A81DD6">
        <w:rPr>
          <w:rFonts w:cstheme="minorHAnsi"/>
          <w:sz w:val="24"/>
          <w:szCs w:val="24"/>
        </w:rPr>
        <w:instrText>ADDIN CSL_CITATION { "citationItems" : [ { "id" : "ITEM-1", "itemData" : { "DOI" : "10.1023/A:1005653411471", "ISBN" : "0162-3257", "ISSN" : "01623257", "PMID" : "11439754", "abstract" : "Currently there are no brief, self-administered instruments for measuring the degree to", "author" : [ { "dropping-particle" : "", "family" : "Baron-Cohen", "given" : "Simon", "non-dropping-particle" : "", "parse-names" : false, "suffix" : "" }, { "dropping-particle" : "", "family" : "Wheelwright", "given" : "Sally", "non-dropping-particle" : "", "parse-names" : false, "suffix" : "" }, { "dropping-particle" : "", "family" : "Skinner", "given" : "Richard", "non-dropping-particle" : "", "parse-names" : false, "suffix" : "" }, { "dropping-particle" : "", "family" : "Martin", "given" : "Joanne", "non-dropping-particle" : "", "parse-names" : false, "suffix" : "" }, { "dropping-particle" : "", "family" : "Clubley", "given" : "Emma", "non-dropping-particle" : "", "parse-names" : false, "suffix" : "" } ], "container-title" : "Journal of Autism and Developmental Disorders", "id" : "ITEM-1", "issue" : "1", "issued" : { "date-parts" : [ [ "2001" ] ] }, "page" : "5-17", "title" : "The Autism-Spectrum Quotient (AQ): Evidence from Asperger Syndrome/High-Functioning Autism, Males and Females, Scientists and Mathematicians", "type" : "article-journal", "volume" : "31" }, "uris" : [ "http://www.mendeley.com/documents/?uuid=1b8a686a-3fd3-35ff-9203-2b8be098a83d" ] } ], "mendeley" : { "formattedCitation" : "(Baron-Cohen, Wheelwright, Skinner, Martin, &amp; Clubley, 2001)", "manualFormatting" : "Baron-Cohen, Wheelwright, Skinner, Martin, &amp; Clubley, 2001", "plainTextFormattedCitation" : "(Baron-Cohen, Wheelwright, Skinner, Martin, &amp; Clubley, 2001)", "previouslyFormattedCitation" : "(Baron-Cohen, Wheelwright, Skinner, Martin, &amp; Clubley, 2001)" }, "properties" : { "noteIndex" : 0 }, "schema" : "https://github.com/citation-style-language/schema/raw/master/csl-citation.json" }</w:instrText>
      </w:r>
      <w:r w:rsidR="00A81DD6">
        <w:rPr>
          <w:rFonts w:cstheme="minorHAnsi"/>
          <w:sz w:val="24"/>
          <w:szCs w:val="24"/>
        </w:rPr>
        <w:fldChar w:fldCharType="separate"/>
      </w:r>
      <w:r w:rsidR="00A81DD6" w:rsidRPr="001229E5">
        <w:rPr>
          <w:rFonts w:cstheme="minorHAnsi"/>
          <w:noProof/>
          <w:sz w:val="24"/>
          <w:szCs w:val="24"/>
        </w:rPr>
        <w:t>Baron-Cohen, Wheelwright, Skinner, Martin, &amp; Clubley, 2001</w:t>
      </w:r>
      <w:r w:rsidR="00A81DD6">
        <w:rPr>
          <w:rFonts w:cstheme="minorHAnsi"/>
          <w:sz w:val="24"/>
          <w:szCs w:val="24"/>
        </w:rPr>
        <w:fldChar w:fldCharType="end"/>
      </w:r>
      <w:r w:rsidR="00A81DD6">
        <w:rPr>
          <w:rFonts w:cstheme="minorHAnsi"/>
          <w:sz w:val="24"/>
          <w:szCs w:val="24"/>
        </w:rPr>
        <w:t>). Our Bayes a</w:t>
      </w:r>
      <w:r w:rsidR="00A81DD6" w:rsidRPr="00DB2F84">
        <w:rPr>
          <w:rFonts w:cstheme="minorHAnsi"/>
          <w:sz w:val="24"/>
          <w:szCs w:val="24"/>
        </w:rPr>
        <w:t xml:space="preserve">nalyses were run with the </w:t>
      </w:r>
      <w:r>
        <w:rPr>
          <w:rFonts w:cstheme="minorHAnsi"/>
          <w:i/>
          <w:sz w:val="24"/>
          <w:szCs w:val="24"/>
        </w:rPr>
        <w:t>Aladins Bayes f</w:t>
      </w:r>
      <w:r w:rsidR="00A81DD6" w:rsidRPr="003C41C8">
        <w:rPr>
          <w:rFonts w:cstheme="minorHAnsi"/>
          <w:i/>
          <w:sz w:val="24"/>
          <w:szCs w:val="24"/>
        </w:rPr>
        <w:t>a</w:t>
      </w:r>
      <w:r w:rsidR="00A81DD6" w:rsidRPr="00DB2F84">
        <w:rPr>
          <w:rFonts w:cstheme="minorHAnsi"/>
          <w:sz w:val="24"/>
          <w:szCs w:val="24"/>
        </w:rPr>
        <w:t xml:space="preserve">ctor </w:t>
      </w:r>
      <w:r w:rsidR="00A81DD6" w:rsidRPr="001A296B">
        <w:rPr>
          <w:rFonts w:cstheme="minorHAnsi"/>
          <w:i/>
          <w:sz w:val="24"/>
          <w:szCs w:val="24"/>
        </w:rPr>
        <w:t>in R</w:t>
      </w:r>
      <w:r w:rsidR="00A81DD6" w:rsidRPr="00DB2F84">
        <w:rPr>
          <w:rFonts w:cstheme="minorHAnsi"/>
          <w:sz w:val="24"/>
          <w:szCs w:val="24"/>
        </w:rPr>
        <w:t xml:space="preserve"> package</w:t>
      </w:r>
      <w:bookmarkStart w:id="0" w:name="_GoBack"/>
      <w:bookmarkEnd w:id="0"/>
      <w:r w:rsidR="00A81DD6" w:rsidRPr="00DB2F84">
        <w:rPr>
          <w:rFonts w:cstheme="minorHAnsi"/>
          <w:sz w:val="24"/>
          <w:szCs w:val="24"/>
        </w:rPr>
        <w:t xml:space="preserve">. </w:t>
      </w:r>
      <w:r w:rsidR="00A81DD6">
        <w:rPr>
          <w:rFonts w:cstheme="minorHAnsi"/>
          <w:sz w:val="24"/>
          <w:szCs w:val="24"/>
        </w:rPr>
        <w:t xml:space="preserve">This </w:t>
      </w:r>
      <w:r w:rsidR="006E3386" w:rsidRPr="00DB2F84">
        <w:rPr>
          <w:rFonts w:cstheme="minorHAnsi"/>
          <w:sz w:val="24"/>
          <w:szCs w:val="24"/>
        </w:rPr>
        <w:t xml:space="preserve">package </w:t>
      </w:r>
      <w:r w:rsidR="003C41C8">
        <w:rPr>
          <w:rFonts w:cstheme="minorHAnsi"/>
          <w:sz w:val="24"/>
          <w:szCs w:val="24"/>
        </w:rPr>
        <w:t xml:space="preserve">requires: </w:t>
      </w:r>
      <w:r w:rsidR="0007428B">
        <w:rPr>
          <w:rFonts w:cstheme="minorHAnsi"/>
          <w:sz w:val="24"/>
          <w:szCs w:val="24"/>
        </w:rPr>
        <w:t xml:space="preserve">the half-normal parameter, </w:t>
      </w:r>
      <w:r w:rsidR="003C41C8">
        <w:rPr>
          <w:rFonts w:cstheme="minorHAnsi"/>
          <w:sz w:val="24"/>
          <w:szCs w:val="24"/>
        </w:rPr>
        <w:t>the mean</w:t>
      </w:r>
      <w:r w:rsidR="00A81DD6">
        <w:rPr>
          <w:sz w:val="24"/>
          <w:szCs w:val="24"/>
        </w:rPr>
        <w:t xml:space="preserve"> group difference from the</w:t>
      </w:r>
      <w:r w:rsidR="003C41C8">
        <w:rPr>
          <w:sz w:val="24"/>
          <w:szCs w:val="24"/>
        </w:rPr>
        <w:t xml:space="preserve"> comparable study</w:t>
      </w:r>
      <w:r w:rsidR="006E3386" w:rsidRPr="00DB2F84">
        <w:rPr>
          <w:sz w:val="24"/>
          <w:szCs w:val="24"/>
        </w:rPr>
        <w:t xml:space="preserve">, </w:t>
      </w:r>
      <w:r w:rsidR="003C41C8">
        <w:rPr>
          <w:sz w:val="24"/>
          <w:szCs w:val="24"/>
        </w:rPr>
        <w:t>its degrees</w:t>
      </w:r>
      <w:r w:rsidR="0007428B">
        <w:rPr>
          <w:sz w:val="24"/>
          <w:szCs w:val="24"/>
        </w:rPr>
        <w:t xml:space="preserve"> of</w:t>
      </w:r>
      <w:r w:rsidR="003C41C8">
        <w:rPr>
          <w:sz w:val="24"/>
          <w:szCs w:val="24"/>
        </w:rPr>
        <w:t xml:space="preserve"> freedom</w:t>
      </w:r>
      <w:r w:rsidR="006E3386" w:rsidRPr="00DB2F84">
        <w:rPr>
          <w:sz w:val="24"/>
          <w:szCs w:val="24"/>
        </w:rPr>
        <w:t xml:space="preserve">, </w:t>
      </w:r>
      <w:r w:rsidR="003C41C8">
        <w:rPr>
          <w:sz w:val="24"/>
          <w:szCs w:val="24"/>
        </w:rPr>
        <w:t xml:space="preserve">the mean group difference in </w:t>
      </w:r>
      <w:r w:rsidR="00A81DD6">
        <w:rPr>
          <w:sz w:val="24"/>
          <w:szCs w:val="24"/>
        </w:rPr>
        <w:t>our</w:t>
      </w:r>
      <w:r w:rsidR="003C41C8">
        <w:rPr>
          <w:sz w:val="24"/>
          <w:szCs w:val="24"/>
        </w:rPr>
        <w:t xml:space="preserve"> current study</w:t>
      </w:r>
      <w:r w:rsidR="006E3386" w:rsidRPr="00DB2F84">
        <w:rPr>
          <w:sz w:val="24"/>
          <w:szCs w:val="24"/>
        </w:rPr>
        <w:t xml:space="preserve">, </w:t>
      </w:r>
      <w:r w:rsidR="003C41C8">
        <w:rPr>
          <w:sz w:val="24"/>
          <w:szCs w:val="24"/>
        </w:rPr>
        <w:t xml:space="preserve">its </w:t>
      </w:r>
      <w:r w:rsidR="0007428B">
        <w:rPr>
          <w:sz w:val="24"/>
          <w:szCs w:val="24"/>
        </w:rPr>
        <w:t>standard error, and degrees of freedom</w:t>
      </w:r>
      <w:r w:rsidR="0007428B">
        <w:rPr>
          <w:rFonts w:cstheme="minorHAnsi"/>
          <w:sz w:val="24"/>
          <w:szCs w:val="24"/>
        </w:rPr>
        <w:t>. For example, these</w:t>
      </w:r>
      <w:r w:rsidR="003C41C8">
        <w:rPr>
          <w:rFonts w:cstheme="minorHAnsi"/>
          <w:sz w:val="24"/>
          <w:szCs w:val="24"/>
        </w:rPr>
        <w:t xml:space="preserve"> values</w:t>
      </w:r>
      <w:r w:rsidR="0007428B">
        <w:rPr>
          <w:rFonts w:cstheme="minorHAnsi"/>
          <w:sz w:val="24"/>
          <w:szCs w:val="24"/>
        </w:rPr>
        <w:t xml:space="preserve"> for the Social Skills domain were, </w:t>
      </w:r>
      <w:r w:rsidR="003C41C8">
        <w:rPr>
          <w:rFonts w:cstheme="minorHAnsi"/>
          <w:sz w:val="24"/>
          <w:szCs w:val="24"/>
        </w:rPr>
        <w:t xml:space="preserve">respectively, </w:t>
      </w:r>
      <w:r w:rsidR="003C41C8" w:rsidRPr="006E3386">
        <w:rPr>
          <w:rFonts w:cstheme="minorHAnsi"/>
          <w:sz w:val="24"/>
          <w:szCs w:val="24"/>
        </w:rPr>
        <w:t xml:space="preserve">0, 2.4, 72, </w:t>
      </w:r>
      <w:r w:rsidR="003C41C8">
        <w:rPr>
          <w:rFonts w:cstheme="minorHAnsi"/>
          <w:sz w:val="24"/>
          <w:szCs w:val="24"/>
        </w:rPr>
        <w:t xml:space="preserve">-0.06970, .36112, 61. </w:t>
      </w:r>
      <w:r w:rsidR="0049516F">
        <w:rPr>
          <w:rFonts w:cstheme="minorHAnsi"/>
          <w:sz w:val="24"/>
          <w:szCs w:val="24"/>
        </w:rPr>
        <w:t xml:space="preserve">The outcome of our </w:t>
      </w:r>
      <w:r w:rsidR="0007428B">
        <w:rPr>
          <w:rFonts w:cstheme="minorHAnsi"/>
          <w:sz w:val="24"/>
          <w:szCs w:val="24"/>
        </w:rPr>
        <w:t xml:space="preserve">calculation of </w:t>
      </w:r>
      <w:r w:rsidR="0049516F">
        <w:rPr>
          <w:rFonts w:cstheme="minorHAnsi"/>
          <w:sz w:val="24"/>
          <w:szCs w:val="24"/>
        </w:rPr>
        <w:t>Bayes</w:t>
      </w:r>
      <w:r>
        <w:rPr>
          <w:rFonts w:cstheme="minorHAnsi"/>
          <w:sz w:val="24"/>
          <w:szCs w:val="24"/>
        </w:rPr>
        <w:t xml:space="preserve"> f</w:t>
      </w:r>
      <w:r w:rsidR="0007428B">
        <w:rPr>
          <w:rFonts w:cstheme="minorHAnsi"/>
          <w:sz w:val="24"/>
          <w:szCs w:val="24"/>
        </w:rPr>
        <w:t>actors</w:t>
      </w:r>
      <w:r w:rsidR="0049516F">
        <w:rPr>
          <w:rFonts w:cstheme="minorHAnsi"/>
          <w:sz w:val="24"/>
          <w:szCs w:val="24"/>
        </w:rPr>
        <w:t xml:space="preserve"> </w:t>
      </w:r>
      <w:r w:rsidR="00D95A5B">
        <w:rPr>
          <w:rFonts w:cstheme="minorHAnsi"/>
          <w:sz w:val="24"/>
          <w:szCs w:val="24"/>
        </w:rPr>
        <w:t>is</w:t>
      </w:r>
      <w:r w:rsidR="0049516F">
        <w:rPr>
          <w:rFonts w:cstheme="minorHAnsi"/>
          <w:sz w:val="24"/>
          <w:szCs w:val="24"/>
        </w:rPr>
        <w:t xml:space="preserve"> shown in Row 3 of Table S1 below.</w:t>
      </w:r>
    </w:p>
    <w:p w14:paraId="483A5F25" w14:textId="704E9610" w:rsidR="00241B34" w:rsidRDefault="0049516F" w:rsidP="0049516F">
      <w:pPr>
        <w:jc w:val="both"/>
        <w:rPr>
          <w:rFonts w:cstheme="minorHAnsi"/>
          <w:sz w:val="24"/>
          <w:szCs w:val="24"/>
        </w:rPr>
      </w:pPr>
      <w:r>
        <w:rPr>
          <w:rFonts w:cstheme="minorHAnsi"/>
          <w:sz w:val="24"/>
          <w:szCs w:val="24"/>
        </w:rPr>
        <w:t>We next teste</w:t>
      </w:r>
      <w:r w:rsidR="00DF4B64">
        <w:rPr>
          <w:rFonts w:cstheme="minorHAnsi"/>
          <w:sz w:val="24"/>
          <w:szCs w:val="24"/>
        </w:rPr>
        <w:t>d the sensitivity of our Bayes f</w:t>
      </w:r>
      <w:r>
        <w:rPr>
          <w:rFonts w:cstheme="minorHAnsi"/>
          <w:sz w:val="24"/>
          <w:szCs w:val="24"/>
        </w:rPr>
        <w:t>actor</w:t>
      </w:r>
      <w:r w:rsidR="00D95A5B">
        <w:rPr>
          <w:rFonts w:cstheme="minorHAnsi"/>
          <w:sz w:val="24"/>
          <w:szCs w:val="24"/>
        </w:rPr>
        <w:t>s</w:t>
      </w:r>
      <w:r>
        <w:rPr>
          <w:rFonts w:cstheme="minorHAnsi"/>
          <w:sz w:val="24"/>
          <w:szCs w:val="24"/>
        </w:rPr>
        <w:t>. This requires calculating a</w:t>
      </w:r>
      <w:r w:rsidR="00C462B1">
        <w:rPr>
          <w:rFonts w:cstheme="minorHAnsi"/>
          <w:sz w:val="24"/>
          <w:szCs w:val="24"/>
        </w:rPr>
        <w:t xml:space="preserve">n </w:t>
      </w:r>
      <w:r w:rsidR="00991318">
        <w:rPr>
          <w:rFonts w:cstheme="minorHAnsi"/>
          <w:sz w:val="24"/>
          <w:szCs w:val="24"/>
        </w:rPr>
        <w:t>additional</w:t>
      </w:r>
      <w:r>
        <w:rPr>
          <w:rFonts w:cstheme="minorHAnsi"/>
          <w:sz w:val="24"/>
          <w:szCs w:val="24"/>
        </w:rPr>
        <w:t xml:space="preserve"> Bayes </w:t>
      </w:r>
      <w:r w:rsidR="00DF4B64">
        <w:rPr>
          <w:rFonts w:cstheme="minorHAnsi"/>
          <w:sz w:val="24"/>
          <w:szCs w:val="24"/>
        </w:rPr>
        <w:t>f</w:t>
      </w:r>
      <w:r w:rsidR="00642218">
        <w:rPr>
          <w:rFonts w:cstheme="minorHAnsi"/>
          <w:sz w:val="24"/>
          <w:szCs w:val="24"/>
        </w:rPr>
        <w:t>actor for our data modelled with an alternative H1</w:t>
      </w:r>
      <w:r w:rsidR="00A81DD6">
        <w:rPr>
          <w:rFonts w:cstheme="minorHAnsi"/>
          <w:sz w:val="24"/>
          <w:szCs w:val="24"/>
        </w:rPr>
        <w:t xml:space="preserve"> (prior)</w:t>
      </w:r>
      <w:r w:rsidR="00642218">
        <w:rPr>
          <w:rFonts w:cstheme="minorHAnsi"/>
          <w:sz w:val="24"/>
          <w:szCs w:val="24"/>
        </w:rPr>
        <w:t xml:space="preserve">. Here we adopt the </w:t>
      </w:r>
      <w:r w:rsidR="00C462B1">
        <w:rPr>
          <w:rFonts w:cstheme="minorHAnsi"/>
          <w:sz w:val="24"/>
          <w:szCs w:val="24"/>
        </w:rPr>
        <w:t xml:space="preserve">recommended </w:t>
      </w:r>
      <w:r w:rsidR="00642218">
        <w:rPr>
          <w:rFonts w:cstheme="minorHAnsi"/>
          <w:sz w:val="24"/>
          <w:szCs w:val="24"/>
        </w:rPr>
        <w:t xml:space="preserve">methods </w:t>
      </w:r>
      <w:r w:rsidR="00C462B1">
        <w:rPr>
          <w:rFonts w:cstheme="minorHAnsi"/>
          <w:sz w:val="24"/>
          <w:szCs w:val="24"/>
        </w:rPr>
        <w:t xml:space="preserve">(see </w:t>
      </w:r>
      <w:r w:rsidR="001229E5">
        <w:rPr>
          <w:rFonts w:cstheme="minorHAnsi"/>
          <w:sz w:val="24"/>
          <w:szCs w:val="24"/>
        </w:rPr>
        <w:fldChar w:fldCharType="begin" w:fldLock="1"/>
      </w:r>
      <w:r w:rsidR="00251BD6">
        <w:rPr>
          <w:rFonts w:cstheme="minorHAnsi"/>
          <w:sz w:val="24"/>
          <w:szCs w:val="24"/>
        </w:rPr>
        <w:instrText>ADDIN CSL_CITATION { "citationItems" : [ { "id" : "ITEM-1", "itemData" : { "DOI" : "10.3389/fpsyg.2014.00781", "ISBN" : "1664-1078 (Electronic)", "ISSN" : "1664-1078", "PMID" : "25120503", "abstract" : "No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theory\u2019s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 "author" : [ { "dropping-particle" : "", "family" : "Dienes", "given" : "Zoltan", "non-dropping-particle" : "", "parse-names" : false, "suffix" : "" } ], "container-title" : "Frontiers in Psychology", "id" : "ITEM-1", "issued" : { "date-parts" : [ [ "2014", "7", "29" ] ] }, "page" : "781", "publisher" : "Frontiers", "title" : "Using Bayes to get the most out of non-significant results", "type" : "article-journal", "volume" : "5" }, "uris" : [ "http://www.mendeley.com/documents/?uuid=c8626a3c-122b-30f0-ab99-53a6f1f4e378" ] } ], "mendeley" : { "formattedCitation" : "(Dienes, 2014)", "manualFormatting" : "Dienes, 2014", "plainTextFormattedCitation" : "(Dienes, 2014)", "previouslyFormattedCitation" : "(Dienes, 2014)" }, "properties" : { "noteIndex" : 0 }, "schema" : "https://github.com/citation-style-language/schema/raw/master/csl-citation.json" }</w:instrText>
      </w:r>
      <w:r w:rsidR="001229E5">
        <w:rPr>
          <w:rFonts w:cstheme="minorHAnsi"/>
          <w:sz w:val="24"/>
          <w:szCs w:val="24"/>
        </w:rPr>
        <w:fldChar w:fldCharType="separate"/>
      </w:r>
      <w:r w:rsidR="001229E5" w:rsidRPr="001229E5">
        <w:rPr>
          <w:rFonts w:cstheme="minorHAnsi"/>
          <w:noProof/>
          <w:sz w:val="24"/>
          <w:szCs w:val="24"/>
        </w:rPr>
        <w:t>Dienes, 2014</w:t>
      </w:r>
      <w:r w:rsidR="001229E5">
        <w:rPr>
          <w:rFonts w:cstheme="minorHAnsi"/>
          <w:sz w:val="24"/>
          <w:szCs w:val="24"/>
        </w:rPr>
        <w:fldChar w:fldCharType="end"/>
      </w:r>
      <w:r w:rsidR="00C462B1">
        <w:rPr>
          <w:rFonts w:cstheme="minorHAnsi"/>
          <w:sz w:val="24"/>
          <w:szCs w:val="24"/>
        </w:rPr>
        <w:t>)</w:t>
      </w:r>
      <w:r w:rsidR="001229E5">
        <w:rPr>
          <w:rFonts w:cstheme="minorHAnsi"/>
          <w:sz w:val="24"/>
          <w:szCs w:val="24"/>
        </w:rPr>
        <w:t xml:space="preserve"> </w:t>
      </w:r>
      <w:r w:rsidR="00C462B1">
        <w:rPr>
          <w:rFonts w:cstheme="minorHAnsi"/>
          <w:sz w:val="24"/>
          <w:szCs w:val="24"/>
        </w:rPr>
        <w:t>in</w:t>
      </w:r>
      <w:r w:rsidR="00642218">
        <w:rPr>
          <w:rFonts w:cstheme="minorHAnsi"/>
          <w:sz w:val="24"/>
          <w:szCs w:val="24"/>
        </w:rPr>
        <w:t xml:space="preserve"> </w:t>
      </w:r>
      <w:r w:rsidR="00A81DD6">
        <w:rPr>
          <w:rFonts w:cstheme="minorHAnsi"/>
          <w:sz w:val="24"/>
          <w:szCs w:val="24"/>
        </w:rPr>
        <w:t xml:space="preserve">generating our </w:t>
      </w:r>
      <w:r w:rsidR="00642218">
        <w:rPr>
          <w:rFonts w:cstheme="minorHAnsi"/>
          <w:sz w:val="24"/>
          <w:szCs w:val="24"/>
        </w:rPr>
        <w:t xml:space="preserve">H1 </w:t>
      </w:r>
      <w:r w:rsidR="00A81DD6">
        <w:rPr>
          <w:rFonts w:cstheme="minorHAnsi"/>
          <w:sz w:val="24"/>
          <w:szCs w:val="24"/>
        </w:rPr>
        <w:t xml:space="preserve">(again </w:t>
      </w:r>
      <w:r w:rsidR="00642218">
        <w:rPr>
          <w:rFonts w:cstheme="minorHAnsi"/>
          <w:sz w:val="24"/>
          <w:szCs w:val="24"/>
        </w:rPr>
        <w:t xml:space="preserve">with a half-normal </w:t>
      </w:r>
      <w:r w:rsidR="00A81DD6">
        <w:rPr>
          <w:rFonts w:cstheme="minorHAnsi"/>
          <w:sz w:val="24"/>
          <w:szCs w:val="24"/>
        </w:rPr>
        <w:t>distribution) by taking into account not only the existing prior data (</w:t>
      </w:r>
      <w:r w:rsidR="00A81DD6">
        <w:rPr>
          <w:rFonts w:cstheme="minorHAnsi"/>
          <w:sz w:val="24"/>
          <w:szCs w:val="24"/>
        </w:rPr>
        <w:fldChar w:fldCharType="begin" w:fldLock="1"/>
      </w:r>
      <w:r w:rsidR="00251BD6">
        <w:rPr>
          <w:rFonts w:cstheme="minorHAnsi"/>
          <w:sz w:val="24"/>
          <w:szCs w:val="24"/>
        </w:rPr>
        <w:instrText>ADDIN CSL_CITATION { "citationItems" : [ { "id" : "ITEM-1", "itemData" : { "DOI" : "10.1023/A:1005653411471", "ISBN" : "0162-3257", "ISSN" : "01623257", "PMID" : "11439754", "abstract" : "Currently there are no brief, self-administered instruments for measuring the degree to", "author" : [ { "dropping-particle" : "", "family" : "Baron-Cohen", "given" : "Simon", "non-dropping-particle" : "", "parse-names" : false, "suffix" : "" }, { "dropping-particle" : "", "family" : "Wheelwright", "given" : "Sally", "non-dropping-particle" : "", "parse-names" : false, "suffix" : "" }, { "dropping-particle" : "", "family" : "Skinner", "given" : "Richard", "non-dropping-particle" : "", "parse-names" : false, "suffix" : "" }, { "dropping-particle" : "", "family" : "Martin", "given" : "Joanne", "non-dropping-particle" : "", "parse-names" : false, "suffix" : "" }, { "dropping-particle" : "", "family" : "Clubley", "given" : "Emma", "non-dropping-particle" : "", "parse-names" : false, "suffix" : "" } ], "container-title" : "Journal of Autism and Developmental Disorders", "id" : "ITEM-1", "issue" : "1", "issued" : { "date-parts" : [ [ "2001" ] ] }, "page" : "5-17", "title" : "The Autism-Spectrum Quotient (AQ): Evidence from Asperger Syndrome/High-Functioning Autism, Males and Females, Scientists and Mathematicians", "type" : "article-journal", "volume" : "31" }, "uris" : [ "http://www.mendeley.com/documents/?uuid=1b8a686a-3fd3-35ff-9203-2b8be098a83d" ] } ], "mendeley" : { "formattedCitation" : "(Baron-Cohen et al., 2001)", "manualFormatting" : "Baron-Cohen, Wheelwright, Skinner, Martin, &amp; Clubley, 2001", "plainTextFormattedCitation" : "(Baron-Cohen et al., 2001)", "previouslyFormattedCitation" : "(Baron-Cohen et al., 2001)" }, "properties" : { "noteIndex" : 0 }, "schema" : "https://github.com/citation-style-language/schema/raw/master/csl-citation.json" }</w:instrText>
      </w:r>
      <w:r w:rsidR="00A81DD6">
        <w:rPr>
          <w:rFonts w:cstheme="minorHAnsi"/>
          <w:sz w:val="24"/>
          <w:szCs w:val="24"/>
        </w:rPr>
        <w:fldChar w:fldCharType="separate"/>
      </w:r>
      <w:r w:rsidR="00A81DD6" w:rsidRPr="001229E5">
        <w:rPr>
          <w:rFonts w:cstheme="minorHAnsi"/>
          <w:noProof/>
          <w:sz w:val="24"/>
          <w:szCs w:val="24"/>
        </w:rPr>
        <w:t>Baron-Cohen, Wheelwright, Skinner, Martin, &amp; Clubley, 2001</w:t>
      </w:r>
      <w:r w:rsidR="00A81DD6">
        <w:rPr>
          <w:rFonts w:cstheme="minorHAnsi"/>
          <w:sz w:val="24"/>
          <w:szCs w:val="24"/>
        </w:rPr>
        <w:fldChar w:fldCharType="end"/>
      </w:r>
      <w:r w:rsidR="00A81DD6">
        <w:rPr>
          <w:rFonts w:cstheme="minorHAnsi"/>
          <w:sz w:val="24"/>
          <w:szCs w:val="24"/>
        </w:rPr>
        <w:t>) but replacing our</w:t>
      </w:r>
      <w:r w:rsidR="00642218">
        <w:rPr>
          <w:rFonts w:cstheme="minorHAnsi"/>
          <w:sz w:val="24"/>
          <w:szCs w:val="24"/>
        </w:rPr>
        <w:t xml:space="preserve"> expected effect size</w:t>
      </w:r>
      <w:r w:rsidR="00A81DD6">
        <w:rPr>
          <w:rFonts w:cstheme="minorHAnsi"/>
          <w:sz w:val="24"/>
          <w:szCs w:val="24"/>
        </w:rPr>
        <w:t xml:space="preserve"> (i.e., our “mean</w:t>
      </w:r>
      <w:r w:rsidR="00A81DD6">
        <w:rPr>
          <w:sz w:val="24"/>
          <w:szCs w:val="24"/>
        </w:rPr>
        <w:t xml:space="preserve"> group difference from the comparable study</w:t>
      </w:r>
      <w:r w:rsidR="00A81DD6">
        <w:rPr>
          <w:rFonts w:cstheme="minorHAnsi"/>
          <w:sz w:val="24"/>
          <w:szCs w:val="24"/>
        </w:rPr>
        <w:t>” above)</w:t>
      </w:r>
      <w:r w:rsidR="00251BD6">
        <w:rPr>
          <w:rFonts w:cstheme="minorHAnsi"/>
          <w:sz w:val="24"/>
          <w:szCs w:val="24"/>
        </w:rPr>
        <w:t xml:space="preserve"> with an alternative </w:t>
      </w:r>
      <w:r w:rsidR="00C462B1">
        <w:rPr>
          <w:rFonts w:cstheme="minorHAnsi"/>
          <w:sz w:val="24"/>
          <w:szCs w:val="24"/>
        </w:rPr>
        <w:t xml:space="preserve">value. For this we consider that the AQ has a maximum score of 10, which sets the boundary of the potential difference between savants and </w:t>
      </w:r>
      <w:r w:rsidR="00642218">
        <w:rPr>
          <w:rFonts w:cstheme="minorHAnsi"/>
          <w:sz w:val="24"/>
          <w:szCs w:val="24"/>
        </w:rPr>
        <w:t>autistic participants</w:t>
      </w:r>
      <w:r w:rsidR="00592F20">
        <w:rPr>
          <w:rFonts w:cstheme="minorHAnsi"/>
          <w:sz w:val="24"/>
          <w:szCs w:val="24"/>
        </w:rPr>
        <w:t xml:space="preserve">. Thus, for the Social Skills factor </w:t>
      </w:r>
      <w:r w:rsidR="00C462B1">
        <w:rPr>
          <w:rFonts w:cstheme="minorHAnsi"/>
          <w:sz w:val="24"/>
          <w:szCs w:val="24"/>
        </w:rPr>
        <w:t xml:space="preserve">for example, </w:t>
      </w:r>
      <w:r w:rsidR="00592F20">
        <w:rPr>
          <w:rFonts w:cstheme="minorHAnsi"/>
          <w:sz w:val="24"/>
          <w:szCs w:val="24"/>
        </w:rPr>
        <w:t>autistic participants scored 7.5</w:t>
      </w:r>
      <w:r w:rsidR="00826F32">
        <w:rPr>
          <w:rFonts w:cstheme="minorHAnsi"/>
          <w:sz w:val="24"/>
          <w:szCs w:val="24"/>
        </w:rPr>
        <w:t xml:space="preserve"> in our prior</w:t>
      </w:r>
      <w:r w:rsidR="00C918AB">
        <w:rPr>
          <w:rFonts w:cstheme="minorHAnsi"/>
          <w:sz w:val="24"/>
          <w:szCs w:val="24"/>
        </w:rPr>
        <w:t xml:space="preserve"> </w:t>
      </w:r>
      <w:r w:rsidR="00C918AB">
        <w:rPr>
          <w:rFonts w:cstheme="minorHAnsi"/>
          <w:sz w:val="24"/>
          <w:szCs w:val="24"/>
        </w:rPr>
        <w:fldChar w:fldCharType="begin" w:fldLock="1"/>
      </w:r>
      <w:r w:rsidR="00251BD6">
        <w:rPr>
          <w:rFonts w:cstheme="minorHAnsi"/>
          <w:sz w:val="24"/>
          <w:szCs w:val="24"/>
        </w:rPr>
        <w:instrText>ADDIN CSL_CITATION { "citationItems" : [ { "id" : "ITEM-1", "itemData" : { "DOI" : "10.1023/A:1005653411471", "ISBN" : "0162-3257", "ISSN" : "01623257", "PMID" : "11439754", "abstract" : "Currently there are no brief, self-administered instruments for measuring the degree to", "author" : [ { "dropping-particle" : "", "family" : "Baron-Cohen", "given" : "Simon", "non-dropping-particle" : "", "parse-names" : false, "suffix" : "" }, { "dropping-particle" : "", "family" : "Wheelwright", "given" : "Sally", "non-dropping-particle" : "", "parse-names" : false, "suffix" : "" }, { "dropping-particle" : "", "family" : "Skinner", "given" : "Richard", "non-dropping-particle" : "", "parse-names" : false, "suffix" : "" }, { "dropping-particle" : "", "family" : "Martin", "given" : "Joanne", "non-dropping-particle" : "", "parse-names" : false, "suffix" : "" }, { "dropping-particle" : "", "family" : "Clubley", "given" : "Emma", "non-dropping-particle" : "", "parse-names" : false, "suffix" : "" } ], "container-title" : "Journal of Autism and Developmental Disorders", "id" : "ITEM-1", "issue" : "1", "issued" : { "date-parts" : [ [ "2001" ] ] }, "page" : "5-17", "title" : "The Autism-Spectrum Quotient (AQ): Evidence from Asperger Syndrome/High-Functioning Autism, Males and Females, Scientists and Mathematicians", "type" : "article-journal", "volume" : "31" }, "uris" : [ "http://www.mendeley.com/documents/?uuid=1b8a686a-3fd3-35ff-9203-2b8be098a83d" ] } ], "mendeley" : { "formattedCitation" : "(Baron-Cohen et al., 2001)", "plainTextFormattedCitation" : "(Baron-Cohen et al., 2001)", "previouslyFormattedCitation" : "(Baron-Cohen et al., 2001)" }, "properties" : { "noteIndex" : 0 }, "schema" : "https://github.com/citation-style-language/schema/raw/master/csl-citation.json" }</w:instrText>
      </w:r>
      <w:r w:rsidR="00C918AB">
        <w:rPr>
          <w:rFonts w:cstheme="minorHAnsi"/>
          <w:sz w:val="24"/>
          <w:szCs w:val="24"/>
        </w:rPr>
        <w:fldChar w:fldCharType="separate"/>
      </w:r>
      <w:r w:rsidR="00C918AB" w:rsidRPr="00C918AB">
        <w:rPr>
          <w:rFonts w:cstheme="minorHAnsi"/>
          <w:noProof/>
          <w:sz w:val="24"/>
          <w:szCs w:val="24"/>
        </w:rPr>
        <w:t>(Baron-Cohen et al., 2001)</w:t>
      </w:r>
      <w:r w:rsidR="00C918AB">
        <w:rPr>
          <w:rFonts w:cstheme="minorHAnsi"/>
          <w:sz w:val="24"/>
          <w:szCs w:val="24"/>
        </w:rPr>
        <w:fldChar w:fldCharType="end"/>
      </w:r>
      <w:r w:rsidR="00592F20">
        <w:rPr>
          <w:rFonts w:cstheme="minorHAnsi"/>
          <w:sz w:val="24"/>
          <w:szCs w:val="24"/>
        </w:rPr>
        <w:t xml:space="preserve"> with the maximum score being 10 so our expected effect size for this factor </w:t>
      </w:r>
      <w:r w:rsidR="00826F32">
        <w:rPr>
          <w:rFonts w:cstheme="minorHAnsi"/>
          <w:sz w:val="24"/>
          <w:szCs w:val="24"/>
        </w:rPr>
        <w:t>is a maximum of</w:t>
      </w:r>
      <w:r w:rsidR="00592F20">
        <w:rPr>
          <w:rFonts w:cstheme="minorHAnsi"/>
          <w:sz w:val="24"/>
          <w:szCs w:val="24"/>
        </w:rPr>
        <w:t xml:space="preserve"> </w:t>
      </w:r>
      <w:r w:rsidR="00C462B1">
        <w:rPr>
          <w:rFonts w:cstheme="minorHAnsi"/>
          <w:sz w:val="24"/>
          <w:szCs w:val="24"/>
        </w:rPr>
        <w:t xml:space="preserve">2.5. The protocol </w:t>
      </w:r>
      <w:r w:rsidR="00826F32">
        <w:rPr>
          <w:rFonts w:cstheme="minorHAnsi"/>
          <w:sz w:val="24"/>
          <w:szCs w:val="24"/>
        </w:rPr>
        <w:t xml:space="preserve">then </w:t>
      </w:r>
      <w:r w:rsidR="00C462B1">
        <w:rPr>
          <w:rFonts w:cstheme="minorHAnsi"/>
          <w:sz w:val="24"/>
          <w:szCs w:val="24"/>
        </w:rPr>
        <w:t xml:space="preserve">requires we </w:t>
      </w:r>
      <w:r w:rsidR="00826F32">
        <w:rPr>
          <w:rFonts w:cstheme="minorHAnsi"/>
          <w:sz w:val="24"/>
          <w:szCs w:val="24"/>
        </w:rPr>
        <w:t>divide</w:t>
      </w:r>
      <w:r w:rsidR="00C462B1">
        <w:rPr>
          <w:rFonts w:cstheme="minorHAnsi"/>
          <w:sz w:val="24"/>
          <w:szCs w:val="24"/>
        </w:rPr>
        <w:t xml:space="preserve"> this value by 2 in order to produce a final plausible expected effect size for savants compared to autistic participants (</w:t>
      </w:r>
      <w:r w:rsidR="00826F32">
        <w:rPr>
          <w:rFonts w:cstheme="minorHAnsi"/>
          <w:sz w:val="24"/>
          <w:szCs w:val="24"/>
        </w:rPr>
        <w:t>i.e.</w:t>
      </w:r>
      <w:r w:rsidR="00C462B1">
        <w:rPr>
          <w:rFonts w:cstheme="minorHAnsi"/>
          <w:sz w:val="24"/>
          <w:szCs w:val="24"/>
        </w:rPr>
        <w:t xml:space="preserve">, </w:t>
      </w:r>
      <w:r w:rsidR="00592F20">
        <w:rPr>
          <w:rFonts w:cstheme="minorHAnsi"/>
          <w:sz w:val="24"/>
          <w:szCs w:val="24"/>
        </w:rPr>
        <w:t>2.5/2 = 1.25</w:t>
      </w:r>
      <w:r w:rsidR="00C462B1">
        <w:rPr>
          <w:rFonts w:cstheme="minorHAnsi"/>
          <w:sz w:val="24"/>
          <w:szCs w:val="24"/>
        </w:rPr>
        <w:t>)</w:t>
      </w:r>
      <w:r w:rsidR="00592F20">
        <w:rPr>
          <w:rFonts w:cstheme="minorHAnsi"/>
          <w:sz w:val="24"/>
          <w:szCs w:val="24"/>
        </w:rPr>
        <w:t xml:space="preserve">. We </w:t>
      </w:r>
      <w:r w:rsidR="00826F32">
        <w:rPr>
          <w:rFonts w:cstheme="minorHAnsi"/>
          <w:sz w:val="24"/>
          <w:szCs w:val="24"/>
        </w:rPr>
        <w:t xml:space="preserve">did likewise for all factors and </w:t>
      </w:r>
      <w:r w:rsidR="00592F20">
        <w:rPr>
          <w:rFonts w:cstheme="minorHAnsi"/>
          <w:sz w:val="24"/>
          <w:szCs w:val="24"/>
        </w:rPr>
        <w:t xml:space="preserve">entered </w:t>
      </w:r>
      <w:r w:rsidR="00826F32">
        <w:rPr>
          <w:rFonts w:cstheme="minorHAnsi"/>
          <w:sz w:val="24"/>
          <w:szCs w:val="24"/>
        </w:rPr>
        <w:t>our</w:t>
      </w:r>
      <w:r w:rsidR="00592F20">
        <w:rPr>
          <w:rFonts w:cstheme="minorHAnsi"/>
          <w:sz w:val="24"/>
          <w:szCs w:val="24"/>
        </w:rPr>
        <w:t xml:space="preserve"> parameters into Aladins in the same way as above </w:t>
      </w:r>
      <w:r w:rsidR="00826F32">
        <w:rPr>
          <w:rFonts w:cstheme="minorHAnsi"/>
          <w:sz w:val="24"/>
          <w:szCs w:val="24"/>
        </w:rPr>
        <w:t>(e.g., for S</w:t>
      </w:r>
      <w:r w:rsidR="00592F20">
        <w:rPr>
          <w:rFonts w:cstheme="minorHAnsi"/>
          <w:sz w:val="24"/>
          <w:szCs w:val="24"/>
        </w:rPr>
        <w:t xml:space="preserve">ocial Skills </w:t>
      </w:r>
      <w:r w:rsidR="00826F32">
        <w:rPr>
          <w:rFonts w:cstheme="minorHAnsi"/>
          <w:sz w:val="24"/>
          <w:szCs w:val="24"/>
        </w:rPr>
        <w:t xml:space="preserve">our full set of values were: </w:t>
      </w:r>
      <w:r w:rsidR="00592F20">
        <w:rPr>
          <w:rFonts w:cstheme="minorHAnsi"/>
          <w:sz w:val="24"/>
          <w:szCs w:val="24"/>
        </w:rPr>
        <w:t xml:space="preserve">0, 1.25, </w:t>
      </w:r>
      <w:r w:rsidR="00592F20" w:rsidRPr="006E3386">
        <w:rPr>
          <w:rFonts w:cstheme="minorHAnsi"/>
          <w:sz w:val="24"/>
          <w:szCs w:val="24"/>
        </w:rPr>
        <w:t>-0.06970, .36112, 61</w:t>
      </w:r>
      <w:r w:rsidR="00826F32">
        <w:rPr>
          <w:rFonts w:cstheme="minorHAnsi"/>
          <w:sz w:val="24"/>
          <w:szCs w:val="24"/>
        </w:rPr>
        <w:t>)</w:t>
      </w:r>
      <w:r w:rsidR="00592F20">
        <w:rPr>
          <w:rFonts w:cstheme="minorHAnsi"/>
          <w:sz w:val="24"/>
          <w:szCs w:val="24"/>
        </w:rPr>
        <w:t>.</w:t>
      </w:r>
      <w:r>
        <w:rPr>
          <w:rFonts w:cstheme="minorHAnsi"/>
          <w:sz w:val="24"/>
          <w:szCs w:val="24"/>
        </w:rPr>
        <w:t xml:space="preserve"> These </w:t>
      </w:r>
      <w:r w:rsidR="00826F32">
        <w:rPr>
          <w:rFonts w:cstheme="minorHAnsi"/>
          <w:sz w:val="24"/>
          <w:szCs w:val="24"/>
        </w:rPr>
        <w:t xml:space="preserve">resultant </w:t>
      </w:r>
      <w:r>
        <w:rPr>
          <w:rFonts w:cstheme="minorHAnsi"/>
          <w:sz w:val="24"/>
          <w:szCs w:val="24"/>
        </w:rPr>
        <w:t>additional Bayes</w:t>
      </w:r>
      <w:r w:rsidR="00DF4B64">
        <w:rPr>
          <w:rFonts w:cstheme="minorHAnsi"/>
          <w:sz w:val="24"/>
          <w:szCs w:val="24"/>
        </w:rPr>
        <w:t xml:space="preserve"> f</w:t>
      </w:r>
      <w:r w:rsidR="00592F20">
        <w:rPr>
          <w:rFonts w:cstheme="minorHAnsi"/>
          <w:sz w:val="24"/>
          <w:szCs w:val="24"/>
        </w:rPr>
        <w:t>actors</w:t>
      </w:r>
      <w:r>
        <w:rPr>
          <w:rFonts w:cstheme="minorHAnsi"/>
          <w:sz w:val="24"/>
          <w:szCs w:val="24"/>
        </w:rPr>
        <w:t xml:space="preserve"> </w:t>
      </w:r>
      <w:r w:rsidR="00D95A5B">
        <w:rPr>
          <w:rFonts w:cstheme="minorHAnsi"/>
          <w:sz w:val="24"/>
          <w:szCs w:val="24"/>
        </w:rPr>
        <w:t>are</w:t>
      </w:r>
      <w:r>
        <w:rPr>
          <w:rFonts w:cstheme="minorHAnsi"/>
          <w:sz w:val="24"/>
          <w:szCs w:val="24"/>
        </w:rPr>
        <w:t xml:space="preserve"> shown in Row 4 of </w:t>
      </w:r>
      <w:r w:rsidR="006E3386" w:rsidRPr="00DB2F84">
        <w:rPr>
          <w:rFonts w:cstheme="minorHAnsi"/>
          <w:sz w:val="24"/>
          <w:szCs w:val="24"/>
        </w:rPr>
        <w:t>Table S1</w:t>
      </w:r>
      <w:r w:rsidR="00D95A5B">
        <w:rPr>
          <w:rFonts w:cstheme="minorHAnsi"/>
          <w:sz w:val="24"/>
          <w:szCs w:val="24"/>
        </w:rPr>
        <w:t>. A</w:t>
      </w:r>
      <w:r>
        <w:rPr>
          <w:rFonts w:cstheme="minorHAnsi"/>
          <w:sz w:val="24"/>
          <w:szCs w:val="24"/>
        </w:rPr>
        <w:t xml:space="preserve"> comparison of Rows 3 and 4</w:t>
      </w:r>
      <w:r w:rsidR="006E3386" w:rsidRPr="00DB2F84">
        <w:rPr>
          <w:rFonts w:cstheme="minorHAnsi"/>
          <w:sz w:val="24"/>
          <w:szCs w:val="24"/>
        </w:rPr>
        <w:t xml:space="preserve"> s</w:t>
      </w:r>
      <w:r w:rsidR="00DF4B64">
        <w:rPr>
          <w:rFonts w:cstheme="minorHAnsi"/>
          <w:sz w:val="24"/>
          <w:szCs w:val="24"/>
        </w:rPr>
        <w:t>how that our two sets of Bayes f</w:t>
      </w:r>
      <w:r w:rsidR="006E3386" w:rsidRPr="00DB2F84">
        <w:rPr>
          <w:rFonts w:cstheme="minorHAnsi"/>
          <w:sz w:val="24"/>
          <w:szCs w:val="24"/>
        </w:rPr>
        <w:t xml:space="preserve">actors </w:t>
      </w:r>
      <w:r>
        <w:rPr>
          <w:rFonts w:cstheme="minorHAnsi"/>
          <w:sz w:val="24"/>
          <w:szCs w:val="24"/>
        </w:rPr>
        <w:t xml:space="preserve">give consistent results, both </w:t>
      </w:r>
      <w:r w:rsidR="006E3386" w:rsidRPr="00DB2F84">
        <w:rPr>
          <w:rFonts w:cstheme="minorHAnsi"/>
          <w:sz w:val="24"/>
          <w:szCs w:val="24"/>
        </w:rPr>
        <w:t>favouring H0 over H1</w:t>
      </w:r>
      <w:r w:rsidR="00E76AE4">
        <w:rPr>
          <w:rFonts w:cstheme="minorHAnsi"/>
          <w:sz w:val="24"/>
          <w:szCs w:val="24"/>
        </w:rPr>
        <w:t xml:space="preserve"> (with the exception of attention to detail)</w:t>
      </w:r>
      <w:r>
        <w:rPr>
          <w:rFonts w:cstheme="minorHAnsi"/>
          <w:sz w:val="24"/>
          <w:szCs w:val="24"/>
        </w:rPr>
        <w:t xml:space="preserve">. This </w:t>
      </w:r>
      <w:r w:rsidR="006E3386" w:rsidRPr="00DB2F84">
        <w:rPr>
          <w:rFonts w:cstheme="minorHAnsi"/>
          <w:sz w:val="24"/>
          <w:szCs w:val="24"/>
        </w:rPr>
        <w:t xml:space="preserve">indicates an acceptable level of robustness </w:t>
      </w:r>
      <w:r w:rsidR="00D95A5B">
        <w:rPr>
          <w:rFonts w:cstheme="minorHAnsi"/>
          <w:sz w:val="24"/>
          <w:szCs w:val="24"/>
        </w:rPr>
        <w:t>given</w:t>
      </w:r>
      <w:r w:rsidR="006E3386" w:rsidRPr="00DB2F84">
        <w:rPr>
          <w:rFonts w:cstheme="minorHAnsi"/>
          <w:sz w:val="24"/>
          <w:szCs w:val="24"/>
        </w:rPr>
        <w:t xml:space="preserve"> </w:t>
      </w:r>
      <w:r>
        <w:rPr>
          <w:rFonts w:cstheme="minorHAnsi"/>
          <w:sz w:val="24"/>
          <w:szCs w:val="24"/>
        </w:rPr>
        <w:t xml:space="preserve">our choice of informed prior. </w:t>
      </w:r>
      <w:r w:rsidR="00826F32">
        <w:rPr>
          <w:rFonts w:cstheme="minorHAnsi"/>
          <w:sz w:val="24"/>
          <w:szCs w:val="24"/>
        </w:rPr>
        <w:t xml:space="preserve">In summary, we conclude that there is </w:t>
      </w:r>
      <w:r w:rsidR="00571C15">
        <w:rPr>
          <w:rFonts w:cstheme="minorHAnsi"/>
          <w:sz w:val="24"/>
          <w:szCs w:val="24"/>
        </w:rPr>
        <w:t xml:space="preserve">moderate </w:t>
      </w:r>
      <w:r w:rsidR="00826F32">
        <w:rPr>
          <w:rFonts w:cstheme="minorHAnsi"/>
          <w:sz w:val="24"/>
          <w:szCs w:val="24"/>
        </w:rPr>
        <w:t xml:space="preserve">support for the null hypothesis (no differences between </w:t>
      </w:r>
      <w:r w:rsidR="00187FDC">
        <w:rPr>
          <w:rFonts w:cstheme="minorHAnsi"/>
          <w:sz w:val="24"/>
          <w:szCs w:val="24"/>
        </w:rPr>
        <w:t>autistic-</w:t>
      </w:r>
      <w:r w:rsidR="00826F32">
        <w:rPr>
          <w:rFonts w:cstheme="minorHAnsi"/>
          <w:sz w:val="24"/>
          <w:szCs w:val="24"/>
        </w:rPr>
        <w:t>savants and autistic non-savants) for the AQ factors of Social Skills, Attention Switching, Communication, and Imagination with inconclusive results for Attention to Detail.</w:t>
      </w:r>
    </w:p>
    <w:p w14:paraId="748E3BEF" w14:textId="77777777" w:rsidR="00251BD6" w:rsidRDefault="00251BD6" w:rsidP="0049516F">
      <w:pPr>
        <w:jc w:val="both"/>
        <w:rPr>
          <w:rFonts w:cstheme="minorHAnsi"/>
          <w:sz w:val="24"/>
          <w:szCs w:val="24"/>
        </w:rPr>
      </w:pPr>
    </w:p>
    <w:p w14:paraId="0F9E38E9" w14:textId="77777777" w:rsidR="00251BD6" w:rsidRDefault="00251BD6" w:rsidP="0049516F">
      <w:pPr>
        <w:jc w:val="both"/>
        <w:rPr>
          <w:rFonts w:cstheme="minorHAnsi"/>
          <w:sz w:val="24"/>
          <w:szCs w:val="24"/>
        </w:rPr>
      </w:pPr>
    </w:p>
    <w:p w14:paraId="529A2493" w14:textId="10308E89" w:rsidR="005A47BA" w:rsidRPr="008A17FC" w:rsidRDefault="005A47BA" w:rsidP="005A47BA">
      <w:pPr>
        <w:jc w:val="both"/>
        <w:rPr>
          <w:sz w:val="24"/>
          <w:szCs w:val="24"/>
        </w:rPr>
      </w:pPr>
      <w:r w:rsidRPr="00C51C58">
        <w:rPr>
          <w:b/>
          <w:sz w:val="24"/>
          <w:szCs w:val="24"/>
        </w:rPr>
        <w:lastRenderedPageBreak/>
        <w:t>Table S1</w:t>
      </w:r>
      <w:r w:rsidRPr="00C51C58">
        <w:rPr>
          <w:sz w:val="24"/>
          <w:szCs w:val="24"/>
        </w:rPr>
        <w:t xml:space="preserve"> </w:t>
      </w:r>
      <w:r>
        <w:rPr>
          <w:sz w:val="24"/>
          <w:szCs w:val="24"/>
        </w:rPr>
        <w:t xml:space="preserve">Bayes </w:t>
      </w:r>
      <w:r w:rsidR="00DF4B64">
        <w:rPr>
          <w:sz w:val="24"/>
          <w:szCs w:val="24"/>
        </w:rPr>
        <w:t>f</w:t>
      </w:r>
      <w:r>
        <w:rPr>
          <w:sz w:val="24"/>
          <w:szCs w:val="24"/>
        </w:rPr>
        <w:t xml:space="preserve">actors calculated for each AQ factor (columns 2-6). </w:t>
      </w:r>
      <w:r>
        <w:rPr>
          <w:rFonts w:cstheme="minorHAnsi"/>
          <w:sz w:val="24"/>
          <w:szCs w:val="24"/>
        </w:rPr>
        <w:t>Rows 1 and 2 refer to the specific AQ domain while rows 3 a</w:t>
      </w:r>
      <w:r w:rsidR="00DF4B64">
        <w:rPr>
          <w:rFonts w:cstheme="minorHAnsi"/>
          <w:sz w:val="24"/>
          <w:szCs w:val="24"/>
        </w:rPr>
        <w:t>nd 4 show our calculated Bayes f</w:t>
      </w:r>
      <w:r>
        <w:rPr>
          <w:rFonts w:cstheme="minorHAnsi"/>
          <w:sz w:val="24"/>
          <w:szCs w:val="24"/>
        </w:rPr>
        <w:t>actors using an informed model of H1 with a t-distribution (row 3) and an alternative model of H1 (row 4).</w:t>
      </w:r>
    </w:p>
    <w:tbl>
      <w:tblPr>
        <w:tblStyle w:val="TableGrid"/>
        <w:tblpPr w:leftFromText="180" w:rightFromText="180" w:vertAnchor="text" w:horzAnchor="margin" w:tblpY="12"/>
        <w:tblW w:w="9434" w:type="dxa"/>
        <w:tblLayout w:type="fixed"/>
        <w:tblLook w:val="04A0" w:firstRow="1" w:lastRow="0" w:firstColumn="1" w:lastColumn="0" w:noHBand="0" w:noVBand="1"/>
      </w:tblPr>
      <w:tblGrid>
        <w:gridCol w:w="1928"/>
        <w:gridCol w:w="1483"/>
        <w:gridCol w:w="1333"/>
        <w:gridCol w:w="1541"/>
        <w:gridCol w:w="1720"/>
        <w:gridCol w:w="1429"/>
      </w:tblGrid>
      <w:tr w:rsidR="005A47BA" w:rsidRPr="00C51C58" w14:paraId="1B961747" w14:textId="77777777" w:rsidTr="00826F32">
        <w:trPr>
          <w:trHeight w:val="576"/>
        </w:trPr>
        <w:tc>
          <w:tcPr>
            <w:tcW w:w="1928" w:type="dxa"/>
            <w:tcBorders>
              <w:left w:val="nil"/>
              <w:bottom w:val="nil"/>
              <w:right w:val="nil"/>
            </w:tcBorders>
          </w:tcPr>
          <w:p w14:paraId="7E7A0280" w14:textId="77777777" w:rsidR="005A47BA" w:rsidRPr="00955C8D" w:rsidRDefault="005A47BA" w:rsidP="00AD5F53">
            <w:pPr>
              <w:rPr>
                <w:szCs w:val="24"/>
              </w:rPr>
            </w:pPr>
          </w:p>
        </w:tc>
        <w:tc>
          <w:tcPr>
            <w:tcW w:w="7506" w:type="dxa"/>
            <w:gridSpan w:val="5"/>
            <w:tcBorders>
              <w:left w:val="nil"/>
              <w:bottom w:val="nil"/>
              <w:right w:val="nil"/>
            </w:tcBorders>
          </w:tcPr>
          <w:p w14:paraId="29BEE64E" w14:textId="77777777" w:rsidR="005A47BA" w:rsidRPr="00955C8D" w:rsidRDefault="005A47BA" w:rsidP="00AD5F53">
            <w:pPr>
              <w:tabs>
                <w:tab w:val="center" w:pos="3649"/>
              </w:tabs>
              <w:rPr>
                <w:b/>
                <w:szCs w:val="24"/>
              </w:rPr>
            </w:pPr>
            <w:r>
              <w:rPr>
                <w:b/>
                <w:szCs w:val="24"/>
              </w:rPr>
              <w:tab/>
            </w:r>
            <w:r w:rsidRPr="00955C8D">
              <w:rPr>
                <w:b/>
                <w:szCs w:val="24"/>
              </w:rPr>
              <w:t xml:space="preserve">AQ </w:t>
            </w:r>
            <w:r>
              <w:rPr>
                <w:b/>
                <w:szCs w:val="24"/>
              </w:rPr>
              <w:t>domain</w:t>
            </w:r>
          </w:p>
        </w:tc>
      </w:tr>
      <w:tr w:rsidR="005A47BA" w:rsidRPr="00C51C58" w14:paraId="3579F105" w14:textId="77777777" w:rsidTr="00826F32">
        <w:trPr>
          <w:trHeight w:val="800"/>
        </w:trPr>
        <w:tc>
          <w:tcPr>
            <w:tcW w:w="1928" w:type="dxa"/>
            <w:tcBorders>
              <w:top w:val="nil"/>
              <w:left w:val="nil"/>
              <w:bottom w:val="nil"/>
              <w:right w:val="nil"/>
            </w:tcBorders>
          </w:tcPr>
          <w:p w14:paraId="6807C992" w14:textId="77777777" w:rsidR="005A47BA" w:rsidRPr="00955C8D" w:rsidRDefault="005A47BA" w:rsidP="00AD5F53">
            <w:pPr>
              <w:rPr>
                <w:szCs w:val="24"/>
              </w:rPr>
            </w:pPr>
          </w:p>
        </w:tc>
        <w:tc>
          <w:tcPr>
            <w:tcW w:w="1483" w:type="dxa"/>
            <w:tcBorders>
              <w:top w:val="nil"/>
              <w:left w:val="nil"/>
              <w:bottom w:val="single" w:sz="4" w:space="0" w:color="auto"/>
              <w:right w:val="nil"/>
            </w:tcBorders>
          </w:tcPr>
          <w:p w14:paraId="0DCCCA85" w14:textId="77777777" w:rsidR="005A47BA" w:rsidRPr="00955C8D" w:rsidRDefault="005A47BA" w:rsidP="00AD5F53">
            <w:pPr>
              <w:rPr>
                <w:szCs w:val="24"/>
              </w:rPr>
            </w:pPr>
            <w:r w:rsidRPr="00955C8D">
              <w:rPr>
                <w:szCs w:val="24"/>
              </w:rPr>
              <w:t>Social Skill</w:t>
            </w:r>
            <w:r>
              <w:rPr>
                <w:szCs w:val="24"/>
              </w:rPr>
              <w:t>s</w:t>
            </w:r>
          </w:p>
        </w:tc>
        <w:tc>
          <w:tcPr>
            <w:tcW w:w="1333" w:type="dxa"/>
            <w:tcBorders>
              <w:top w:val="nil"/>
              <w:left w:val="nil"/>
              <w:bottom w:val="single" w:sz="4" w:space="0" w:color="auto"/>
              <w:right w:val="nil"/>
            </w:tcBorders>
          </w:tcPr>
          <w:p w14:paraId="04821A0D" w14:textId="77777777" w:rsidR="005A47BA" w:rsidRPr="00955C8D" w:rsidRDefault="005A47BA" w:rsidP="00AD5F53">
            <w:pPr>
              <w:rPr>
                <w:szCs w:val="24"/>
              </w:rPr>
            </w:pPr>
            <w:r w:rsidRPr="00955C8D">
              <w:rPr>
                <w:szCs w:val="24"/>
              </w:rPr>
              <w:t>Attention Switching</w:t>
            </w:r>
          </w:p>
        </w:tc>
        <w:tc>
          <w:tcPr>
            <w:tcW w:w="1541" w:type="dxa"/>
            <w:tcBorders>
              <w:top w:val="nil"/>
              <w:left w:val="nil"/>
              <w:bottom w:val="single" w:sz="4" w:space="0" w:color="auto"/>
              <w:right w:val="nil"/>
            </w:tcBorders>
          </w:tcPr>
          <w:p w14:paraId="0E2E0E03" w14:textId="77777777" w:rsidR="005A47BA" w:rsidRPr="00955C8D" w:rsidRDefault="005A47BA" w:rsidP="00AD5F53">
            <w:pPr>
              <w:rPr>
                <w:szCs w:val="24"/>
              </w:rPr>
            </w:pPr>
            <w:r w:rsidRPr="00955C8D">
              <w:rPr>
                <w:szCs w:val="24"/>
              </w:rPr>
              <w:t>Attention to detail</w:t>
            </w:r>
          </w:p>
        </w:tc>
        <w:tc>
          <w:tcPr>
            <w:tcW w:w="1720" w:type="dxa"/>
            <w:tcBorders>
              <w:top w:val="nil"/>
              <w:left w:val="nil"/>
              <w:bottom w:val="single" w:sz="4" w:space="0" w:color="auto"/>
              <w:right w:val="nil"/>
            </w:tcBorders>
          </w:tcPr>
          <w:p w14:paraId="17DC3FCA" w14:textId="77777777" w:rsidR="005A47BA" w:rsidRPr="00955C8D" w:rsidRDefault="005A47BA" w:rsidP="00AD5F53">
            <w:pPr>
              <w:rPr>
                <w:szCs w:val="24"/>
              </w:rPr>
            </w:pPr>
            <w:r w:rsidRPr="00955C8D">
              <w:rPr>
                <w:szCs w:val="24"/>
              </w:rPr>
              <w:t>Communication</w:t>
            </w:r>
          </w:p>
        </w:tc>
        <w:tc>
          <w:tcPr>
            <w:tcW w:w="1426" w:type="dxa"/>
            <w:tcBorders>
              <w:top w:val="nil"/>
              <w:left w:val="nil"/>
              <w:bottom w:val="single" w:sz="4" w:space="0" w:color="auto"/>
              <w:right w:val="nil"/>
            </w:tcBorders>
          </w:tcPr>
          <w:p w14:paraId="7787F2C9" w14:textId="77777777" w:rsidR="005A47BA" w:rsidRPr="00955C8D" w:rsidRDefault="005A47BA" w:rsidP="00AD5F53">
            <w:pPr>
              <w:rPr>
                <w:szCs w:val="24"/>
              </w:rPr>
            </w:pPr>
            <w:r w:rsidRPr="00955C8D">
              <w:rPr>
                <w:szCs w:val="24"/>
              </w:rPr>
              <w:t>Imagination</w:t>
            </w:r>
          </w:p>
        </w:tc>
      </w:tr>
      <w:tr w:rsidR="005A47BA" w:rsidRPr="00C51C58" w14:paraId="6E8457EB" w14:textId="77777777" w:rsidTr="00826F32">
        <w:trPr>
          <w:trHeight w:val="753"/>
        </w:trPr>
        <w:tc>
          <w:tcPr>
            <w:tcW w:w="1928" w:type="dxa"/>
            <w:tcBorders>
              <w:top w:val="nil"/>
              <w:left w:val="nil"/>
              <w:bottom w:val="nil"/>
              <w:right w:val="nil"/>
            </w:tcBorders>
          </w:tcPr>
          <w:p w14:paraId="22202B27" w14:textId="77777777" w:rsidR="005A47BA" w:rsidRPr="00955C8D" w:rsidRDefault="005A47BA" w:rsidP="00AD5F53">
            <w:pPr>
              <w:spacing w:before="120"/>
              <w:rPr>
                <w:szCs w:val="24"/>
              </w:rPr>
            </w:pPr>
            <w:r>
              <w:rPr>
                <w:szCs w:val="24"/>
              </w:rPr>
              <w:t xml:space="preserve">Informative H1 </w:t>
            </w:r>
          </w:p>
        </w:tc>
        <w:tc>
          <w:tcPr>
            <w:tcW w:w="1483" w:type="dxa"/>
            <w:tcBorders>
              <w:top w:val="single" w:sz="4" w:space="0" w:color="auto"/>
              <w:left w:val="nil"/>
              <w:bottom w:val="nil"/>
              <w:right w:val="nil"/>
            </w:tcBorders>
          </w:tcPr>
          <w:p w14:paraId="472444F2" w14:textId="77777777" w:rsidR="005A47BA" w:rsidRPr="00955C8D" w:rsidRDefault="005A47BA" w:rsidP="00AD5F53">
            <w:pPr>
              <w:spacing w:before="120"/>
              <w:rPr>
                <w:szCs w:val="24"/>
              </w:rPr>
            </w:pPr>
            <w:r w:rsidRPr="00955C8D">
              <w:rPr>
                <w:szCs w:val="24"/>
              </w:rPr>
              <w:t>B</w:t>
            </w:r>
            <w:r>
              <w:rPr>
                <w:szCs w:val="24"/>
              </w:rPr>
              <w:t>F</w:t>
            </w:r>
            <w:r w:rsidRPr="00955C8D">
              <w:rPr>
                <w:szCs w:val="24"/>
              </w:rPr>
              <w:t xml:space="preserve"> = 0.13</w:t>
            </w:r>
          </w:p>
        </w:tc>
        <w:tc>
          <w:tcPr>
            <w:tcW w:w="1333" w:type="dxa"/>
            <w:tcBorders>
              <w:top w:val="single" w:sz="4" w:space="0" w:color="auto"/>
              <w:left w:val="nil"/>
              <w:bottom w:val="nil"/>
              <w:right w:val="nil"/>
            </w:tcBorders>
          </w:tcPr>
          <w:p w14:paraId="5575C038" w14:textId="77777777" w:rsidR="005A47BA" w:rsidRPr="00955C8D" w:rsidRDefault="005A47BA" w:rsidP="00AD5F53">
            <w:pPr>
              <w:spacing w:before="120"/>
              <w:rPr>
                <w:szCs w:val="24"/>
              </w:rPr>
            </w:pPr>
            <w:r w:rsidRPr="00955C8D">
              <w:rPr>
                <w:szCs w:val="24"/>
              </w:rPr>
              <w:t>B</w:t>
            </w:r>
            <w:r>
              <w:rPr>
                <w:szCs w:val="24"/>
              </w:rPr>
              <w:t>F</w:t>
            </w:r>
            <w:r w:rsidRPr="00955C8D">
              <w:rPr>
                <w:szCs w:val="24"/>
              </w:rPr>
              <w:t xml:space="preserve"> = 0.05</w:t>
            </w:r>
          </w:p>
        </w:tc>
        <w:tc>
          <w:tcPr>
            <w:tcW w:w="1541" w:type="dxa"/>
            <w:tcBorders>
              <w:top w:val="single" w:sz="4" w:space="0" w:color="auto"/>
              <w:left w:val="nil"/>
              <w:bottom w:val="nil"/>
              <w:right w:val="nil"/>
            </w:tcBorders>
          </w:tcPr>
          <w:p w14:paraId="215C090D" w14:textId="77777777" w:rsidR="005A47BA" w:rsidRPr="00955C8D" w:rsidRDefault="005A47BA" w:rsidP="00AD5F53">
            <w:pPr>
              <w:spacing w:before="120"/>
              <w:rPr>
                <w:szCs w:val="24"/>
              </w:rPr>
            </w:pPr>
            <w:r w:rsidRPr="00955C8D">
              <w:rPr>
                <w:szCs w:val="24"/>
              </w:rPr>
              <w:t>B</w:t>
            </w:r>
            <w:r>
              <w:rPr>
                <w:szCs w:val="24"/>
              </w:rPr>
              <w:t>F</w:t>
            </w:r>
            <w:r w:rsidRPr="00955C8D">
              <w:rPr>
                <w:szCs w:val="24"/>
              </w:rPr>
              <w:t xml:space="preserve"> = 0.96</w:t>
            </w:r>
          </w:p>
        </w:tc>
        <w:tc>
          <w:tcPr>
            <w:tcW w:w="1720" w:type="dxa"/>
            <w:tcBorders>
              <w:top w:val="single" w:sz="4" w:space="0" w:color="auto"/>
              <w:left w:val="nil"/>
              <w:bottom w:val="nil"/>
              <w:right w:val="nil"/>
            </w:tcBorders>
          </w:tcPr>
          <w:p w14:paraId="62D3EFFE" w14:textId="77777777" w:rsidR="005A47BA" w:rsidRPr="00955C8D" w:rsidRDefault="005A47BA" w:rsidP="00AD5F53">
            <w:pPr>
              <w:spacing w:before="120"/>
              <w:rPr>
                <w:szCs w:val="24"/>
              </w:rPr>
            </w:pPr>
            <w:r w:rsidRPr="00955C8D">
              <w:rPr>
                <w:szCs w:val="24"/>
              </w:rPr>
              <w:t>B</w:t>
            </w:r>
            <w:r>
              <w:rPr>
                <w:szCs w:val="24"/>
              </w:rPr>
              <w:t>F</w:t>
            </w:r>
            <w:r w:rsidRPr="00955C8D">
              <w:rPr>
                <w:szCs w:val="24"/>
              </w:rPr>
              <w:t xml:space="preserve"> = 0.06</w:t>
            </w:r>
          </w:p>
        </w:tc>
        <w:tc>
          <w:tcPr>
            <w:tcW w:w="1426" w:type="dxa"/>
            <w:tcBorders>
              <w:top w:val="single" w:sz="4" w:space="0" w:color="auto"/>
              <w:left w:val="nil"/>
              <w:bottom w:val="nil"/>
              <w:right w:val="nil"/>
            </w:tcBorders>
          </w:tcPr>
          <w:p w14:paraId="77AACCEB" w14:textId="77777777" w:rsidR="005A47BA" w:rsidRPr="00955C8D" w:rsidRDefault="005A47BA" w:rsidP="00AD5F53">
            <w:pPr>
              <w:spacing w:before="120"/>
              <w:rPr>
                <w:szCs w:val="24"/>
              </w:rPr>
            </w:pPr>
            <w:r w:rsidRPr="00955C8D">
              <w:rPr>
                <w:szCs w:val="24"/>
              </w:rPr>
              <w:t>B</w:t>
            </w:r>
            <w:r>
              <w:rPr>
                <w:szCs w:val="24"/>
              </w:rPr>
              <w:t>F</w:t>
            </w:r>
            <w:r w:rsidRPr="00955C8D">
              <w:rPr>
                <w:szCs w:val="24"/>
              </w:rPr>
              <w:t xml:space="preserve"> = 0.35</w:t>
            </w:r>
          </w:p>
        </w:tc>
      </w:tr>
      <w:tr w:rsidR="005A47BA" w:rsidRPr="00C51C58" w14:paraId="188E9280" w14:textId="77777777" w:rsidTr="00826F32">
        <w:trPr>
          <w:trHeight w:val="612"/>
        </w:trPr>
        <w:tc>
          <w:tcPr>
            <w:tcW w:w="1928" w:type="dxa"/>
            <w:tcBorders>
              <w:top w:val="nil"/>
              <w:left w:val="nil"/>
              <w:right w:val="nil"/>
            </w:tcBorders>
          </w:tcPr>
          <w:p w14:paraId="662DB8A5" w14:textId="77777777" w:rsidR="005A47BA" w:rsidRPr="00955C8D" w:rsidRDefault="005A47BA" w:rsidP="00AD5F53">
            <w:pPr>
              <w:rPr>
                <w:szCs w:val="24"/>
              </w:rPr>
            </w:pPr>
            <w:r>
              <w:rPr>
                <w:szCs w:val="24"/>
              </w:rPr>
              <w:t>Alternative H1</w:t>
            </w:r>
          </w:p>
        </w:tc>
        <w:tc>
          <w:tcPr>
            <w:tcW w:w="1483" w:type="dxa"/>
            <w:tcBorders>
              <w:top w:val="nil"/>
              <w:left w:val="nil"/>
              <w:right w:val="nil"/>
            </w:tcBorders>
          </w:tcPr>
          <w:p w14:paraId="03118FE6" w14:textId="77777777" w:rsidR="005A47BA" w:rsidRPr="00592F20" w:rsidRDefault="005A47BA" w:rsidP="00AD5F53">
            <w:pPr>
              <w:rPr>
                <w:szCs w:val="24"/>
                <w:highlight w:val="yellow"/>
              </w:rPr>
            </w:pPr>
            <w:r w:rsidRPr="00AF2350">
              <w:rPr>
                <w:szCs w:val="24"/>
              </w:rPr>
              <w:t>BF = 0.</w:t>
            </w:r>
            <w:r>
              <w:rPr>
                <w:szCs w:val="24"/>
              </w:rPr>
              <w:t>24</w:t>
            </w:r>
          </w:p>
        </w:tc>
        <w:tc>
          <w:tcPr>
            <w:tcW w:w="1333" w:type="dxa"/>
            <w:tcBorders>
              <w:top w:val="nil"/>
              <w:left w:val="nil"/>
              <w:right w:val="nil"/>
            </w:tcBorders>
          </w:tcPr>
          <w:p w14:paraId="53CA2AFE" w14:textId="77777777" w:rsidR="005A47BA" w:rsidRPr="00592F20" w:rsidRDefault="005A47BA" w:rsidP="00AD5F53">
            <w:pPr>
              <w:rPr>
                <w:szCs w:val="24"/>
                <w:highlight w:val="yellow"/>
              </w:rPr>
            </w:pPr>
            <w:r w:rsidRPr="00867E85">
              <w:rPr>
                <w:szCs w:val="24"/>
              </w:rPr>
              <w:t>BF = 0.16</w:t>
            </w:r>
          </w:p>
        </w:tc>
        <w:tc>
          <w:tcPr>
            <w:tcW w:w="1541" w:type="dxa"/>
            <w:tcBorders>
              <w:top w:val="nil"/>
              <w:left w:val="nil"/>
              <w:right w:val="nil"/>
            </w:tcBorders>
          </w:tcPr>
          <w:p w14:paraId="0DE03436" w14:textId="77777777" w:rsidR="005A47BA" w:rsidRPr="00592F20" w:rsidRDefault="005A47BA" w:rsidP="00AD5F53">
            <w:pPr>
              <w:rPr>
                <w:szCs w:val="24"/>
                <w:highlight w:val="yellow"/>
              </w:rPr>
            </w:pPr>
            <w:r w:rsidRPr="00867E85">
              <w:rPr>
                <w:szCs w:val="24"/>
              </w:rPr>
              <w:t>BF = 0.26</w:t>
            </w:r>
          </w:p>
        </w:tc>
        <w:tc>
          <w:tcPr>
            <w:tcW w:w="1720" w:type="dxa"/>
            <w:tcBorders>
              <w:top w:val="nil"/>
              <w:left w:val="nil"/>
              <w:right w:val="nil"/>
            </w:tcBorders>
          </w:tcPr>
          <w:p w14:paraId="6D3FAF3E" w14:textId="77777777" w:rsidR="005A47BA" w:rsidRPr="00592F20" w:rsidRDefault="005A47BA" w:rsidP="00AD5F53">
            <w:pPr>
              <w:rPr>
                <w:szCs w:val="24"/>
                <w:highlight w:val="yellow"/>
              </w:rPr>
            </w:pPr>
            <w:r w:rsidRPr="00867E85">
              <w:rPr>
                <w:szCs w:val="24"/>
              </w:rPr>
              <w:t>BF = 0.17</w:t>
            </w:r>
          </w:p>
        </w:tc>
        <w:tc>
          <w:tcPr>
            <w:tcW w:w="1426" w:type="dxa"/>
            <w:tcBorders>
              <w:top w:val="nil"/>
              <w:left w:val="nil"/>
              <w:right w:val="nil"/>
            </w:tcBorders>
          </w:tcPr>
          <w:p w14:paraId="3F32BD22" w14:textId="77777777" w:rsidR="005A47BA" w:rsidRPr="00592F20" w:rsidRDefault="005A47BA" w:rsidP="00AD5F53">
            <w:pPr>
              <w:rPr>
                <w:szCs w:val="24"/>
                <w:highlight w:val="yellow"/>
              </w:rPr>
            </w:pPr>
            <w:r w:rsidRPr="00867E85">
              <w:rPr>
                <w:szCs w:val="24"/>
              </w:rPr>
              <w:t>BF = 0.30</w:t>
            </w:r>
          </w:p>
        </w:tc>
      </w:tr>
    </w:tbl>
    <w:p w14:paraId="3097077A" w14:textId="77777777" w:rsidR="005A47BA" w:rsidRDefault="005A47BA" w:rsidP="005A47BA">
      <w:pPr>
        <w:jc w:val="both"/>
        <w:rPr>
          <w:rFonts w:cstheme="minorHAnsi"/>
          <w:sz w:val="24"/>
          <w:szCs w:val="24"/>
        </w:rPr>
      </w:pPr>
    </w:p>
    <w:p w14:paraId="2D069808" w14:textId="77777777" w:rsidR="005A47BA" w:rsidRDefault="005A47BA" w:rsidP="0049516F">
      <w:pPr>
        <w:jc w:val="both"/>
        <w:rPr>
          <w:rFonts w:cstheme="minorHAnsi"/>
          <w:sz w:val="24"/>
          <w:szCs w:val="24"/>
        </w:rPr>
      </w:pPr>
    </w:p>
    <w:p w14:paraId="0260E9EF" w14:textId="5AFB20FB" w:rsidR="00241B34" w:rsidRDefault="00241B34" w:rsidP="0049516F">
      <w:pPr>
        <w:jc w:val="both"/>
        <w:rPr>
          <w:rFonts w:cstheme="minorHAnsi"/>
          <w:b/>
          <w:sz w:val="24"/>
          <w:szCs w:val="24"/>
        </w:rPr>
      </w:pPr>
      <w:r w:rsidRPr="00241B34">
        <w:rPr>
          <w:rFonts w:cstheme="minorHAnsi"/>
          <w:b/>
          <w:sz w:val="24"/>
          <w:szCs w:val="24"/>
        </w:rPr>
        <w:t>References</w:t>
      </w:r>
    </w:p>
    <w:p w14:paraId="1913DB41" w14:textId="6ED2914D" w:rsidR="00251BD6" w:rsidRPr="00251BD6" w:rsidRDefault="00241B34" w:rsidP="00251BD6">
      <w:pPr>
        <w:widowControl w:val="0"/>
        <w:autoSpaceDE w:val="0"/>
        <w:autoSpaceDN w:val="0"/>
        <w:adjustRightInd w:val="0"/>
        <w:spacing w:line="240" w:lineRule="auto"/>
        <w:ind w:left="480" w:hanging="480"/>
        <w:rPr>
          <w:rFonts w:ascii="Calibri" w:hAnsi="Calibri" w:cs="Times New Roman"/>
          <w:noProof/>
          <w:sz w:val="24"/>
          <w:szCs w:val="24"/>
        </w:rPr>
      </w:pPr>
      <w:r>
        <w:rPr>
          <w:rFonts w:cstheme="minorHAnsi"/>
          <w:sz w:val="24"/>
          <w:szCs w:val="24"/>
        </w:rPr>
        <w:fldChar w:fldCharType="begin" w:fldLock="1"/>
      </w:r>
      <w:r>
        <w:rPr>
          <w:rFonts w:cstheme="minorHAnsi"/>
          <w:sz w:val="24"/>
          <w:szCs w:val="24"/>
        </w:rPr>
        <w:instrText xml:space="preserve">ADDIN Mendeley Bibliography CSL_BIBLIOGRAPHY </w:instrText>
      </w:r>
      <w:r>
        <w:rPr>
          <w:rFonts w:cstheme="minorHAnsi"/>
          <w:sz w:val="24"/>
          <w:szCs w:val="24"/>
        </w:rPr>
        <w:fldChar w:fldCharType="separate"/>
      </w:r>
      <w:r w:rsidR="00251BD6" w:rsidRPr="00251BD6">
        <w:rPr>
          <w:rFonts w:ascii="Calibri" w:hAnsi="Calibri" w:cs="Times New Roman"/>
          <w:noProof/>
          <w:sz w:val="24"/>
          <w:szCs w:val="24"/>
        </w:rPr>
        <w:t xml:space="preserve">Baron-Cohen, S., Wheelwright, S., Skinner, R., Martin, J., &amp; Clubley, E. (2001). The Autism-Spectrum Quotient (AQ): Evidence from Asperger Syndrome/High-Functioning Autism, Males and Females, Scientists and Mathematicians. </w:t>
      </w:r>
      <w:r w:rsidR="00251BD6" w:rsidRPr="00251BD6">
        <w:rPr>
          <w:rFonts w:ascii="Calibri" w:hAnsi="Calibri" w:cs="Times New Roman"/>
          <w:i/>
          <w:iCs/>
          <w:noProof/>
          <w:sz w:val="24"/>
          <w:szCs w:val="24"/>
        </w:rPr>
        <w:t>Journal of Autism and Developmental Disorders</w:t>
      </w:r>
      <w:r w:rsidR="00251BD6" w:rsidRPr="00251BD6">
        <w:rPr>
          <w:rFonts w:ascii="Calibri" w:hAnsi="Calibri" w:cs="Times New Roman"/>
          <w:noProof/>
          <w:sz w:val="24"/>
          <w:szCs w:val="24"/>
        </w:rPr>
        <w:t xml:space="preserve">, </w:t>
      </w:r>
      <w:r w:rsidR="00251BD6" w:rsidRPr="00251BD6">
        <w:rPr>
          <w:rFonts w:ascii="Calibri" w:hAnsi="Calibri" w:cs="Times New Roman"/>
          <w:i/>
          <w:iCs/>
          <w:noProof/>
          <w:sz w:val="24"/>
          <w:szCs w:val="24"/>
        </w:rPr>
        <w:t>31</w:t>
      </w:r>
      <w:r w:rsidR="00251BD6" w:rsidRPr="00251BD6">
        <w:rPr>
          <w:rFonts w:ascii="Calibri" w:hAnsi="Calibri" w:cs="Times New Roman"/>
          <w:noProof/>
          <w:sz w:val="24"/>
          <w:szCs w:val="24"/>
        </w:rPr>
        <w:t>(1), 5–17. http://doi.org/10.1023/A:1005653411471</w:t>
      </w:r>
    </w:p>
    <w:p w14:paraId="29CF1CA3" w14:textId="77777777" w:rsidR="00251BD6" w:rsidRPr="00251BD6" w:rsidRDefault="00251BD6" w:rsidP="00251BD6">
      <w:pPr>
        <w:widowControl w:val="0"/>
        <w:autoSpaceDE w:val="0"/>
        <w:autoSpaceDN w:val="0"/>
        <w:adjustRightInd w:val="0"/>
        <w:spacing w:line="240" w:lineRule="auto"/>
        <w:ind w:left="480" w:hanging="480"/>
        <w:rPr>
          <w:rFonts w:ascii="Calibri" w:hAnsi="Calibri"/>
          <w:noProof/>
          <w:sz w:val="24"/>
        </w:rPr>
      </w:pPr>
      <w:r w:rsidRPr="00251BD6">
        <w:rPr>
          <w:rFonts w:ascii="Calibri" w:hAnsi="Calibri" w:cs="Times New Roman"/>
          <w:noProof/>
          <w:sz w:val="24"/>
          <w:szCs w:val="24"/>
        </w:rPr>
        <w:t xml:space="preserve">Dienes, Z. (2014). Using Bayes to get the most out of non-significant results. </w:t>
      </w:r>
      <w:r w:rsidRPr="00251BD6">
        <w:rPr>
          <w:rFonts w:ascii="Calibri" w:hAnsi="Calibri" w:cs="Times New Roman"/>
          <w:i/>
          <w:iCs/>
          <w:noProof/>
          <w:sz w:val="24"/>
          <w:szCs w:val="24"/>
        </w:rPr>
        <w:t>Frontiers in Psychology</w:t>
      </w:r>
      <w:r w:rsidRPr="00251BD6">
        <w:rPr>
          <w:rFonts w:ascii="Calibri" w:hAnsi="Calibri" w:cs="Times New Roman"/>
          <w:noProof/>
          <w:sz w:val="24"/>
          <w:szCs w:val="24"/>
        </w:rPr>
        <w:t xml:space="preserve">, </w:t>
      </w:r>
      <w:r w:rsidRPr="00251BD6">
        <w:rPr>
          <w:rFonts w:ascii="Calibri" w:hAnsi="Calibri" w:cs="Times New Roman"/>
          <w:i/>
          <w:iCs/>
          <w:noProof/>
          <w:sz w:val="24"/>
          <w:szCs w:val="24"/>
        </w:rPr>
        <w:t>5</w:t>
      </w:r>
      <w:r w:rsidRPr="00251BD6">
        <w:rPr>
          <w:rFonts w:ascii="Calibri" w:hAnsi="Calibri" w:cs="Times New Roman"/>
          <w:noProof/>
          <w:sz w:val="24"/>
          <w:szCs w:val="24"/>
        </w:rPr>
        <w:t>, 781. http://doi.org/10.3389/fpsyg.2014.00781</w:t>
      </w:r>
    </w:p>
    <w:p w14:paraId="6F2D2F00" w14:textId="2A6780C8" w:rsidR="00241B34" w:rsidRPr="00241B34" w:rsidRDefault="00241B34" w:rsidP="0049516F">
      <w:pPr>
        <w:jc w:val="both"/>
        <w:rPr>
          <w:rFonts w:cstheme="minorHAnsi"/>
          <w:sz w:val="24"/>
          <w:szCs w:val="24"/>
        </w:rPr>
      </w:pPr>
      <w:r>
        <w:rPr>
          <w:rFonts w:cstheme="minorHAnsi"/>
          <w:sz w:val="24"/>
          <w:szCs w:val="24"/>
        </w:rPr>
        <w:fldChar w:fldCharType="end"/>
      </w:r>
    </w:p>
    <w:sectPr w:rsidR="00241B34" w:rsidRPr="00241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44674" w14:textId="77777777" w:rsidR="00FB0495" w:rsidRDefault="00FB0495" w:rsidP="00FB0495">
      <w:pPr>
        <w:spacing w:after="0" w:line="240" w:lineRule="auto"/>
      </w:pPr>
      <w:r>
        <w:separator/>
      </w:r>
    </w:p>
  </w:endnote>
  <w:endnote w:type="continuationSeparator" w:id="0">
    <w:p w14:paraId="7CC0E688" w14:textId="77777777" w:rsidR="00FB0495" w:rsidRDefault="00FB0495" w:rsidP="00FB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75A9D" w14:textId="77777777" w:rsidR="00FB0495" w:rsidRDefault="00FB0495" w:rsidP="00FB0495">
      <w:pPr>
        <w:spacing w:after="0" w:line="240" w:lineRule="auto"/>
      </w:pPr>
      <w:r>
        <w:separator/>
      </w:r>
    </w:p>
  </w:footnote>
  <w:footnote w:type="continuationSeparator" w:id="0">
    <w:p w14:paraId="0B9FB81E" w14:textId="77777777" w:rsidR="00FB0495" w:rsidRDefault="00FB0495" w:rsidP="00FB0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7"/>
    <w:rsid w:val="00023850"/>
    <w:rsid w:val="00026BCE"/>
    <w:rsid w:val="0007428B"/>
    <w:rsid w:val="000C15AE"/>
    <w:rsid w:val="000F1B10"/>
    <w:rsid w:val="001229E5"/>
    <w:rsid w:val="00130117"/>
    <w:rsid w:val="00186DC0"/>
    <w:rsid w:val="00187FDC"/>
    <w:rsid w:val="001A296B"/>
    <w:rsid w:val="00234A53"/>
    <w:rsid w:val="00241B34"/>
    <w:rsid w:val="00251BD6"/>
    <w:rsid w:val="0036063C"/>
    <w:rsid w:val="003A214D"/>
    <w:rsid w:val="003A5111"/>
    <w:rsid w:val="003C41C8"/>
    <w:rsid w:val="003E6B31"/>
    <w:rsid w:val="00403EFD"/>
    <w:rsid w:val="00421EDB"/>
    <w:rsid w:val="00432AED"/>
    <w:rsid w:val="004753B1"/>
    <w:rsid w:val="0049516F"/>
    <w:rsid w:val="004A6177"/>
    <w:rsid w:val="005212A1"/>
    <w:rsid w:val="00531317"/>
    <w:rsid w:val="00571C15"/>
    <w:rsid w:val="00592F20"/>
    <w:rsid w:val="005A47BA"/>
    <w:rsid w:val="005B5530"/>
    <w:rsid w:val="00642218"/>
    <w:rsid w:val="00682A66"/>
    <w:rsid w:val="006C59A4"/>
    <w:rsid w:val="006E3386"/>
    <w:rsid w:val="006F7C63"/>
    <w:rsid w:val="007704CB"/>
    <w:rsid w:val="00770A02"/>
    <w:rsid w:val="007D0051"/>
    <w:rsid w:val="007D2883"/>
    <w:rsid w:val="00813E05"/>
    <w:rsid w:val="00826F32"/>
    <w:rsid w:val="00867E85"/>
    <w:rsid w:val="008A17FC"/>
    <w:rsid w:val="008A7F48"/>
    <w:rsid w:val="008B0134"/>
    <w:rsid w:val="008F59B6"/>
    <w:rsid w:val="00900E26"/>
    <w:rsid w:val="00955C8D"/>
    <w:rsid w:val="00976F65"/>
    <w:rsid w:val="00991318"/>
    <w:rsid w:val="009A61FA"/>
    <w:rsid w:val="009D4476"/>
    <w:rsid w:val="00A13497"/>
    <w:rsid w:val="00A81DD6"/>
    <w:rsid w:val="00AF2350"/>
    <w:rsid w:val="00B3617E"/>
    <w:rsid w:val="00B3721F"/>
    <w:rsid w:val="00B55536"/>
    <w:rsid w:val="00BE2377"/>
    <w:rsid w:val="00C17A36"/>
    <w:rsid w:val="00C462B1"/>
    <w:rsid w:val="00C51C58"/>
    <w:rsid w:val="00C769ED"/>
    <w:rsid w:val="00C918AB"/>
    <w:rsid w:val="00CC3CC5"/>
    <w:rsid w:val="00D11973"/>
    <w:rsid w:val="00D60620"/>
    <w:rsid w:val="00D95A5B"/>
    <w:rsid w:val="00DB2F84"/>
    <w:rsid w:val="00DF4B64"/>
    <w:rsid w:val="00E6773E"/>
    <w:rsid w:val="00E7176B"/>
    <w:rsid w:val="00E76AE4"/>
    <w:rsid w:val="00EA4B32"/>
    <w:rsid w:val="00ED56D9"/>
    <w:rsid w:val="00F04D7D"/>
    <w:rsid w:val="00F0637D"/>
    <w:rsid w:val="00F3694A"/>
    <w:rsid w:val="00F83791"/>
    <w:rsid w:val="00FB0495"/>
    <w:rsid w:val="00FE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816CE"/>
  <w15:chartTrackingRefBased/>
  <w15:docId w15:val="{5100C014-19B5-49AB-98F6-6D34C5D8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0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495"/>
    <w:rPr>
      <w:sz w:val="20"/>
      <w:szCs w:val="20"/>
    </w:rPr>
  </w:style>
  <w:style w:type="character" w:styleId="FootnoteReference">
    <w:name w:val="footnote reference"/>
    <w:basedOn w:val="DefaultParagraphFont"/>
    <w:uiPriority w:val="99"/>
    <w:semiHidden/>
    <w:unhideWhenUsed/>
    <w:rsid w:val="00FB0495"/>
    <w:rPr>
      <w:vertAlign w:val="superscript"/>
    </w:rPr>
  </w:style>
  <w:style w:type="character" w:styleId="EndnoteReference">
    <w:name w:val="endnote reference"/>
    <w:basedOn w:val="DefaultParagraphFont"/>
    <w:uiPriority w:val="99"/>
    <w:semiHidden/>
    <w:unhideWhenUsed/>
    <w:rsid w:val="00B3721F"/>
    <w:rPr>
      <w:vertAlign w:val="superscript"/>
    </w:rPr>
  </w:style>
  <w:style w:type="paragraph" w:styleId="BalloonText">
    <w:name w:val="Balloon Text"/>
    <w:basedOn w:val="Normal"/>
    <w:link w:val="BalloonTextChar"/>
    <w:uiPriority w:val="99"/>
    <w:semiHidden/>
    <w:unhideWhenUsed/>
    <w:rsid w:val="00B3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21F"/>
    <w:rPr>
      <w:rFonts w:ascii="Segoe UI" w:hAnsi="Segoe UI" w:cs="Segoe UI"/>
      <w:sz w:val="18"/>
      <w:szCs w:val="18"/>
    </w:rPr>
  </w:style>
  <w:style w:type="paragraph" w:styleId="ListParagraph">
    <w:name w:val="List Paragraph"/>
    <w:basedOn w:val="Normal"/>
    <w:uiPriority w:val="34"/>
    <w:qFormat/>
    <w:rsid w:val="000F1B10"/>
    <w:pPr>
      <w:ind w:left="720"/>
      <w:contextualSpacing/>
    </w:pPr>
  </w:style>
  <w:style w:type="paragraph" w:customStyle="1" w:styleId="Normal1">
    <w:name w:val="Normal1"/>
    <w:rsid w:val="003C41C8"/>
    <w:rPr>
      <w:rFonts w:ascii="Calibri" w:eastAsia="Calibri" w:hAnsi="Calibri" w:cs="Calibri"/>
      <w:color w:val="000000"/>
    </w:rPr>
  </w:style>
  <w:style w:type="character" w:styleId="CommentReference">
    <w:name w:val="annotation reference"/>
    <w:basedOn w:val="DefaultParagraphFont"/>
    <w:uiPriority w:val="99"/>
    <w:semiHidden/>
    <w:unhideWhenUsed/>
    <w:rsid w:val="003C41C8"/>
    <w:rPr>
      <w:sz w:val="16"/>
      <w:szCs w:val="16"/>
    </w:rPr>
  </w:style>
  <w:style w:type="paragraph" w:styleId="CommentText">
    <w:name w:val="annotation text"/>
    <w:basedOn w:val="Normal"/>
    <w:link w:val="CommentTextChar"/>
    <w:uiPriority w:val="99"/>
    <w:semiHidden/>
    <w:unhideWhenUsed/>
    <w:rsid w:val="003C41C8"/>
    <w:pPr>
      <w:spacing w:line="240" w:lineRule="auto"/>
    </w:pPr>
    <w:rPr>
      <w:sz w:val="20"/>
      <w:szCs w:val="20"/>
    </w:rPr>
  </w:style>
  <w:style w:type="character" w:customStyle="1" w:styleId="CommentTextChar">
    <w:name w:val="Comment Text Char"/>
    <w:basedOn w:val="DefaultParagraphFont"/>
    <w:link w:val="CommentText"/>
    <w:uiPriority w:val="99"/>
    <w:semiHidden/>
    <w:rsid w:val="003C41C8"/>
    <w:rPr>
      <w:sz w:val="20"/>
      <w:szCs w:val="20"/>
    </w:rPr>
  </w:style>
  <w:style w:type="paragraph" w:styleId="CommentSubject">
    <w:name w:val="annotation subject"/>
    <w:basedOn w:val="CommentText"/>
    <w:next w:val="CommentText"/>
    <w:link w:val="CommentSubjectChar"/>
    <w:uiPriority w:val="99"/>
    <w:semiHidden/>
    <w:unhideWhenUsed/>
    <w:rsid w:val="003C41C8"/>
    <w:rPr>
      <w:b/>
      <w:bCs/>
    </w:rPr>
  </w:style>
  <w:style w:type="character" w:customStyle="1" w:styleId="CommentSubjectChar">
    <w:name w:val="Comment Subject Char"/>
    <w:basedOn w:val="CommentTextChar"/>
    <w:link w:val="CommentSubject"/>
    <w:uiPriority w:val="99"/>
    <w:semiHidden/>
    <w:rsid w:val="003C4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B971-2884-450D-BEEB-C32999C2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EFC9362E</Template>
  <TotalTime>12</TotalTime>
  <Pages>2</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35</cp:revision>
  <dcterms:created xsi:type="dcterms:W3CDTF">2018-09-06T13:38:00Z</dcterms:created>
  <dcterms:modified xsi:type="dcterms:W3CDTF">2018-09-24T13:37:00Z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4f7a473b-f880-3ebd-a43f-5b590a606f58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http://www.zotero.org/styles/biomed-central</vt:lpwstr>
  </property>
  <property fmtid="{D5CDD505-2E9C-101B-9397-08002B2CF9AE}" pid="12" name="Mendeley Recent Style Name 3_1">
    <vt:lpwstr>BioMed Central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james.hughes@sussex.ac.uk@www.mendeley.com</vt:lpwstr>
  </property>
</Properties>
</file>