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9E" w:rsidRDefault="002B149E" w:rsidP="002B149E">
      <w:pPr>
        <w:spacing w:after="0"/>
        <w:jc w:val="both"/>
        <w:rPr>
          <w:rFonts w:ascii="Times New Roman" w:hAnsi="Times New Roman" w:cs="Times New Roman"/>
          <w:b/>
          <w:bCs/>
          <w:sz w:val="24"/>
          <w:szCs w:val="24"/>
        </w:rPr>
      </w:pPr>
      <w:bookmarkStart w:id="0" w:name="_GoBack"/>
      <w:bookmarkEnd w:id="0"/>
      <w:r w:rsidRPr="00E744F2">
        <w:rPr>
          <w:rFonts w:ascii="Times New Roman" w:hAnsi="Times New Roman" w:cs="Times New Roman"/>
          <w:b/>
          <w:bCs/>
          <w:sz w:val="24"/>
          <w:szCs w:val="24"/>
        </w:rPr>
        <w:t xml:space="preserve">SUPPLEMENTARY METHODS </w:t>
      </w:r>
    </w:p>
    <w:p w:rsidR="002B149E" w:rsidRDefault="002B149E" w:rsidP="002B149E">
      <w:pPr>
        <w:spacing w:after="0"/>
        <w:jc w:val="both"/>
        <w:rPr>
          <w:rFonts w:ascii="Times New Roman" w:hAnsi="Times New Roman" w:cs="Times New Roman"/>
          <w:bCs/>
          <w:sz w:val="24"/>
          <w:szCs w:val="24"/>
        </w:rPr>
      </w:pPr>
    </w:p>
    <w:p w:rsidR="002B149E" w:rsidRDefault="002B149E" w:rsidP="002B149E">
      <w:pPr>
        <w:spacing w:after="0"/>
        <w:jc w:val="both"/>
        <w:rPr>
          <w:rFonts w:ascii="Times New Roman" w:hAnsi="Times New Roman" w:cs="Times New Roman"/>
          <w:b/>
          <w:bCs/>
          <w:sz w:val="24"/>
          <w:szCs w:val="24"/>
        </w:rPr>
      </w:pPr>
      <w:r>
        <w:rPr>
          <w:rFonts w:ascii="Times New Roman" w:hAnsi="Times New Roman" w:cs="Times New Roman"/>
          <w:b/>
          <w:bCs/>
          <w:sz w:val="24"/>
          <w:szCs w:val="24"/>
        </w:rPr>
        <w:t>Sustained swimming performance test (</w:t>
      </w:r>
      <w:proofErr w:type="spellStart"/>
      <w:r>
        <w:rPr>
          <w:rFonts w:ascii="Times New Roman" w:hAnsi="Times New Roman" w:cs="Times New Roman"/>
          <w:b/>
          <w:bCs/>
          <w:sz w:val="24"/>
          <w:szCs w:val="24"/>
        </w:rPr>
        <w:t>U</w:t>
      </w:r>
      <w:r>
        <w:rPr>
          <w:rFonts w:ascii="Times New Roman" w:hAnsi="Times New Roman" w:cs="Times New Roman"/>
          <w:b/>
          <w:bCs/>
          <w:sz w:val="24"/>
          <w:szCs w:val="24"/>
          <w:vertAlign w:val="subscript"/>
        </w:rPr>
        <w:t>crit</w:t>
      </w:r>
      <w:proofErr w:type="spellEnd"/>
      <w:r>
        <w:rPr>
          <w:rFonts w:ascii="Times New Roman" w:hAnsi="Times New Roman" w:cs="Times New Roman"/>
          <w:b/>
          <w:bCs/>
          <w:sz w:val="24"/>
          <w:szCs w:val="24"/>
        </w:rPr>
        <w:t>)</w:t>
      </w:r>
    </w:p>
    <w:p w:rsidR="002B149E" w:rsidRDefault="002B149E" w:rsidP="002B149E">
      <w:pPr>
        <w:spacing w:after="0"/>
        <w:jc w:val="both"/>
      </w:pPr>
      <w:r>
        <w:rPr>
          <w:rFonts w:ascii="Times New Roman" w:hAnsi="Times New Roman" w:cs="Times New Roman"/>
          <w:bCs/>
          <w:sz w:val="24"/>
          <w:szCs w:val="24"/>
        </w:rPr>
        <w:t xml:space="preserve">Swimming performance was assessed in three different experimental groups: 8 dpi exercised injured fish (E; 2.78 ± 0.05 cm BL), 8 dpi non-exercised </w:t>
      </w:r>
      <w:r w:rsidRPr="008A5B05">
        <w:rPr>
          <w:rFonts w:ascii="Times New Roman" w:hAnsi="Times New Roman" w:cs="Times New Roman"/>
          <w:bCs/>
          <w:sz w:val="24"/>
          <w:szCs w:val="24"/>
        </w:rPr>
        <w:t>injured fish (C; 2.70 ± 0.05 cm BL) and non-injured fish (NI; 2.94 ± 0.03 cm BL). Exercised fish were induced to swim during 5 days (from 3 dpi to 7 dpi) at their optimal swimming speed (</w:t>
      </w:r>
      <w:proofErr w:type="spellStart"/>
      <w:r w:rsidRPr="008A5B05">
        <w:rPr>
          <w:rFonts w:ascii="Times New Roman" w:hAnsi="Times New Roman" w:cs="Times New Roman"/>
          <w:bCs/>
          <w:sz w:val="24"/>
          <w:szCs w:val="24"/>
        </w:rPr>
        <w:t>U</w:t>
      </w:r>
      <w:r w:rsidRPr="008A5B05">
        <w:rPr>
          <w:rFonts w:ascii="Times New Roman" w:hAnsi="Times New Roman" w:cs="Times New Roman"/>
          <w:bCs/>
          <w:sz w:val="24"/>
          <w:szCs w:val="24"/>
          <w:vertAlign w:val="subscript"/>
        </w:rPr>
        <w:t>opt</w:t>
      </w:r>
      <w:proofErr w:type="spellEnd"/>
      <w:r w:rsidRPr="008A5B05">
        <w:rPr>
          <w:rFonts w:ascii="Times New Roman" w:hAnsi="Times New Roman" w:cs="Times New Roman"/>
          <w:bCs/>
          <w:sz w:val="24"/>
          <w:szCs w:val="24"/>
        </w:rPr>
        <w:t xml:space="preserve">) </w:t>
      </w:r>
      <w:r w:rsidR="008A5B05" w:rsidRPr="008A5B05">
        <w:rPr>
          <w:rFonts w:ascii="Times New Roman" w:hAnsi="Times New Roman" w:cs="Times New Roman"/>
          <w:bCs/>
          <w:sz w:val="24"/>
          <w:szCs w:val="24"/>
        </w:rPr>
        <w:fldChar w:fldCharType="begin" w:fldLock="1"/>
      </w:r>
      <w:r w:rsidR="008A5B05">
        <w:rPr>
          <w:rFonts w:ascii="Times New Roman" w:hAnsi="Times New Roman" w:cs="Times New Roman"/>
          <w:bCs/>
          <w:sz w:val="24"/>
          <w:szCs w:val="24"/>
        </w:rPr>
        <w:instrText>ADDIN CSL_CITATION {"citationItems":[{"id":"ITEM-1","itemData":{"DOI":"10.1371/journal.pone.0014483","ISSN":"1932-6203","PMID":"21217817","abstract":"Zebrafish has been largely accepted as a vertebrate multidisciplinary model but its usefulness as a model for exercise physiology has been hampered by the scarce knowledge on its swimming economy, optimal swimming speeds and cost of transport. Therefore, we have performed individual and group-wise swimming experiments to quantify swimming economy and to demonstrate the exercise effects on growth in adult zebrafish.","author":[{"dropping-particle":"","family":"Palstra","given":"Arjan P.","non-dropping-particle":"","parse-names":false,"suffix":""},{"dropping-particle":"","family":"Tudorache","given":"Christian","non-dropping-particle":"","parse-names":false,"suffix":""},{"dropping-particle":"","family":"Rovira","given":"Mireia","non-dropping-particle":"","parse-names":false,"suffix":""},{"dropping-particle":"","family":"Brittijn","given":"Sebastiaan A.","non-dropping-particle":"","parse-names":false,"suffix":""},{"dropping-particle":"","family":"Burgerhout","given":"Erik","non-dropping-particle":"","parse-names":false,"suffix":""},{"dropping-particle":"","family":"Thillart","given":"Guido E E J M","non-dropping-particle":"van den","parse-names":false,"suffix":""},{"dropping-particle":"","family":"Spaink","given":"Herman P.","non-dropping-particle":"","parse-names":false,"suffix":""},{"dropping-particle":"V.","family":"Planas","given":"Josep","non-dropping-particle":"","parse-names":false,"suffix":""}],"container-title":"PLoS ONE","editor":[{"dropping-particle":"","family":"Calbet","given":"Jose A. L.","non-dropping-particle":"","parse-names":false,"suffix":""}],"id":"ITEM-1","issue":"12","issued":{"date-parts":[["2010","12","31"]]},"page":"e14483","title":"Establishing Zebrafish as a Novel Exercise Model: Swimming Economy, Swimming-Enhanced Growth and Muscle Growth Marker Gene Expression","type":"article-journal","volume":"5"},"uris":["http://www.mendeley.com/documents/?uuid=994af297-33ba-42e6-bed7-5dd2ce05a863"]}],"mendeley":{"formattedCitation":"(Palstra et al., 2010)","plainTextFormattedCitation":"(Palstra et al., 2010)","previouslyFormattedCitation":"(Palstra et al., 2010)"},"properties":{"noteIndex":0},"schema":"https://github.com/citation-style-language/schema/raw/master/csl-citation.json"}</w:instrText>
      </w:r>
      <w:r w:rsidR="008A5B05" w:rsidRPr="008A5B05">
        <w:rPr>
          <w:rFonts w:ascii="Times New Roman" w:hAnsi="Times New Roman" w:cs="Times New Roman"/>
          <w:bCs/>
          <w:sz w:val="24"/>
          <w:szCs w:val="24"/>
        </w:rPr>
        <w:fldChar w:fldCharType="separate"/>
      </w:r>
      <w:r w:rsidR="008A5B05" w:rsidRPr="008A5B05">
        <w:rPr>
          <w:rFonts w:ascii="Times New Roman" w:hAnsi="Times New Roman" w:cs="Times New Roman"/>
          <w:bCs/>
          <w:noProof/>
          <w:sz w:val="24"/>
          <w:szCs w:val="24"/>
        </w:rPr>
        <w:t>(Palstra et al., 2010)</w:t>
      </w:r>
      <w:r w:rsidR="008A5B05" w:rsidRPr="008A5B05">
        <w:rPr>
          <w:rFonts w:ascii="Times New Roman" w:hAnsi="Times New Roman" w:cs="Times New Roman"/>
          <w:bCs/>
          <w:sz w:val="24"/>
          <w:szCs w:val="24"/>
        </w:rPr>
        <w:fldChar w:fldCharType="end"/>
      </w:r>
      <w:r w:rsidRPr="008A5B05">
        <w:rPr>
          <w:rFonts w:ascii="Times New Roman" w:hAnsi="Times New Roman" w:cs="Times New Roman"/>
          <w:bCs/>
          <w:sz w:val="24"/>
          <w:szCs w:val="24"/>
        </w:rPr>
        <w:t xml:space="preserve">, non-exercised fish were kept in the swim </w:t>
      </w:r>
      <w:proofErr w:type="spellStart"/>
      <w:r w:rsidRPr="008A5B05">
        <w:rPr>
          <w:rFonts w:ascii="Times New Roman" w:hAnsi="Times New Roman" w:cs="Times New Roman"/>
          <w:bCs/>
          <w:sz w:val="24"/>
          <w:szCs w:val="24"/>
        </w:rPr>
        <w:t>tunel</w:t>
      </w:r>
      <w:proofErr w:type="spellEnd"/>
      <w:r w:rsidRPr="008A5B05">
        <w:rPr>
          <w:rFonts w:ascii="Times New Roman" w:hAnsi="Times New Roman" w:cs="Times New Roman"/>
          <w:bCs/>
          <w:sz w:val="24"/>
          <w:szCs w:val="24"/>
        </w:rPr>
        <w:t xml:space="preserve"> at resting conditions and allowed to regenerate for 5 days; and non-injured fish were kept in the swim </w:t>
      </w:r>
      <w:proofErr w:type="spellStart"/>
      <w:r w:rsidRPr="008A5B05">
        <w:rPr>
          <w:rFonts w:ascii="Times New Roman" w:hAnsi="Times New Roman" w:cs="Times New Roman"/>
          <w:bCs/>
          <w:sz w:val="24"/>
          <w:szCs w:val="24"/>
        </w:rPr>
        <w:t>tunel</w:t>
      </w:r>
      <w:proofErr w:type="spellEnd"/>
      <w:r w:rsidRPr="008A5B05">
        <w:rPr>
          <w:rFonts w:ascii="Times New Roman" w:hAnsi="Times New Roman" w:cs="Times New Roman"/>
          <w:bCs/>
          <w:sz w:val="24"/>
          <w:szCs w:val="24"/>
        </w:rPr>
        <w:t xml:space="preserve"> at resting conditions for</w:t>
      </w:r>
      <w:r>
        <w:rPr>
          <w:rFonts w:ascii="Times New Roman" w:hAnsi="Times New Roman" w:cs="Times New Roman"/>
          <w:bCs/>
          <w:sz w:val="24"/>
          <w:szCs w:val="24"/>
        </w:rPr>
        <w:t xml:space="preserve"> 5 days. The latter group of fish was included as a control reference for the swimming test. The swim test was assessed the next day and fish were fed 4 hours before the test. Critical swimming speed (</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was determined group-wise and the swim tunnel lid was kept loose in order to remove individual fish easily after fatigue. We considered that this modification may alter flow conditions and, consequently, the obtained </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absolute values may differ from the real </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value but since experimental conditions were the same for the three experimental group of fish, we examined the relative changes in </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between the experimental groups. A ramp-</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test was performed following previous published studies </w:t>
      </w:r>
      <w:r>
        <w:fldChar w:fldCharType="begin" w:fldLock="1"/>
      </w:r>
      <w:r w:rsidR="008A5B05">
        <w:instrText>ADDIN CSL_CITATION {"citationItems":[{"id":"ITEM-1","itemData":{"DOI":"10.3791/2572","ISSN":"1940-087X","PMID":"21633333","abstract":"Swimming performance tests of fish have been integral to studies of muscle energetics, swimming mechanics, gas exchange, cardiac physiology, disease, pollution, hypoxia and temperature. This paper describes a flexible protocol to assess fish swimming performance using equipment in which water velocity can be controlled. The protocol involves one to several stepped increases in flow speed that are intended to cause fish to fatigue. Step speeds and their duration can be set to capture swimming abilities of different physiological and ecological relevance. Most frequently step size is set to determine critical swimming velocity (U(crit;)), which is intended to capture maximum sustained swimming ability. Traditionally this test has consisted of approximately ten steps each of 20 min duration. However, steps of shorter duration (e.g. 1 min) are increasingly being utilized to capture acceleration ability or burst swimming performance. Regardless of step size, swimming tests can be repeated over time to gauge individual variation and recovery ability. Endpoints related to swimming such as measures of metabolic rate, fin use, ventilation rate, and of behavior, such as the distance between schooling fish, are often included before, during and after swimming tests. Given the diversity of fish species, the number of unexplored research questions, and the importance of many species to global ecology and economic health, studies of fish swimming performance will remain popular and invaluable for the foreseeable future.","author":[{"dropping-particle":"","family":"Tierney","given":"Keith B","non-dropping-particle":"","parse-names":false,"suffix":""}],"container-title":"Journal of visualized experiments : JoVE","id":"ITEM-1","issue":"51","issued":{"date-parts":[["2011","1"]]},"title":"Swimming performance assessment in fishes.","type":"article-journal"},"uris":["http://www.mendeley.com/documents/?uuid=3d7534ce-cffb-4541-90d1-d4d78436f13c"]}],"mendeley":{"formattedCitation":"(Tierney, 2011)","plainTextFormattedCitation":"(Tierney, 2011)","previouslyFormattedCitation":"(Tierney, 2011)"},"properties":{"noteIndex":0},"schema":"https://github.com/citation-style-language/schema/raw/master/csl-citation.json"}</w:instrText>
      </w:r>
      <w:r>
        <w:fldChar w:fldCharType="separate"/>
      </w:r>
      <w:bookmarkStart w:id="1" w:name="__Fieldmark__1799_53190176"/>
      <w:r>
        <w:rPr>
          <w:rFonts w:ascii="Times New Roman" w:hAnsi="Times New Roman" w:cs="Times New Roman"/>
          <w:bCs/>
          <w:noProof/>
          <w:sz w:val="24"/>
          <w:szCs w:val="24"/>
        </w:rPr>
        <w:t>(</w:t>
      </w:r>
      <w:bookmarkStart w:id="2" w:name="__Fieldmark__7238_203598831"/>
      <w:r>
        <w:rPr>
          <w:rFonts w:ascii="Times New Roman" w:hAnsi="Times New Roman" w:cs="Times New Roman"/>
          <w:bCs/>
          <w:noProof/>
          <w:sz w:val="24"/>
          <w:szCs w:val="24"/>
        </w:rPr>
        <w:t>Tierney, 2011)</w:t>
      </w:r>
      <w:r>
        <w:fldChar w:fldCharType="end"/>
      </w:r>
      <w:bookmarkEnd w:id="1"/>
      <w:bookmarkEnd w:id="2"/>
      <w:r>
        <w:rPr>
          <w:rFonts w:ascii="Times New Roman" w:hAnsi="Times New Roman" w:cs="Times New Roman"/>
          <w:bCs/>
          <w:sz w:val="24"/>
          <w:szCs w:val="24"/>
        </w:rPr>
        <w:t>. Speed was increased 1.6 BL/s every 5 min during the initial seven steps and every 10 min during the following steps until fish fatigued (</w:t>
      </w:r>
      <w:r>
        <w:rPr>
          <w:rFonts w:ascii="Times New Roman" w:hAnsi="Times New Roman" w:cs="Times New Roman"/>
          <w:b/>
          <w:bCs/>
          <w:sz w:val="24"/>
          <w:szCs w:val="24"/>
        </w:rPr>
        <w:t>Supplementary Figure S4A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w:t>
      </w:r>
      <w:r>
        <w:rPr>
          <w:rFonts w:ascii="Times New Roman" w:hAnsi="Times New Roman" w:cs="Times New Roman"/>
          <w:bCs/>
          <w:sz w:val="24"/>
          <w:szCs w:val="24"/>
          <w:vertAlign w:val="subscript"/>
        </w:rPr>
        <w:t>crit</w:t>
      </w:r>
      <w:proofErr w:type="spellEnd"/>
      <w:r>
        <w:rPr>
          <w:rFonts w:ascii="Times New Roman" w:hAnsi="Times New Roman" w:cs="Times New Roman"/>
          <w:bCs/>
          <w:sz w:val="24"/>
          <w:szCs w:val="24"/>
        </w:rPr>
        <w:t xml:space="preserve"> was calculated as previously described and expressed in body lengths per second (BL/s) </w:t>
      </w:r>
      <w:r>
        <w:fldChar w:fldCharType="begin" w:fldLock="1"/>
      </w:r>
      <w:r w:rsidR="008A5B05">
        <w:instrText>ADDIN CSL_CITATION {"citationItems":[{"id":"ITEM-1","itemData":{"DOI":"10.1371/journal.pone.0014483","ISSN":"1932-6203","PMID":"21217817","abstract":"Zebrafish has been largely accepted as a vertebrate multidisciplinary model but its usefulness as a model for exercise physiology has been hampered by the scarce knowledge on its swimming economy, optimal swimming speeds and cost of transport. Therefore, we have performed individual and group-wise swimming experiments to quantify swimming economy and to demonstrate the exercise effects on growth in adult zebrafish.","author":[{"dropping-particle":"","family":"Palstra","given":"Arjan P.","non-dropping-particle":"","parse-names":false,"suffix":""},{"dropping-particle":"","family":"Tudorache","given":"Christian","non-dropping-particle":"","parse-names":false,"suffix":""},{"dropping-particle":"","family":"Rovira","given":"Mireia","non-dropping-particle":"","parse-names":false,"suffix":""},{"dropping-particle":"","family":"Brittijn","given":"Sebastiaan A.","non-dropping-particle":"","parse-names":false,"suffix":""},{"dropping-particle":"","family":"Burgerhout","given":"Erik","non-dropping-particle":"","parse-names":false,"suffix":""},{"dropping-particle":"","family":"Thillart","given":"Guido E E J M","non-dropping-particle":"van den","parse-names":false,"suffix":""},{"dropping-particle":"","family":"Spaink","given":"Herman P.","non-dropping-particle":"","parse-names":false,"suffix":""},{"dropping-particle":"V.","family":"Planas","given":"Josep","non-dropping-particle":"","parse-names":false,"suffix":""}],"container-title":"PLoS ONE","editor":[{"dropping-particle":"","family":"Calbet","given":"Jose A. L.","non-dropping-particle":"","parse-names":false,"suffix":""}],"id":"ITEM-1","issue":"12","issued":{"date-parts":[["2010","12","31"]]},"page":"e14483","title":"Establishing Zebrafish as a Novel Exercise Model: Swimming Economy, Swimming-Enhanced Growth and Muscle Growth Marker Gene Expression","type":"article-journal","volume":"5"},"uris":["http://www.mendeley.com/documents/?uuid=994af297-33ba-42e6-bed7-5dd2ce05a863"]}],"mendeley":{"formattedCitation":"(Palstra et al., 2010)","plainTextFormattedCitation":"(Palstra et al., 2010)","previouslyFormattedCitation":"(Palstra et al., 2010)"},"properties":{"noteIndex":0},"schema":"https://github.com/citation-style-language/schema/raw/master/csl-citation.json"}</w:instrText>
      </w:r>
      <w:r>
        <w:fldChar w:fldCharType="separate"/>
      </w:r>
      <w:bookmarkStart w:id="3" w:name="__Fieldmark__1819_53190176"/>
      <w:r>
        <w:rPr>
          <w:rFonts w:ascii="Times New Roman" w:hAnsi="Times New Roman" w:cs="Times New Roman"/>
          <w:bCs/>
          <w:noProof/>
          <w:sz w:val="24"/>
          <w:szCs w:val="24"/>
        </w:rPr>
        <w:t>(</w:t>
      </w:r>
      <w:bookmarkStart w:id="4" w:name="__Fieldmark__7269_203598831"/>
      <w:r>
        <w:rPr>
          <w:rFonts w:ascii="Times New Roman" w:hAnsi="Times New Roman" w:cs="Times New Roman"/>
          <w:bCs/>
          <w:noProof/>
          <w:sz w:val="24"/>
          <w:szCs w:val="24"/>
        </w:rPr>
        <w:t>Palstra et al., 2010)</w:t>
      </w:r>
      <w:r>
        <w:fldChar w:fldCharType="end"/>
      </w:r>
      <w:bookmarkEnd w:id="3"/>
      <w:bookmarkEnd w:id="4"/>
      <w:r>
        <w:rPr>
          <w:rFonts w:ascii="Times New Roman" w:hAnsi="Times New Roman" w:cs="Times New Roman"/>
          <w:bCs/>
          <w:sz w:val="24"/>
          <w:szCs w:val="24"/>
        </w:rPr>
        <w:t>.</w:t>
      </w:r>
    </w:p>
    <w:p w:rsidR="002B149E" w:rsidRDefault="002B149E" w:rsidP="002B149E">
      <w:pPr>
        <w:spacing w:after="0"/>
        <w:jc w:val="both"/>
        <w:rPr>
          <w:rFonts w:ascii="Times New Roman" w:hAnsi="Times New Roman" w:cs="Times New Roman"/>
          <w:bCs/>
          <w:sz w:val="24"/>
          <w:szCs w:val="24"/>
        </w:rPr>
      </w:pPr>
    </w:p>
    <w:p w:rsidR="002B149E" w:rsidRDefault="002B149E" w:rsidP="002B149E">
      <w:pPr>
        <w:spacing w:after="0"/>
        <w:jc w:val="both"/>
        <w:rPr>
          <w:rFonts w:ascii="Times New Roman" w:hAnsi="Times New Roman" w:cs="Times New Roman"/>
          <w:b/>
          <w:bCs/>
          <w:sz w:val="24"/>
          <w:szCs w:val="24"/>
        </w:rPr>
      </w:pPr>
      <w:r>
        <w:rPr>
          <w:rFonts w:ascii="Times New Roman" w:hAnsi="Times New Roman" w:cs="Times New Roman"/>
          <w:b/>
          <w:bCs/>
          <w:sz w:val="24"/>
          <w:szCs w:val="24"/>
        </w:rPr>
        <w:t>Quantitative real-time PCR</w:t>
      </w:r>
    </w:p>
    <w:p w:rsidR="002B149E" w:rsidRDefault="002B149E" w:rsidP="002B149E">
      <w:pPr>
        <w:spacing w:after="0"/>
        <w:jc w:val="both"/>
      </w:pPr>
      <w:r>
        <w:rPr>
          <w:rFonts w:ascii="Times New Roman" w:hAnsi="Times New Roman" w:cs="Times New Roman"/>
          <w:bCs/>
          <w:sz w:val="24"/>
          <w:szCs w:val="24"/>
        </w:rPr>
        <w:t xml:space="preserve">Total RNA from exercised and non-exercised ventricles after four experimental weeks was obtained from pools of two ventricles, isolated and homogenized in 150 µl of </w:t>
      </w:r>
      <w:proofErr w:type="spellStart"/>
      <w:r>
        <w:rPr>
          <w:rFonts w:ascii="Times New Roman" w:hAnsi="Times New Roman" w:cs="Times New Roman"/>
          <w:bCs/>
          <w:sz w:val="24"/>
          <w:szCs w:val="24"/>
        </w:rPr>
        <w:t>QIAzolLysis</w:t>
      </w:r>
      <w:proofErr w:type="spellEnd"/>
      <w:r>
        <w:rPr>
          <w:rFonts w:ascii="Times New Roman" w:hAnsi="Times New Roman" w:cs="Times New Roman"/>
          <w:bCs/>
          <w:sz w:val="24"/>
          <w:szCs w:val="24"/>
        </w:rPr>
        <w:t xml:space="preserve"> Reagent processed with the </w:t>
      </w:r>
      <w:proofErr w:type="spellStart"/>
      <w:r>
        <w:rPr>
          <w:rFonts w:ascii="Times New Roman" w:hAnsi="Times New Roman" w:cs="Times New Roman"/>
          <w:bCs/>
          <w:sz w:val="24"/>
          <w:szCs w:val="24"/>
        </w:rPr>
        <w:t>miRNeasy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MicroKit</w:t>
      </w:r>
      <w:proofErr w:type="spellEnd"/>
      <w:r>
        <w:rPr>
          <w:rFonts w:ascii="Times New Roman" w:hAnsi="Times New Roman" w:cs="Times New Roman"/>
          <w:bCs/>
          <w:sz w:val="24"/>
          <w:szCs w:val="24"/>
        </w:rPr>
        <w:t xml:space="preserve"> (Qiagen). One microgram of RNA or 500 ng of RNA was used for four experimental week ventricles or validation of RNA-sequencing data using the same samples than in the analysis, respectively. RNA was treated with </w:t>
      </w:r>
      <w:proofErr w:type="spellStart"/>
      <w:r>
        <w:rPr>
          <w:rFonts w:ascii="Times New Roman" w:hAnsi="Times New Roman" w:cs="Times New Roman"/>
          <w:bCs/>
          <w:sz w:val="24"/>
          <w:szCs w:val="24"/>
        </w:rPr>
        <w:t>DNAse</w:t>
      </w:r>
      <w:proofErr w:type="spellEnd"/>
      <w:r>
        <w:rPr>
          <w:rFonts w:ascii="Times New Roman" w:hAnsi="Times New Roman" w:cs="Times New Roman"/>
          <w:bCs/>
          <w:sz w:val="24"/>
          <w:szCs w:val="24"/>
        </w:rPr>
        <w:t xml:space="preserve"> I Amplification Grade (Life Technologies) to remove any contaminating genomic DNA and reverse transcribed using the </w:t>
      </w:r>
      <w:proofErr w:type="spellStart"/>
      <w:r>
        <w:rPr>
          <w:rFonts w:ascii="Times New Roman" w:hAnsi="Times New Roman" w:cs="Times New Roman"/>
          <w:bCs/>
          <w:sz w:val="24"/>
          <w:szCs w:val="24"/>
        </w:rPr>
        <w:t>Transcriptor</w:t>
      </w:r>
      <w:proofErr w:type="spellEnd"/>
      <w:r>
        <w:rPr>
          <w:rFonts w:ascii="Times New Roman" w:hAnsi="Times New Roman" w:cs="Times New Roman"/>
          <w:bCs/>
          <w:sz w:val="24"/>
          <w:szCs w:val="24"/>
        </w:rPr>
        <w:t xml:space="preserve"> First Strand cDNA Synthesis Kit (Roche) as specified by the manufacturer. Reactions were run in a CFX384™ Real-Time System (Bio-Rad) under the following thermal cycling conditions: 3 min at 95 °C and 40 cycles of 10 s at 95 °C, 30 s at the corresponding annealing temperature and a final melting curve of 81 cycles from 55 to 95 °C (0.5 °C increase every 30 s) to analyze the specificity of the reaction and absence of primer dimers. The reactions (5 µl) contained 2.5 </w:t>
      </w:r>
      <w:proofErr w:type="spellStart"/>
      <w:r>
        <w:rPr>
          <w:rFonts w:ascii="Times New Roman" w:hAnsi="Times New Roman" w:cs="Times New Roman"/>
          <w:bCs/>
          <w:sz w:val="24"/>
          <w:szCs w:val="24"/>
        </w:rPr>
        <w:t>μL</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iQ</w:t>
      </w:r>
      <w:proofErr w:type="spellEnd"/>
      <w:r>
        <w:rPr>
          <w:rFonts w:ascii="Times New Roman" w:hAnsi="Times New Roman" w:cs="Times New Roman"/>
          <w:bCs/>
          <w:sz w:val="24"/>
          <w:szCs w:val="24"/>
        </w:rPr>
        <w:t xml:space="preserve"> SYBR Green </w:t>
      </w:r>
      <w:proofErr w:type="spellStart"/>
      <w:r>
        <w:rPr>
          <w:rFonts w:ascii="Times New Roman" w:hAnsi="Times New Roman" w:cs="Times New Roman"/>
          <w:bCs/>
          <w:sz w:val="24"/>
          <w:szCs w:val="24"/>
        </w:rPr>
        <w:t>Supermix</w:t>
      </w:r>
      <w:proofErr w:type="spellEnd"/>
      <w:r>
        <w:rPr>
          <w:rFonts w:ascii="Times New Roman" w:hAnsi="Times New Roman" w:cs="Times New Roman"/>
          <w:bCs/>
          <w:sz w:val="24"/>
          <w:szCs w:val="24"/>
        </w:rPr>
        <w:t xml:space="preserve"> (Bio-Rad), 500 </w:t>
      </w:r>
      <w:proofErr w:type="spellStart"/>
      <w:r>
        <w:rPr>
          <w:rFonts w:ascii="Times New Roman" w:hAnsi="Times New Roman" w:cs="Times New Roman"/>
          <w:bCs/>
          <w:sz w:val="24"/>
          <w:szCs w:val="24"/>
        </w:rPr>
        <w:t>nM</w:t>
      </w:r>
      <w:proofErr w:type="spellEnd"/>
      <w:r>
        <w:rPr>
          <w:rFonts w:ascii="Times New Roman" w:hAnsi="Times New Roman" w:cs="Times New Roman"/>
          <w:bCs/>
          <w:sz w:val="24"/>
          <w:szCs w:val="24"/>
        </w:rPr>
        <w:t xml:space="preserve"> of forward and reverse primers and 1 </w:t>
      </w:r>
      <w:proofErr w:type="spellStart"/>
      <w:r>
        <w:rPr>
          <w:rFonts w:ascii="Times New Roman" w:hAnsi="Times New Roman" w:cs="Times New Roman"/>
          <w:bCs/>
          <w:sz w:val="24"/>
          <w:szCs w:val="24"/>
        </w:rPr>
        <w:t>μL</w:t>
      </w:r>
      <w:proofErr w:type="spellEnd"/>
      <w:r>
        <w:rPr>
          <w:rFonts w:ascii="Times New Roman" w:hAnsi="Times New Roman" w:cs="Times New Roman"/>
          <w:bCs/>
          <w:sz w:val="24"/>
          <w:szCs w:val="24"/>
        </w:rPr>
        <w:t xml:space="preserve"> of cDNA for each sample (diluted  1:5) and followed the requirements of the MIQE guidelines. All PCR reactions were run in triplicate. Primer efficiency was calculated by analyzing serial dilutions of cDNA samples and was higher than 90%. The expression level of each gene was normalized to the two or three most stable reference genes tested, </w:t>
      </w:r>
      <w:r>
        <w:rPr>
          <w:rFonts w:ascii="Times New Roman" w:hAnsi="Times New Roman" w:cs="Times New Roman"/>
          <w:bCs/>
          <w:i/>
          <w:sz w:val="24"/>
          <w:szCs w:val="24"/>
        </w:rPr>
        <w:t>rps15</w:t>
      </w:r>
      <w:r>
        <w:rPr>
          <w:rFonts w:ascii="Times New Roman" w:hAnsi="Times New Roman" w:cs="Times New Roman"/>
          <w:bCs/>
          <w:sz w:val="24"/>
          <w:szCs w:val="24"/>
        </w:rPr>
        <w:t xml:space="preserve">, </w:t>
      </w:r>
      <w:r>
        <w:rPr>
          <w:rFonts w:ascii="Times New Roman" w:hAnsi="Times New Roman" w:cs="Times New Roman"/>
          <w:bCs/>
          <w:i/>
          <w:sz w:val="24"/>
          <w:szCs w:val="24"/>
        </w:rPr>
        <w:t>rps18</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rpl11 </w:t>
      </w:r>
      <w:r>
        <w:rPr>
          <w:rFonts w:ascii="Times New Roman" w:hAnsi="Times New Roman" w:cs="Times New Roman"/>
          <w:bCs/>
          <w:sz w:val="24"/>
          <w:szCs w:val="24"/>
        </w:rPr>
        <w:t>and</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bactin</w:t>
      </w:r>
      <w:proofErr w:type="spellEnd"/>
      <w:r>
        <w:rPr>
          <w:rFonts w:ascii="Times New Roman" w:hAnsi="Times New Roman" w:cs="Times New Roman"/>
          <w:bCs/>
          <w:sz w:val="24"/>
          <w:szCs w:val="24"/>
        </w:rPr>
        <w:t xml:space="preserve">. (M-value &lt; 0.5) and quantified using CFX384 software (modified </w:t>
      </w:r>
      <w:r>
        <w:fldChar w:fldCharType="begin" w:fldLock="1"/>
      </w:r>
      <w:r w:rsidR="008A5B05">
        <w:instrText>ADDIN CSL_CITATION {"citationItems":[{"id":"ITEM-1","itemData":{"ISSN":"1362-4962","PMID":"11328886","abstract":"Use of the real-time polymerase chain reaction (PCR) to amplify cDNA products reverse transcribed from mRNA is on the way to becoming a routine tool in molecular biology to study low abundance gene expression. Real-time PCR is easy to perform, provides the necessary accuracy and produces reliable as well as rapid quantification results. But accurate quantification of nucleic acids requires a reproducible methodology and an adequate mathematical model for data analysis. This study enters into the particular topics of the relative quantification in real-time RT-PCR of a target gene transcript in comparison to a reference gene transcript. Therefore, a new mathematical model is presented. The relative expression ratio is calculated only from the real-time PCR efficiencies and the crossing point deviation of an unknown sample versus a control. This model needs no calibration curve. Control levels were included in the model to standardise each reaction run with respect to RNA integrity, sample loading and inter-PCR variations. High accuracy and reproducibility (&lt;2.5% variation) were reached in LightCycler PCR using the established mathematical model.","author":[{"dropping-particle":"","family":"Pfaffl","given":"M W","non-dropping-particle":"","parse-names":false,"suffix":""}],"container-title":"Nucleic acids research","id":"ITEM-1","issue":"9","issued":{"date-parts":[["2001","5","1"]]},"page":"e45","title":"A new mathematical model for relative quantification in real-time RT-PCR.","type":"article-journal","volume":"29"},"uris":["http://www.mendeley.com/documents/?uuid=9996dd83-cda3-437f-b6ad-93d7f10598db"]}],"mendeley":{"formattedCitation":"(Pfaffl, 2001)","plainTextFormattedCitation":"(Pfaffl, 2001)","previouslyFormattedCitation":"(Pfaffl, 2001)"},"properties":{"noteIndex":0},"schema":"https://github.com/citation-style-language/schema/raw/master/csl-citation.json"}</w:instrText>
      </w:r>
      <w:r>
        <w:fldChar w:fldCharType="separate"/>
      </w:r>
      <w:bookmarkStart w:id="5" w:name="__Fieldmark__1837_53190176"/>
      <w:r>
        <w:rPr>
          <w:rFonts w:ascii="Times New Roman" w:hAnsi="Times New Roman" w:cs="Times New Roman"/>
          <w:bCs/>
          <w:noProof/>
          <w:sz w:val="24"/>
          <w:szCs w:val="24"/>
        </w:rPr>
        <w:t>(</w:t>
      </w:r>
      <w:bookmarkStart w:id="6" w:name="__Fieldmark__7297_203598831"/>
      <w:r>
        <w:rPr>
          <w:rFonts w:ascii="Times New Roman" w:hAnsi="Times New Roman" w:cs="Times New Roman"/>
          <w:bCs/>
          <w:noProof/>
          <w:sz w:val="24"/>
          <w:szCs w:val="24"/>
        </w:rPr>
        <w:t>Pfaffl, 2001)</w:t>
      </w:r>
      <w:r>
        <w:fldChar w:fldCharType="end"/>
      </w:r>
      <w:bookmarkEnd w:id="5"/>
      <w:bookmarkEnd w:id="6"/>
      <w:r>
        <w:rPr>
          <w:rFonts w:ascii="Times New Roman" w:hAnsi="Times New Roman" w:cs="Times New Roman"/>
          <w:bCs/>
          <w:sz w:val="24"/>
          <w:szCs w:val="24"/>
        </w:rPr>
        <w:t xml:space="preserve">). Primer sequences were designed using </w:t>
      </w:r>
      <w:proofErr w:type="spellStart"/>
      <w:r>
        <w:rPr>
          <w:rFonts w:ascii="Times New Roman" w:hAnsi="Times New Roman" w:cs="Times New Roman"/>
          <w:bCs/>
          <w:sz w:val="24"/>
          <w:szCs w:val="24"/>
        </w:rPr>
        <w:t>PerlPrimer</w:t>
      </w:r>
      <w:proofErr w:type="spellEnd"/>
      <w:r>
        <w:rPr>
          <w:rFonts w:ascii="Times New Roman" w:hAnsi="Times New Roman" w:cs="Times New Roman"/>
          <w:bCs/>
          <w:sz w:val="24"/>
          <w:szCs w:val="24"/>
        </w:rPr>
        <w:t xml:space="preserve"> Software </w:t>
      </w:r>
      <w:r>
        <w:rPr>
          <w:rFonts w:ascii="Times New Roman" w:hAnsi="Times New Roman" w:cs="Times New Roman"/>
          <w:bCs/>
          <w:sz w:val="24"/>
          <w:szCs w:val="24"/>
        </w:rPr>
        <w:lastRenderedPageBreak/>
        <w:t xml:space="preserve">or Roche Universal Probe Library Assay Design Center. Primer sequences, amplicon sizes and accession numbers are listed </w:t>
      </w:r>
      <w:r w:rsidRPr="008A5B05">
        <w:rPr>
          <w:rFonts w:ascii="Times New Roman" w:hAnsi="Times New Roman" w:cs="Times New Roman"/>
          <w:bCs/>
          <w:sz w:val="24"/>
          <w:szCs w:val="24"/>
        </w:rPr>
        <w:t xml:space="preserve">in </w:t>
      </w:r>
      <w:r w:rsidRPr="008A5B05">
        <w:rPr>
          <w:rFonts w:ascii="Times New Roman" w:hAnsi="Times New Roman" w:cs="Times New Roman"/>
          <w:b/>
          <w:bCs/>
          <w:sz w:val="24"/>
          <w:szCs w:val="24"/>
        </w:rPr>
        <w:t xml:space="preserve">Supplementary Table S3. </w:t>
      </w:r>
    </w:p>
    <w:p w:rsidR="002B149E" w:rsidRDefault="002B149E" w:rsidP="002B149E">
      <w:pPr>
        <w:spacing w:after="0"/>
        <w:jc w:val="both"/>
        <w:rPr>
          <w:rFonts w:ascii="Times New Roman" w:hAnsi="Times New Roman" w:cs="Times New Roman"/>
          <w:bCs/>
          <w:sz w:val="24"/>
          <w:szCs w:val="24"/>
        </w:rPr>
      </w:pPr>
    </w:p>
    <w:p w:rsidR="002B149E" w:rsidRDefault="002B149E" w:rsidP="002B149E">
      <w:pPr>
        <w:spacing w:after="0"/>
        <w:jc w:val="both"/>
        <w:rPr>
          <w:rFonts w:ascii="Times New Roman" w:hAnsi="Times New Roman" w:cs="Times New Roman"/>
          <w:b/>
          <w:bCs/>
          <w:sz w:val="24"/>
          <w:szCs w:val="24"/>
        </w:rPr>
      </w:pPr>
      <w:r>
        <w:rPr>
          <w:rFonts w:ascii="Times New Roman" w:hAnsi="Times New Roman" w:cs="Times New Roman"/>
          <w:b/>
          <w:bCs/>
          <w:sz w:val="24"/>
          <w:szCs w:val="24"/>
        </w:rPr>
        <w:t>In situ hybridization</w:t>
      </w:r>
    </w:p>
    <w:p w:rsidR="002B149E" w:rsidRPr="008A5B05" w:rsidRDefault="002B149E" w:rsidP="008A5B05">
      <w:pPr>
        <w:spacing w:after="0"/>
        <w:ind w:left="720"/>
        <w:jc w:val="both"/>
        <w:rPr>
          <w:rFonts w:ascii="Times New Roman" w:hAnsi="Times New Roman" w:cs="Times New Roman"/>
          <w:sz w:val="24"/>
          <w:szCs w:val="24"/>
        </w:rPr>
      </w:pPr>
      <w:r>
        <w:rPr>
          <w:rFonts w:ascii="Times New Roman" w:hAnsi="Times New Roman" w:cs="Times New Roman"/>
          <w:bCs/>
          <w:sz w:val="24"/>
          <w:szCs w:val="24"/>
        </w:rPr>
        <w:t xml:space="preserve">In situ hybridization was performed according to published studies </w:t>
      </w:r>
      <w:r>
        <w:fldChar w:fldCharType="begin" w:fldLock="1"/>
      </w:r>
      <w:r w:rsidR="008A5B05">
        <w:instrText>ADDIN CSL_CITATION {"citationItems":[{"id":"ITEM-1","itemData":{"DOI":"10.1371/journal.pone.0115604","ISSN":"1932-6203","PMID":"25532015","abstract":"AIMS: While zebrafish embryos are amenable to in vivo imaging, allowing the study of morphogenetic processes during development, intravital imaging of adults is hampered by their small size and loss of transparency. The use of adult zebrafish as a vertebrate model of cardiac disease and regeneration is increasing at high speed. It is therefore of great importance to establish appropriate and robust methods to measure cardiac function parameters. METHODS AND RESULTS: Here we describe the use of 2D-echocardiography to study the fractional volume shortening and segmental wall motion of the ventricle. Our data show that 2D-echocardiography can be used to evaluate cardiac injury and also to study recovery of cardiac function. Interestingly, our results show that while global systolic function recovered following cardiac cryoinjury, ventricular wall motion was only partially restored. CONCLUSION: Cryoinjury leads to long-lasting impairment of cardiac contraction, partially mimicking the consequences of myocardial infarction in humans. Functional assessment of heart regeneration by echocardiography allows a deeper understanding of the mechanisms of cardiac regeneration and has the advantage of being easily transferable to other cardiovascular zebrafish disease models.","author":[{"dropping-particle":"","family":"González-Rosa","given":"Juan Manuel","non-dropping-particle":"","parse-names":false,"suffix":""},{"dropping-particle":"","family":"Guzmán-Martínez","given":"Gabriela","non-dropping-particle":"","parse-names":false,"suffix":""},{"dropping-particle":"","family":"Marques","given":"Inês João","non-dropping-particle":"","parse-names":false,"suffix":""},{"dropping-particle":"","family":"Sánchez-Iranzo","given":"Héctor","non-dropping-particle":"","parse-names":false,"suffix":""},{"dropping-particle":"","family":"Jiménez-Borreguero","given":"Luis Jesús","non-dropping-particle":"","parse-names":false,"suffix":""},{"dropping-particle":"","family":"Mercader","given":"Nadia","non-dropping-particle":"","parse-names":false,"suffix":""}],"container-title":"PloS one","id":"ITEM-1","issue":"12","issued":{"date-parts":[["2014","1"]]},"page":"e115604","title":"Use of echocardiography reveals reestablishment of ventricular pumping efficiency and partial ventricular wall motion recovery upon ventricular cryoinjury in the zebrafish.","type":"article-journal","volume":"9"},"uris":["http://www.mendeley.com/documents/?uuid=5677128b-33b2-4891-aaa0-dc7d169cc4d7"]}],"mendeley":{"formattedCitation":"(González-Rosa et al., 2014)","plainTextFormattedCitation":"(González-Rosa et al., 2014)","previouslyFormattedCitation":"(González-Rosa et al., 2014)"},"properties":{"noteIndex":0},"schema":"https://github.com/citation-style-language/schema/raw/master/csl-citation.json"}</w:instrText>
      </w:r>
      <w:r>
        <w:fldChar w:fldCharType="separate"/>
      </w:r>
      <w:bookmarkStart w:id="7" w:name="__Fieldmark__1851_53190176"/>
      <w:r>
        <w:rPr>
          <w:rFonts w:ascii="Times New Roman" w:hAnsi="Times New Roman" w:cs="Times New Roman"/>
          <w:bCs/>
          <w:noProof/>
          <w:sz w:val="24"/>
          <w:szCs w:val="24"/>
        </w:rPr>
        <w:t>(</w:t>
      </w:r>
      <w:bookmarkStart w:id="8" w:name="__Fieldmark__7310_203598831"/>
      <w:r>
        <w:rPr>
          <w:rFonts w:ascii="Times New Roman" w:hAnsi="Times New Roman" w:cs="Times New Roman"/>
          <w:bCs/>
          <w:noProof/>
          <w:sz w:val="24"/>
          <w:szCs w:val="24"/>
        </w:rPr>
        <w:t>González-Rosa et al., 2014)</w:t>
      </w:r>
      <w:r>
        <w:fldChar w:fldCharType="end"/>
      </w:r>
      <w:bookmarkEnd w:id="7"/>
      <w:bookmarkEnd w:id="8"/>
      <w:r>
        <w:rPr>
          <w:rFonts w:ascii="Times New Roman" w:hAnsi="Times New Roman" w:cs="Times New Roman"/>
          <w:bCs/>
          <w:sz w:val="24"/>
          <w:szCs w:val="24"/>
        </w:rPr>
        <w:t>. Briefly, paraffin slides were dewaxed in xylene and rehydrated by a series of graded alcohols, permeabilized with proteinase K (10 µg/ml), fixed in 4%PFA/PBS and acetylated with 0.1M triethanolamine (pH8) and 0.25% acetic anhydride. After blocking for at least 2h in hybridization buffer, slides were hybridized overnight at 65ºC with hybridization buffer containing the probe. Slides were washed with hybridization buffer, MABT1X, and blocked for 2h at room temperature with blocking solution (10% blocking reagent, Roche with 20% sheep serum). Anti-DIG AP antibody (Roche) was incubated at 4ºC overnight and developed using BM-purple substrate (Roche). Slides were fixed in 4%PFA/PBS, dehydrated and mounted in DPX (</w:t>
      </w:r>
      <w:proofErr w:type="spellStart"/>
      <w:r>
        <w:rPr>
          <w:rFonts w:ascii="Times New Roman" w:hAnsi="Times New Roman" w:cs="Times New Roman"/>
          <w:bCs/>
          <w:sz w:val="24"/>
          <w:szCs w:val="24"/>
        </w:rPr>
        <w:t>Sharlau</w:t>
      </w:r>
      <w:proofErr w:type="spellEnd"/>
      <w:r>
        <w:rPr>
          <w:rFonts w:ascii="Times New Roman" w:hAnsi="Times New Roman" w:cs="Times New Roman"/>
          <w:bCs/>
          <w:sz w:val="24"/>
          <w:szCs w:val="24"/>
        </w:rPr>
        <w:t>). Digoxigenin-labeled antisense RNA probes were synthesized with T7 or SP6 RNA polymerase (</w:t>
      </w:r>
      <w:proofErr w:type="spellStart"/>
      <w:r>
        <w:rPr>
          <w:rFonts w:ascii="Times New Roman" w:hAnsi="Times New Roman" w:cs="Times New Roman"/>
          <w:bCs/>
          <w:sz w:val="24"/>
          <w:szCs w:val="24"/>
        </w:rPr>
        <w:t>Ambion</w:t>
      </w:r>
      <w:proofErr w:type="spellEnd"/>
      <w:r>
        <w:rPr>
          <w:rFonts w:ascii="Times New Roman" w:hAnsi="Times New Roman" w:cs="Times New Roman"/>
          <w:bCs/>
          <w:sz w:val="24"/>
          <w:szCs w:val="24"/>
        </w:rPr>
        <w:t xml:space="preserve">) after plasmid linearization. The </w:t>
      </w:r>
      <w:proofErr w:type="spellStart"/>
      <w:r>
        <w:rPr>
          <w:rFonts w:ascii="Times New Roman" w:hAnsi="Times New Roman" w:cs="Times New Roman"/>
          <w:bCs/>
          <w:sz w:val="24"/>
          <w:szCs w:val="24"/>
        </w:rPr>
        <w:t>cRNA</w:t>
      </w:r>
      <w:proofErr w:type="spellEnd"/>
      <w:r>
        <w:rPr>
          <w:rFonts w:ascii="Times New Roman" w:hAnsi="Times New Roman" w:cs="Times New Roman"/>
          <w:bCs/>
          <w:sz w:val="24"/>
          <w:szCs w:val="24"/>
        </w:rPr>
        <w:t xml:space="preserve"> products were precipitated with 4M LiCl and resuspended in DEPC water. RNA probes were quantified using Nanodrop2000 (Thermo </w:t>
      </w:r>
      <w:r w:rsidRPr="008A5B05">
        <w:rPr>
          <w:rFonts w:ascii="Times New Roman" w:hAnsi="Times New Roman" w:cs="Times New Roman"/>
          <w:bCs/>
          <w:sz w:val="24"/>
          <w:szCs w:val="24"/>
        </w:rPr>
        <w:t xml:space="preserve">Scientific) and integrity was confirmed by agarose gel electrophoresis. </w:t>
      </w:r>
    </w:p>
    <w:p w:rsidR="001A57CC" w:rsidRPr="008A5B05" w:rsidRDefault="002F7128" w:rsidP="008A5B05">
      <w:pPr>
        <w:ind w:left="720"/>
        <w:rPr>
          <w:rFonts w:ascii="Times New Roman" w:hAnsi="Times New Roman" w:cs="Times New Roman"/>
          <w:sz w:val="24"/>
          <w:szCs w:val="24"/>
        </w:rPr>
      </w:pPr>
    </w:p>
    <w:p w:rsidR="008A5B05" w:rsidRPr="008A5B05" w:rsidRDefault="008A5B05" w:rsidP="008A5B05">
      <w:pPr>
        <w:rPr>
          <w:rFonts w:ascii="Times New Roman" w:hAnsi="Times New Roman" w:cs="Times New Roman"/>
          <w:b/>
          <w:sz w:val="24"/>
          <w:szCs w:val="24"/>
        </w:rPr>
      </w:pPr>
      <w:r w:rsidRPr="008A5B05">
        <w:rPr>
          <w:rFonts w:ascii="Times New Roman" w:hAnsi="Times New Roman" w:cs="Times New Roman"/>
          <w:b/>
          <w:sz w:val="24"/>
          <w:szCs w:val="24"/>
        </w:rPr>
        <w:t>References</w:t>
      </w:r>
      <w:r w:rsidRPr="008A5B05">
        <w:rPr>
          <w:rFonts w:ascii="Times New Roman" w:hAnsi="Times New Roman" w:cs="Times New Roman"/>
          <w:b/>
        </w:rPr>
        <w:t xml:space="preserve"> </w:t>
      </w:r>
    </w:p>
    <w:p w:rsidR="008A5B05" w:rsidRPr="008A5B05" w:rsidRDefault="008A5B05" w:rsidP="008A5B05">
      <w:pPr>
        <w:widowControl w:val="0"/>
        <w:autoSpaceDE w:val="0"/>
        <w:autoSpaceDN w:val="0"/>
        <w:adjustRightInd w:val="0"/>
        <w:spacing w:line="240" w:lineRule="auto"/>
        <w:ind w:left="480" w:hanging="480"/>
        <w:rPr>
          <w:rFonts w:ascii="Times New Roman" w:hAnsi="Times New Roman" w:cs="Times New Roman"/>
          <w:noProof/>
          <w:sz w:val="24"/>
          <w:szCs w:val="24"/>
        </w:rPr>
      </w:pPr>
      <w:r w:rsidRPr="008A5B05">
        <w:rPr>
          <w:rFonts w:ascii="Times New Roman" w:hAnsi="Times New Roman" w:cs="Times New Roman"/>
          <w:b/>
          <w:sz w:val="24"/>
          <w:szCs w:val="24"/>
        </w:rPr>
        <w:fldChar w:fldCharType="begin" w:fldLock="1"/>
      </w:r>
      <w:r w:rsidRPr="008A5B05">
        <w:rPr>
          <w:rFonts w:ascii="Times New Roman" w:hAnsi="Times New Roman" w:cs="Times New Roman"/>
          <w:b/>
          <w:sz w:val="24"/>
          <w:szCs w:val="24"/>
        </w:rPr>
        <w:instrText xml:space="preserve">ADDIN Mendeley Bibliography CSL_BIBLIOGRAPHY </w:instrText>
      </w:r>
      <w:r w:rsidRPr="008A5B05">
        <w:rPr>
          <w:rFonts w:ascii="Times New Roman" w:hAnsi="Times New Roman" w:cs="Times New Roman"/>
          <w:b/>
          <w:sz w:val="24"/>
          <w:szCs w:val="24"/>
        </w:rPr>
        <w:fldChar w:fldCharType="separate"/>
      </w:r>
      <w:r w:rsidRPr="008A5B05">
        <w:rPr>
          <w:rFonts w:ascii="Times New Roman" w:hAnsi="Times New Roman" w:cs="Times New Roman"/>
          <w:noProof/>
          <w:sz w:val="24"/>
          <w:szCs w:val="24"/>
        </w:rPr>
        <w:t xml:space="preserve">González-Rosa, J. M., Guzmán-Martínez, G., Marques, I. J., Sánchez-Iranzo, H., Jiménez-Borreguero, L. J., and Mercader, N. (2014). Use of echocardiography reveals reestablishment of ventricular pumping efficiency and partial ventricular wall motion recovery upon ventricular cryoinjury in the zebrafish. </w:t>
      </w:r>
      <w:r w:rsidRPr="008A5B05">
        <w:rPr>
          <w:rFonts w:ascii="Times New Roman" w:hAnsi="Times New Roman" w:cs="Times New Roman"/>
          <w:i/>
          <w:iCs/>
          <w:noProof/>
          <w:sz w:val="24"/>
          <w:szCs w:val="24"/>
        </w:rPr>
        <w:t>PLoS One</w:t>
      </w:r>
      <w:r w:rsidRPr="008A5B05">
        <w:rPr>
          <w:rFonts w:ascii="Times New Roman" w:hAnsi="Times New Roman" w:cs="Times New Roman"/>
          <w:noProof/>
          <w:sz w:val="24"/>
          <w:szCs w:val="24"/>
        </w:rPr>
        <w:t xml:space="preserve"> 9, e115604. doi:10.1371/journal.pone.0115604.</w:t>
      </w:r>
    </w:p>
    <w:p w:rsidR="008A5B05" w:rsidRPr="008A5B05" w:rsidRDefault="008A5B05" w:rsidP="008A5B05">
      <w:pPr>
        <w:widowControl w:val="0"/>
        <w:autoSpaceDE w:val="0"/>
        <w:autoSpaceDN w:val="0"/>
        <w:adjustRightInd w:val="0"/>
        <w:spacing w:line="240" w:lineRule="auto"/>
        <w:ind w:left="480" w:hanging="480"/>
        <w:rPr>
          <w:rFonts w:ascii="Times New Roman" w:hAnsi="Times New Roman" w:cs="Times New Roman"/>
          <w:noProof/>
          <w:sz w:val="24"/>
          <w:szCs w:val="24"/>
        </w:rPr>
      </w:pPr>
      <w:r w:rsidRPr="008A5B05">
        <w:rPr>
          <w:rFonts w:ascii="Times New Roman" w:hAnsi="Times New Roman" w:cs="Times New Roman"/>
          <w:noProof/>
          <w:sz w:val="24"/>
          <w:szCs w:val="24"/>
        </w:rPr>
        <w:t xml:space="preserve">Palstra, A. P., Tudorache, C., Rovira, M., Brittijn, S. A., Burgerhout, E., van den Thillart, G. E. E. J. M., et al. (2010). Establishing Zebrafish as a Novel Exercise Model: Swimming Economy, Swimming-Enhanced Growth and Muscle Growth Marker Gene Expression. </w:t>
      </w:r>
      <w:r w:rsidRPr="008A5B05">
        <w:rPr>
          <w:rFonts w:ascii="Times New Roman" w:hAnsi="Times New Roman" w:cs="Times New Roman"/>
          <w:i/>
          <w:iCs/>
          <w:noProof/>
          <w:sz w:val="24"/>
          <w:szCs w:val="24"/>
        </w:rPr>
        <w:t>PLoS One</w:t>
      </w:r>
      <w:r w:rsidRPr="008A5B05">
        <w:rPr>
          <w:rFonts w:ascii="Times New Roman" w:hAnsi="Times New Roman" w:cs="Times New Roman"/>
          <w:noProof/>
          <w:sz w:val="24"/>
          <w:szCs w:val="24"/>
        </w:rPr>
        <w:t xml:space="preserve"> 5, e14483. doi:10.1371/journal.pone.0014483.</w:t>
      </w:r>
    </w:p>
    <w:p w:rsidR="008A5B05" w:rsidRPr="008A5B05" w:rsidRDefault="008A5B05" w:rsidP="008A5B05">
      <w:pPr>
        <w:widowControl w:val="0"/>
        <w:autoSpaceDE w:val="0"/>
        <w:autoSpaceDN w:val="0"/>
        <w:adjustRightInd w:val="0"/>
        <w:spacing w:line="240" w:lineRule="auto"/>
        <w:ind w:left="480" w:hanging="480"/>
        <w:rPr>
          <w:rFonts w:ascii="Times New Roman" w:hAnsi="Times New Roman" w:cs="Times New Roman"/>
          <w:noProof/>
          <w:sz w:val="24"/>
          <w:szCs w:val="24"/>
        </w:rPr>
      </w:pPr>
      <w:r w:rsidRPr="008A5B05">
        <w:rPr>
          <w:rFonts w:ascii="Times New Roman" w:hAnsi="Times New Roman" w:cs="Times New Roman"/>
          <w:noProof/>
          <w:sz w:val="24"/>
          <w:szCs w:val="24"/>
        </w:rPr>
        <w:t xml:space="preserve">Pfaffl, M. W. (2001). A new mathematical model for relative quantification in real-time RT-PCR. </w:t>
      </w:r>
      <w:r w:rsidRPr="008A5B05">
        <w:rPr>
          <w:rFonts w:ascii="Times New Roman" w:hAnsi="Times New Roman" w:cs="Times New Roman"/>
          <w:i/>
          <w:iCs/>
          <w:noProof/>
          <w:sz w:val="24"/>
          <w:szCs w:val="24"/>
        </w:rPr>
        <w:t>Nucleic Acids Res.</w:t>
      </w:r>
      <w:r w:rsidRPr="008A5B05">
        <w:rPr>
          <w:rFonts w:ascii="Times New Roman" w:hAnsi="Times New Roman" w:cs="Times New Roman"/>
          <w:noProof/>
          <w:sz w:val="24"/>
          <w:szCs w:val="24"/>
        </w:rPr>
        <w:t xml:space="preserve"> 29, e45. Available at: http://www.pubmedcentral.nih.gov/articlerender.fcgi?artid=55695&amp;tool=pmcentrez&amp;rendertype=abstract.</w:t>
      </w:r>
    </w:p>
    <w:p w:rsidR="008A5B05" w:rsidRPr="008A5B05" w:rsidRDefault="008A5B05" w:rsidP="008A5B05">
      <w:pPr>
        <w:widowControl w:val="0"/>
        <w:autoSpaceDE w:val="0"/>
        <w:autoSpaceDN w:val="0"/>
        <w:adjustRightInd w:val="0"/>
        <w:spacing w:line="240" w:lineRule="auto"/>
        <w:ind w:left="480" w:hanging="480"/>
        <w:rPr>
          <w:rFonts w:ascii="Times New Roman" w:hAnsi="Times New Roman" w:cs="Times New Roman"/>
          <w:noProof/>
          <w:sz w:val="24"/>
          <w:szCs w:val="24"/>
        </w:rPr>
      </w:pPr>
      <w:r w:rsidRPr="008A5B05">
        <w:rPr>
          <w:rFonts w:ascii="Times New Roman" w:hAnsi="Times New Roman" w:cs="Times New Roman"/>
          <w:noProof/>
          <w:sz w:val="24"/>
          <w:szCs w:val="24"/>
        </w:rPr>
        <w:t xml:space="preserve">Tierney, K. B. (2011). Swimming performance assessment in fishes. </w:t>
      </w:r>
      <w:r w:rsidRPr="008A5B05">
        <w:rPr>
          <w:rFonts w:ascii="Times New Roman" w:hAnsi="Times New Roman" w:cs="Times New Roman"/>
          <w:i/>
          <w:iCs/>
          <w:noProof/>
          <w:sz w:val="24"/>
          <w:szCs w:val="24"/>
        </w:rPr>
        <w:t>J. Vis. Exp.</w:t>
      </w:r>
      <w:r w:rsidRPr="008A5B05">
        <w:rPr>
          <w:rFonts w:ascii="Times New Roman" w:hAnsi="Times New Roman" w:cs="Times New Roman"/>
          <w:noProof/>
          <w:sz w:val="24"/>
          <w:szCs w:val="24"/>
        </w:rPr>
        <w:t xml:space="preserve"> doi:10.3791/2572.</w:t>
      </w:r>
    </w:p>
    <w:p w:rsidR="008A5B05" w:rsidRPr="008A5B05" w:rsidRDefault="008A5B05" w:rsidP="008A5B05">
      <w:pPr>
        <w:ind w:left="720"/>
        <w:rPr>
          <w:rFonts w:ascii="Times New Roman" w:hAnsi="Times New Roman" w:cs="Times New Roman"/>
          <w:b/>
        </w:rPr>
      </w:pPr>
      <w:r w:rsidRPr="008A5B05">
        <w:rPr>
          <w:rFonts w:ascii="Times New Roman" w:hAnsi="Times New Roman" w:cs="Times New Roman"/>
          <w:b/>
          <w:sz w:val="24"/>
          <w:szCs w:val="24"/>
        </w:rPr>
        <w:fldChar w:fldCharType="end"/>
      </w:r>
    </w:p>
    <w:sectPr w:rsidR="008A5B05" w:rsidRPr="008A5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49E"/>
    <w:rsid w:val="002B149E"/>
    <w:rsid w:val="002F7128"/>
    <w:rsid w:val="00456037"/>
    <w:rsid w:val="00793FF3"/>
    <w:rsid w:val="008A5B05"/>
    <w:rsid w:val="00C57EC0"/>
    <w:rsid w:val="00DC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E31B6-84BC-49CC-9171-150C59E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B4B8-26C6-41D9-954C-41209231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ULB</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Sidra Amiri</cp:lastModifiedBy>
  <cp:revision>2</cp:revision>
  <dcterms:created xsi:type="dcterms:W3CDTF">2018-09-20T12:01:00Z</dcterms:created>
  <dcterms:modified xsi:type="dcterms:W3CDTF">2018-09-20T12:01:00Z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http://www.zotero.org/styles/frontiers-in-physiology</vt:lpwstr>
  </property>
  <property fmtid="{D5CDD505-2E9C-101B-9397-08002B2CF9AE}" pid="13" name="Mendeley Recent Style Name 5_1">
    <vt:lpwstr>Frontiers in Physiology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7ac7d0c0-5ed1-366c-8316-efe180d23378</vt:lpwstr>
  </property>
  <property fmtid="{D5CDD505-2E9C-101B-9397-08002B2CF9AE}" pid="24" name="Mendeley Citation Style_1">
    <vt:lpwstr>http://www.zotero.org/styles/frontiers-in-physiology</vt:lpwstr>
  </property>
</Properties>
</file>