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47B1" w14:textId="15B6F287" w:rsidR="00AF3B2B" w:rsidRPr="004F0C2F" w:rsidRDefault="00AF3B2B" w:rsidP="00AF3B2B">
      <w:pPr>
        <w:widowControl/>
        <w:spacing w:line="480" w:lineRule="auto"/>
        <w:jc w:val="left"/>
        <w:rPr>
          <w:rFonts w:ascii="Times New Roman" w:hAnsi="Times New Roman" w:cs="Times New Roman"/>
          <w:b/>
          <w:sz w:val="24"/>
          <w:lang w:val="en-GB"/>
        </w:rPr>
      </w:pPr>
      <w:r w:rsidRPr="004F0C2F">
        <w:rPr>
          <w:rFonts w:ascii="Times New Roman" w:hAnsi="Times New Roman" w:cs="Times New Roman"/>
          <w:b/>
          <w:sz w:val="24"/>
          <w:lang w:val="en-GB"/>
        </w:rPr>
        <w:t>Supplemental Material</w:t>
      </w:r>
    </w:p>
    <w:p w14:paraId="2682D17A" w14:textId="77777777" w:rsidR="00AB5A1F" w:rsidRPr="004F0C2F" w:rsidRDefault="00AB5A1F" w:rsidP="00AF3B2B">
      <w:pPr>
        <w:widowControl/>
        <w:spacing w:line="480" w:lineRule="auto"/>
        <w:jc w:val="left"/>
        <w:rPr>
          <w:rFonts w:ascii="Times New Roman" w:hAnsi="Times New Roman" w:cs="Times New Roman"/>
          <w:b/>
          <w:sz w:val="24"/>
          <w:lang w:val="en-GB"/>
        </w:rPr>
      </w:pPr>
    </w:p>
    <w:p w14:paraId="7A8ABA35" w14:textId="7ED9B018" w:rsidR="003D6BB1" w:rsidRPr="004F0C2F" w:rsidRDefault="003D6BB1" w:rsidP="00AF3B2B">
      <w:pPr>
        <w:widowControl/>
        <w:spacing w:line="480" w:lineRule="auto"/>
        <w:ind w:left="708" w:hangingChars="295" w:hanging="708"/>
        <w:jc w:val="left"/>
        <w:rPr>
          <w:rFonts w:ascii="Times New Roman" w:hAnsi="Times New Roman"/>
          <w:bCs/>
          <w:sz w:val="24"/>
        </w:rPr>
      </w:pPr>
      <w:r w:rsidRPr="004F0C2F">
        <w:rPr>
          <w:rFonts w:ascii="Times New Roman" w:hAnsi="Times New Roman" w:cs="Times New Roman"/>
          <w:sz w:val="24"/>
          <w:lang w:val="en-GB"/>
        </w:rPr>
        <w:t>Appendix 1. Detail</w:t>
      </w:r>
      <w:r w:rsidR="002A5F1A" w:rsidRPr="004F0C2F">
        <w:rPr>
          <w:rFonts w:ascii="Times New Roman" w:hAnsi="Times New Roman" w:cs="Times New Roman"/>
          <w:sz w:val="24"/>
          <w:lang w:val="en-GB"/>
        </w:rPr>
        <w:t>ed description</w:t>
      </w:r>
      <w:r w:rsidRPr="004F0C2F">
        <w:rPr>
          <w:rFonts w:ascii="Times New Roman" w:hAnsi="Times New Roman" w:cs="Times New Roman"/>
          <w:sz w:val="24"/>
          <w:lang w:val="en-GB"/>
        </w:rPr>
        <w:t xml:space="preserve"> of the </w:t>
      </w:r>
      <w:r w:rsidRPr="004F0C2F">
        <w:rPr>
          <w:rFonts w:ascii="Times New Roman" w:hAnsi="Times New Roman"/>
          <w:bCs/>
          <w:sz w:val="24"/>
        </w:rPr>
        <w:t>EMR database</w:t>
      </w:r>
      <w:r w:rsidRPr="004F0C2F">
        <w:rPr>
          <w:rFonts w:ascii="Times New Roman" w:hAnsi="Times New Roman"/>
          <w:sz w:val="24"/>
        </w:rPr>
        <w:t xml:space="preserve"> </w:t>
      </w:r>
      <w:r w:rsidR="00AF3A60" w:rsidRPr="004F0C2F">
        <w:rPr>
          <w:rFonts w:ascii="Times New Roman" w:hAnsi="Times New Roman"/>
          <w:sz w:val="24"/>
        </w:rPr>
        <w:t xml:space="preserve">from </w:t>
      </w:r>
      <w:r w:rsidRPr="004F0C2F">
        <w:rPr>
          <w:rFonts w:ascii="Times New Roman" w:hAnsi="Times New Roman"/>
          <w:bCs/>
          <w:sz w:val="24"/>
        </w:rPr>
        <w:t>the University of Tokyo Hospital</w:t>
      </w:r>
    </w:p>
    <w:p w14:paraId="0538811C" w14:textId="55946B51" w:rsidR="002A5F1A" w:rsidRPr="004F0C2F" w:rsidRDefault="002A5F1A" w:rsidP="002A5F1A">
      <w:pPr>
        <w:widowControl/>
        <w:spacing w:line="480" w:lineRule="auto"/>
        <w:ind w:left="708" w:hangingChars="295" w:hanging="708"/>
        <w:jc w:val="left"/>
        <w:rPr>
          <w:rFonts w:ascii="Times New Roman" w:hAnsi="Times New Roman"/>
          <w:bCs/>
          <w:sz w:val="24"/>
        </w:rPr>
      </w:pPr>
      <w:r w:rsidRPr="004F0C2F">
        <w:rPr>
          <w:rFonts w:ascii="Times New Roman" w:hAnsi="Times New Roman" w:cs="Times New Roman"/>
          <w:sz w:val="24"/>
          <w:lang w:val="en-GB"/>
        </w:rPr>
        <w:t xml:space="preserve">Appendix 2. </w:t>
      </w:r>
      <w:bookmarkStart w:id="0" w:name="_Hlk515204443"/>
      <w:r w:rsidRPr="004F0C2F">
        <w:rPr>
          <w:rFonts w:ascii="Times New Roman" w:hAnsi="Times New Roman" w:cs="Times New Roman"/>
          <w:sz w:val="24"/>
          <w:lang w:val="en-GB"/>
        </w:rPr>
        <w:t>Detailed description of the definition of observation periods for each patient</w:t>
      </w:r>
      <w:bookmarkEnd w:id="0"/>
    </w:p>
    <w:p w14:paraId="192DC34C" w14:textId="00457CA3" w:rsidR="002A5F1A" w:rsidRPr="004F0C2F" w:rsidRDefault="005C0420" w:rsidP="00AF3B2B">
      <w:pPr>
        <w:widowControl/>
        <w:spacing w:line="480" w:lineRule="auto"/>
        <w:ind w:left="708" w:hangingChars="295" w:hanging="708"/>
        <w:jc w:val="left"/>
        <w:rPr>
          <w:rFonts w:ascii="Times New Roman" w:hAnsi="Times New Roman" w:cs="Times New Roman"/>
          <w:sz w:val="24"/>
        </w:rPr>
      </w:pPr>
      <w:r w:rsidRPr="004F0C2F">
        <w:rPr>
          <w:rFonts w:ascii="Times New Roman" w:hAnsi="Times New Roman" w:cs="Times New Roman" w:hint="eastAsia"/>
          <w:sz w:val="24"/>
        </w:rPr>
        <w:t>A</w:t>
      </w:r>
      <w:r w:rsidRPr="004F0C2F">
        <w:rPr>
          <w:rFonts w:ascii="Times New Roman" w:hAnsi="Times New Roman" w:cs="Times New Roman"/>
          <w:sz w:val="24"/>
        </w:rPr>
        <w:t xml:space="preserve">ppendix 3. Definition </w:t>
      </w:r>
      <w:r w:rsidR="00427CCC" w:rsidRPr="004F0C2F">
        <w:rPr>
          <w:rFonts w:ascii="Times New Roman" w:hAnsi="Times New Roman" w:cs="Times New Roman"/>
          <w:sz w:val="24"/>
        </w:rPr>
        <w:t xml:space="preserve">of </w:t>
      </w:r>
      <w:r w:rsidRPr="004F0C2F">
        <w:rPr>
          <w:rFonts w:ascii="Times New Roman" w:hAnsi="Times New Roman"/>
          <w:sz w:val="24"/>
        </w:rPr>
        <w:t>the occurrence of liver injury</w:t>
      </w:r>
      <w:r w:rsidRPr="004F0C2F">
        <w:rPr>
          <w:rFonts w:ascii="Times New Roman" w:hAnsi="Times New Roman" w:cs="Times New Roman"/>
          <w:sz w:val="24"/>
        </w:rPr>
        <w:t xml:space="preserve"> </w:t>
      </w:r>
    </w:p>
    <w:p w14:paraId="04583EB5" w14:textId="327D5FDB" w:rsidR="00AF3B2B" w:rsidRPr="004F0C2F" w:rsidRDefault="00AF3B2B" w:rsidP="00AF3B2B">
      <w:pPr>
        <w:widowControl/>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sz w:val="24"/>
          <w:lang w:val="en-GB"/>
        </w:rPr>
        <w:t xml:space="preserve">Appendix </w:t>
      </w:r>
      <w:r w:rsidR="009A648D" w:rsidRPr="004F0C2F">
        <w:rPr>
          <w:rFonts w:ascii="Times New Roman" w:hAnsi="Times New Roman" w:cs="Times New Roman"/>
          <w:sz w:val="24"/>
          <w:lang w:val="en-GB"/>
        </w:rPr>
        <w:t>4</w:t>
      </w:r>
      <w:r w:rsidRPr="004F0C2F">
        <w:rPr>
          <w:rFonts w:ascii="Times New Roman" w:hAnsi="Times New Roman" w:cs="Times New Roman"/>
          <w:sz w:val="24"/>
          <w:lang w:val="en-GB"/>
        </w:rPr>
        <w:t>. Detailed description of the candidate covariates for the high-dimensional propensity score models</w:t>
      </w:r>
    </w:p>
    <w:p w14:paraId="1310B89F" w14:textId="0ED32675" w:rsidR="00AF3B2B" w:rsidRPr="004F0C2F" w:rsidRDefault="00AF3B2B" w:rsidP="00AF3B2B">
      <w:pPr>
        <w:widowControl/>
        <w:spacing w:line="480" w:lineRule="auto"/>
        <w:ind w:left="708" w:hangingChars="295" w:hanging="708"/>
        <w:jc w:val="left"/>
        <w:rPr>
          <w:rFonts w:ascii="Times New Roman" w:hAnsi="Times New Roman" w:cs="Times New Roman"/>
          <w:sz w:val="24"/>
        </w:rPr>
      </w:pPr>
      <w:r w:rsidRPr="004F0C2F">
        <w:rPr>
          <w:rFonts w:ascii="Times New Roman" w:hAnsi="Times New Roman" w:cs="Times New Roman"/>
          <w:sz w:val="24"/>
        </w:rPr>
        <w:t xml:space="preserve">Appendix </w:t>
      </w:r>
      <w:r w:rsidR="009A648D" w:rsidRPr="004F0C2F">
        <w:rPr>
          <w:rFonts w:ascii="Times New Roman" w:hAnsi="Times New Roman" w:cs="Times New Roman"/>
          <w:sz w:val="24"/>
        </w:rPr>
        <w:t>5</w:t>
      </w:r>
      <w:r w:rsidRPr="004F0C2F">
        <w:rPr>
          <w:rFonts w:ascii="Times New Roman" w:hAnsi="Times New Roman" w:cs="Times New Roman"/>
          <w:sz w:val="24"/>
        </w:rPr>
        <w:t>. Detailed algorithm for the construction of the high-dimensional propensity score</w:t>
      </w:r>
    </w:p>
    <w:p w14:paraId="10FD7B95" w14:textId="55771E6F" w:rsidR="00AF3B2B" w:rsidRPr="004F0C2F" w:rsidRDefault="00AF3B2B" w:rsidP="00AF3B2B">
      <w:pPr>
        <w:widowControl/>
        <w:spacing w:line="480" w:lineRule="auto"/>
        <w:ind w:left="708" w:hangingChars="295" w:hanging="708"/>
        <w:jc w:val="left"/>
        <w:rPr>
          <w:rFonts w:ascii="Times New Roman" w:hAnsi="Times New Roman" w:cs="Times New Roman"/>
          <w:sz w:val="24"/>
        </w:rPr>
      </w:pPr>
      <w:r w:rsidRPr="004F0C2F">
        <w:rPr>
          <w:rFonts w:ascii="Times New Roman" w:hAnsi="Times New Roman" w:cs="Times New Roman"/>
          <w:sz w:val="24"/>
        </w:rPr>
        <w:t xml:space="preserve">Appendix </w:t>
      </w:r>
      <w:r w:rsidR="009A648D" w:rsidRPr="004F0C2F">
        <w:rPr>
          <w:rFonts w:ascii="Times New Roman" w:hAnsi="Times New Roman" w:cs="Times New Roman"/>
          <w:sz w:val="24"/>
        </w:rPr>
        <w:t>6</w:t>
      </w:r>
      <w:r w:rsidRPr="004F0C2F">
        <w:rPr>
          <w:rFonts w:ascii="Times New Roman" w:hAnsi="Times New Roman" w:cs="Times New Roman"/>
          <w:sz w:val="24"/>
        </w:rPr>
        <w:t>. Stabilized inverse probability of treatment weight</w:t>
      </w:r>
    </w:p>
    <w:p w14:paraId="45BF2079" w14:textId="55D7708C" w:rsidR="00AF3B2B" w:rsidRPr="004F0C2F" w:rsidRDefault="00AF3B2B" w:rsidP="00AF3B2B">
      <w:pPr>
        <w:widowControl/>
        <w:spacing w:line="480" w:lineRule="auto"/>
        <w:ind w:left="708" w:hangingChars="295" w:hanging="708"/>
        <w:jc w:val="left"/>
        <w:rPr>
          <w:rFonts w:ascii="Times New Roman" w:hAnsi="Times New Roman" w:cs="Times New Roman"/>
          <w:sz w:val="24"/>
        </w:rPr>
      </w:pPr>
      <w:r w:rsidRPr="004F0C2F">
        <w:rPr>
          <w:rFonts w:ascii="Times New Roman" w:hAnsi="Times New Roman" w:cs="Times New Roman"/>
          <w:sz w:val="24"/>
        </w:rPr>
        <w:t xml:space="preserve">Appendix </w:t>
      </w:r>
      <w:r w:rsidR="009A648D" w:rsidRPr="004F0C2F">
        <w:rPr>
          <w:rFonts w:ascii="Times New Roman" w:hAnsi="Times New Roman" w:cs="Times New Roman"/>
          <w:sz w:val="24"/>
        </w:rPr>
        <w:t>7</w:t>
      </w:r>
      <w:r w:rsidRPr="004F0C2F">
        <w:rPr>
          <w:rFonts w:ascii="Times New Roman" w:hAnsi="Times New Roman" w:cs="Times New Roman"/>
          <w:sz w:val="24"/>
        </w:rPr>
        <w:t>. Stabilized inverse probability of censoring weight</w:t>
      </w:r>
    </w:p>
    <w:p w14:paraId="52F6075D" w14:textId="4207A272" w:rsidR="000A240C" w:rsidRPr="004F0C2F" w:rsidRDefault="000A240C" w:rsidP="00AF3B2B">
      <w:pPr>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hint="eastAsia"/>
          <w:sz w:val="24"/>
          <w:lang w:val="en-GB"/>
        </w:rPr>
        <w:t>S</w:t>
      </w:r>
      <w:r w:rsidRPr="004F0C2F">
        <w:rPr>
          <w:rFonts w:ascii="Times New Roman" w:hAnsi="Times New Roman" w:cs="Times New Roman"/>
          <w:sz w:val="24"/>
          <w:lang w:val="en-GB"/>
        </w:rPr>
        <w:t xml:space="preserve">upplementary Figure 1. </w:t>
      </w:r>
      <w:r w:rsidRPr="004F0C2F">
        <w:rPr>
          <w:rFonts w:ascii="Times New Roman" w:eastAsia="ＭＳ ゴシック" w:hAnsi="Times New Roman"/>
          <w:bCs/>
          <w:sz w:val="24"/>
        </w:rPr>
        <w:t xml:space="preserve">Schematic example </w:t>
      </w:r>
      <w:r w:rsidRPr="004F0C2F">
        <w:rPr>
          <w:rFonts w:ascii="Times New Roman" w:eastAsia="ＭＳ ゴシック" w:hAnsi="Times New Roman" w:hint="eastAsia"/>
          <w:bCs/>
          <w:sz w:val="24"/>
        </w:rPr>
        <w:t>o</w:t>
      </w:r>
      <w:r w:rsidRPr="004F0C2F">
        <w:rPr>
          <w:rFonts w:ascii="Times New Roman" w:eastAsia="ＭＳ ゴシック" w:hAnsi="Times New Roman"/>
          <w:bCs/>
          <w:sz w:val="24"/>
        </w:rPr>
        <w:t>f the definitions of observation periods in a hypothetical patient</w:t>
      </w:r>
    </w:p>
    <w:p w14:paraId="1F393AA3" w14:textId="45059E19" w:rsidR="00AF3B2B" w:rsidRPr="004F0C2F" w:rsidRDefault="00FB4C76" w:rsidP="00AF3B2B">
      <w:pPr>
        <w:spacing w:line="480" w:lineRule="auto"/>
        <w:ind w:left="708" w:hangingChars="295" w:hanging="708"/>
        <w:jc w:val="left"/>
        <w:rPr>
          <w:rFonts w:ascii="Times New Roman" w:eastAsia="ＭＳ ゴシック" w:hAnsi="Times New Roman"/>
          <w:bCs/>
          <w:sz w:val="24"/>
        </w:rPr>
      </w:pPr>
      <w:r w:rsidRPr="004F0C2F">
        <w:rPr>
          <w:rFonts w:ascii="Times New Roman" w:hAnsi="Times New Roman" w:cs="Times New Roman"/>
          <w:sz w:val="24"/>
          <w:lang w:val="en-GB"/>
        </w:rPr>
        <w:t>Supplementary</w:t>
      </w:r>
      <w:r w:rsidR="00AF3B2B" w:rsidRPr="004F0C2F">
        <w:rPr>
          <w:rFonts w:ascii="Times New Roman" w:hAnsi="Times New Roman" w:cs="Times New Roman"/>
          <w:sz w:val="24"/>
          <w:lang w:val="en-GB"/>
        </w:rPr>
        <w:t xml:space="preserve"> Figure </w:t>
      </w:r>
      <w:r w:rsidR="009A648D" w:rsidRPr="004F0C2F">
        <w:rPr>
          <w:rFonts w:ascii="Times New Roman" w:hAnsi="Times New Roman" w:cs="Times New Roman"/>
          <w:sz w:val="24"/>
          <w:lang w:val="en-GB"/>
        </w:rPr>
        <w:t>2</w:t>
      </w:r>
      <w:r w:rsidR="00AF3B2B" w:rsidRPr="004F0C2F">
        <w:rPr>
          <w:rFonts w:ascii="Times New Roman" w:hAnsi="Times New Roman" w:cs="Times New Roman"/>
          <w:sz w:val="24"/>
          <w:lang w:val="en-GB"/>
        </w:rPr>
        <w:t>. The distribution of the estimated high-dimensional propensity scores for the treated and untreated episodes in the pooled cohorts</w:t>
      </w:r>
      <w:r w:rsidR="00AF3B2B" w:rsidRPr="004F0C2F">
        <w:rPr>
          <w:rFonts w:ascii="Times New Roman" w:eastAsia="ＭＳ ゴシック" w:hAnsi="Times New Roman"/>
          <w:bCs/>
          <w:sz w:val="24"/>
        </w:rPr>
        <w:t xml:space="preserve"> for </w:t>
      </w:r>
      <w:r w:rsidR="00AF3B2B" w:rsidRPr="004F0C2F">
        <w:rPr>
          <w:rFonts w:ascii="Times New Roman" w:hAnsi="Times New Roman"/>
          <w:sz w:val="24"/>
        </w:rPr>
        <w:t xml:space="preserve">macrolides, </w:t>
      </w:r>
      <w:r w:rsidR="00AF3B2B" w:rsidRPr="004F0C2F">
        <w:rPr>
          <w:rFonts w:ascii="Times New Roman" w:hAnsi="Times New Roman"/>
          <w:bCs/>
          <w:sz w:val="24"/>
        </w:rPr>
        <w:t>penicillin-based antibiotics, and fluoroquinolones</w:t>
      </w:r>
    </w:p>
    <w:p w14:paraId="761CCB03" w14:textId="3116DBED" w:rsidR="00AF3B2B" w:rsidRPr="004F0C2F" w:rsidRDefault="00FB4C76" w:rsidP="00AF3B2B">
      <w:pPr>
        <w:widowControl/>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sz w:val="24"/>
          <w:lang w:val="en-GB"/>
        </w:rPr>
        <w:lastRenderedPageBreak/>
        <w:t>Supplementary</w:t>
      </w:r>
      <w:r w:rsidR="00AF3B2B" w:rsidRPr="004F0C2F">
        <w:rPr>
          <w:rFonts w:ascii="Times New Roman" w:hAnsi="Times New Roman" w:cs="Times New Roman"/>
          <w:sz w:val="24"/>
          <w:lang w:val="en-GB"/>
        </w:rPr>
        <w:t xml:space="preserve"> Figure </w:t>
      </w:r>
      <w:r w:rsidR="00882468" w:rsidRPr="004F0C2F">
        <w:rPr>
          <w:rFonts w:ascii="Times New Roman" w:hAnsi="Times New Roman" w:cs="Times New Roman" w:hint="eastAsia"/>
          <w:sz w:val="24"/>
          <w:lang w:val="en-GB"/>
        </w:rPr>
        <w:t>3</w:t>
      </w:r>
      <w:r w:rsidR="00AF3B2B" w:rsidRPr="004F0C2F">
        <w:rPr>
          <w:rFonts w:ascii="Times New Roman" w:hAnsi="Times New Roman" w:cs="Times New Roman"/>
          <w:sz w:val="24"/>
          <w:lang w:val="en-GB"/>
        </w:rPr>
        <w:t xml:space="preserve">. </w:t>
      </w:r>
      <w:r w:rsidR="00AF3B2B" w:rsidRPr="004F0C2F">
        <w:rPr>
          <w:rFonts w:ascii="Times New Roman" w:hAnsi="Times New Roman"/>
          <w:sz w:val="24"/>
        </w:rPr>
        <w:t>The cumulative incidence of liver injury per 1,000 treated and untreated episodes during the 30-day follow-up period after antibiotic prescription</w:t>
      </w:r>
    </w:p>
    <w:p w14:paraId="3122C771" w14:textId="33D1E9C1" w:rsidR="00AF3B2B" w:rsidRPr="004F0C2F" w:rsidRDefault="00FB4C76" w:rsidP="00847959">
      <w:pPr>
        <w:widowControl/>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sz w:val="24"/>
          <w:lang w:val="en-GB"/>
        </w:rPr>
        <w:t xml:space="preserve">Supplementary Table </w:t>
      </w:r>
      <w:r w:rsidRPr="004F0C2F">
        <w:rPr>
          <w:rFonts w:ascii="Times New Roman" w:hAnsi="Times New Roman" w:cs="Times New Roman" w:hint="eastAsia"/>
          <w:sz w:val="24"/>
          <w:lang w:val="en-GB"/>
        </w:rPr>
        <w:t>1</w:t>
      </w:r>
      <w:r w:rsidR="00AF3B2B" w:rsidRPr="004F0C2F">
        <w:rPr>
          <w:rFonts w:ascii="Times New Roman" w:hAnsi="Times New Roman" w:cs="Times New Roman"/>
          <w:sz w:val="24"/>
          <w:lang w:val="en-GB"/>
        </w:rPr>
        <w:t xml:space="preserve">. </w:t>
      </w:r>
      <w:r w:rsidR="00847959" w:rsidRPr="004F0C2F">
        <w:rPr>
          <w:rFonts w:ascii="Times New Roman" w:hAnsi="Times New Roman" w:cs="Times New Roman"/>
          <w:sz w:val="24"/>
          <w:lang w:val="en-GB"/>
        </w:rPr>
        <w:t>Number of users for each target antibiotic</w:t>
      </w:r>
    </w:p>
    <w:p w14:paraId="1C086A47" w14:textId="4F1C0549" w:rsidR="00847959" w:rsidRPr="004F0C2F" w:rsidRDefault="00FB4C76" w:rsidP="00847959">
      <w:pPr>
        <w:widowControl/>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sz w:val="24"/>
          <w:lang w:val="en-GB"/>
        </w:rPr>
        <w:t>Supplementary Table</w:t>
      </w:r>
      <w:r w:rsidR="00AF3B2B" w:rsidRPr="004F0C2F">
        <w:rPr>
          <w:rFonts w:ascii="Times New Roman" w:hAnsi="Times New Roman" w:cs="Times New Roman"/>
          <w:sz w:val="24"/>
          <w:lang w:val="en-GB"/>
        </w:rPr>
        <w:t xml:space="preserve"> 2. </w:t>
      </w:r>
      <w:r w:rsidR="00847959" w:rsidRPr="004F0C2F">
        <w:rPr>
          <w:rFonts w:ascii="Times New Roman" w:hAnsi="Times New Roman" w:cs="Times New Roman"/>
          <w:sz w:val="24"/>
          <w:lang w:val="en-GB"/>
        </w:rPr>
        <w:t xml:space="preserve">Sensitivity analysis results using unweighted models that adjusted for the deciles of </w:t>
      </w:r>
      <w:proofErr w:type="spellStart"/>
      <w:r w:rsidR="00847959" w:rsidRPr="004F0C2F">
        <w:rPr>
          <w:rFonts w:ascii="Times New Roman" w:hAnsi="Times New Roman" w:cs="Times New Roman"/>
          <w:sz w:val="24"/>
          <w:lang w:val="en-GB"/>
        </w:rPr>
        <w:t>hdPS</w:t>
      </w:r>
      <w:proofErr w:type="spellEnd"/>
    </w:p>
    <w:p w14:paraId="11286728" w14:textId="2A80AED8" w:rsidR="00847959" w:rsidRPr="004F0C2F" w:rsidRDefault="00FB4C76" w:rsidP="00847959">
      <w:pPr>
        <w:widowControl/>
        <w:spacing w:line="480" w:lineRule="auto"/>
        <w:ind w:left="708" w:hangingChars="295" w:hanging="708"/>
        <w:jc w:val="left"/>
        <w:rPr>
          <w:rFonts w:ascii="Times New Roman" w:hAnsi="Times New Roman" w:cs="Times New Roman"/>
          <w:sz w:val="24"/>
          <w:lang w:val="en-GB"/>
        </w:rPr>
      </w:pPr>
      <w:r w:rsidRPr="004F0C2F">
        <w:rPr>
          <w:rFonts w:ascii="Times New Roman" w:hAnsi="Times New Roman" w:cs="Times New Roman"/>
          <w:sz w:val="24"/>
          <w:lang w:val="en-GB"/>
        </w:rPr>
        <w:t xml:space="preserve">Supplementary </w:t>
      </w:r>
      <w:r w:rsidR="00AF3B2B" w:rsidRPr="004F0C2F">
        <w:rPr>
          <w:rFonts w:ascii="Times New Roman" w:hAnsi="Times New Roman" w:cs="Times New Roman"/>
          <w:sz w:val="24"/>
          <w:lang w:val="en-GB"/>
        </w:rPr>
        <w:t xml:space="preserve">Table 3. </w:t>
      </w:r>
      <w:r w:rsidR="00847959" w:rsidRPr="004F0C2F">
        <w:rPr>
          <w:rFonts w:ascii="Times New Roman" w:hAnsi="Times New Roman" w:cs="Times New Roman"/>
          <w:sz w:val="24"/>
          <w:lang w:val="en-GB"/>
        </w:rPr>
        <w:t xml:space="preserve">Sensitivity analysis results of gradual decreases of the covariates’ coefficients toward zero in the </w:t>
      </w:r>
      <w:proofErr w:type="spellStart"/>
      <w:r w:rsidR="00847959" w:rsidRPr="004F0C2F">
        <w:rPr>
          <w:rFonts w:ascii="Times New Roman" w:hAnsi="Times New Roman" w:cs="Times New Roman"/>
          <w:sz w:val="24"/>
          <w:lang w:val="en-GB"/>
        </w:rPr>
        <w:t>hdPS</w:t>
      </w:r>
      <w:proofErr w:type="spellEnd"/>
      <w:r w:rsidR="00847959" w:rsidRPr="004F0C2F">
        <w:rPr>
          <w:rFonts w:ascii="Times New Roman" w:hAnsi="Times New Roman" w:cs="Times New Roman"/>
          <w:sz w:val="24"/>
          <w:lang w:val="en-GB"/>
        </w:rPr>
        <w:t xml:space="preserve"> model</w:t>
      </w:r>
    </w:p>
    <w:p w14:paraId="2EED08C4" w14:textId="77777777" w:rsidR="00847959" w:rsidRPr="004F0C2F" w:rsidRDefault="00847959">
      <w:pPr>
        <w:widowControl/>
        <w:jc w:val="left"/>
        <w:rPr>
          <w:rFonts w:ascii="Times New Roman" w:hAnsi="Times New Roman" w:cs="Times New Roman"/>
          <w:sz w:val="24"/>
          <w:lang w:val="en-GB"/>
        </w:rPr>
      </w:pPr>
      <w:r w:rsidRPr="004F0C2F">
        <w:rPr>
          <w:rFonts w:ascii="Times New Roman" w:hAnsi="Times New Roman" w:cs="Times New Roman"/>
          <w:sz w:val="24"/>
          <w:lang w:val="en-GB"/>
        </w:rPr>
        <w:br w:type="page"/>
      </w:r>
    </w:p>
    <w:p w14:paraId="35F63E51" w14:textId="04CB2CB2" w:rsidR="003D6BB1" w:rsidRPr="004F0C2F" w:rsidRDefault="003D6BB1" w:rsidP="00882468">
      <w:pPr>
        <w:pStyle w:val="1"/>
        <w:spacing w:line="480" w:lineRule="auto"/>
        <w:rPr>
          <w:rFonts w:ascii="Times New Roman" w:hAnsi="Times New Roman" w:cs="Times New Roman"/>
          <w:b/>
        </w:rPr>
      </w:pPr>
      <w:r w:rsidRPr="004F0C2F">
        <w:rPr>
          <w:rFonts w:ascii="Times New Roman" w:hAnsi="Times New Roman" w:cs="Times New Roman"/>
          <w:b/>
        </w:rPr>
        <w:lastRenderedPageBreak/>
        <w:t xml:space="preserve">Appendix 1. </w:t>
      </w:r>
      <w:r w:rsidRPr="004F0C2F">
        <w:rPr>
          <w:rFonts w:ascii="Times New Roman" w:hAnsi="Times New Roman" w:cs="Times New Roman"/>
          <w:b/>
          <w:lang w:val="en-GB"/>
        </w:rPr>
        <w:t xml:space="preserve">Detailed description of the </w:t>
      </w:r>
      <w:r w:rsidRPr="004F0C2F">
        <w:rPr>
          <w:rFonts w:ascii="Times New Roman" w:hAnsi="Times New Roman"/>
          <w:b/>
          <w:bCs/>
        </w:rPr>
        <w:t>EMR database</w:t>
      </w:r>
      <w:r w:rsidRPr="004F0C2F">
        <w:rPr>
          <w:rFonts w:ascii="Times New Roman" w:hAnsi="Times New Roman"/>
          <w:b/>
        </w:rPr>
        <w:t xml:space="preserve"> </w:t>
      </w:r>
      <w:r w:rsidR="000D1173" w:rsidRPr="004F0C2F">
        <w:rPr>
          <w:rFonts w:ascii="Times New Roman" w:hAnsi="Times New Roman"/>
          <w:b/>
        </w:rPr>
        <w:t xml:space="preserve">from </w:t>
      </w:r>
      <w:r w:rsidRPr="004F0C2F">
        <w:rPr>
          <w:rFonts w:ascii="Times New Roman" w:hAnsi="Times New Roman"/>
          <w:b/>
          <w:bCs/>
        </w:rPr>
        <w:t>the University of Tokyo Hospital</w:t>
      </w:r>
    </w:p>
    <w:p w14:paraId="07BE40D4" w14:textId="1C468D70" w:rsidR="00882468" w:rsidRPr="004F0C2F" w:rsidRDefault="003D6BB1" w:rsidP="00882468">
      <w:pPr>
        <w:widowControl/>
        <w:spacing w:line="480" w:lineRule="auto"/>
        <w:jc w:val="left"/>
        <w:rPr>
          <w:rFonts w:ascii="Times New Roman" w:hAnsi="Times New Roman"/>
          <w:bCs/>
          <w:sz w:val="24"/>
        </w:rPr>
      </w:pPr>
      <w:r w:rsidRPr="004F0C2F">
        <w:rPr>
          <w:rFonts w:ascii="Times New Roman" w:hAnsi="Times New Roman"/>
          <w:bCs/>
          <w:sz w:val="24"/>
        </w:rPr>
        <w:t>The database</w:t>
      </w:r>
      <w:r w:rsidRPr="004F0C2F">
        <w:rPr>
          <w:rFonts w:ascii="Times New Roman" w:hAnsi="Times New Roman"/>
          <w:sz w:val="24"/>
        </w:rPr>
        <w:t xml:space="preserve"> included information on patient characteristics (anonymized personal identifiers, age, and sex); dates of hospital visits, admission, and discharge; prescribed medications; diagnoses; and laboratory test results.</w:t>
      </w:r>
      <w:r w:rsidRPr="004F0C2F">
        <w:rPr>
          <w:rFonts w:ascii="Times New Roman" w:hAnsi="Times New Roman"/>
          <w:bCs/>
          <w:sz w:val="24"/>
        </w:rPr>
        <w:t xml:space="preserve"> Medications were coded according to National Health Insurance Drug Codes provided by Japan’s Ministry of Health, </w:t>
      </w:r>
      <w:proofErr w:type="spellStart"/>
      <w:r w:rsidRPr="004F0C2F">
        <w:rPr>
          <w:rFonts w:ascii="Times New Roman" w:hAnsi="Times New Roman"/>
          <w:bCs/>
          <w:sz w:val="24"/>
        </w:rPr>
        <w:t>Labour</w:t>
      </w:r>
      <w:proofErr w:type="spellEnd"/>
      <w:r w:rsidRPr="004F0C2F">
        <w:rPr>
          <w:rFonts w:ascii="Times New Roman" w:hAnsi="Times New Roman"/>
          <w:bCs/>
          <w:sz w:val="24"/>
        </w:rPr>
        <w:t xml:space="preserve"> and Welfare. Diagnoses were recorded and identified using International Classification of Diseases, 10th revision (ICD-10) codes.</w:t>
      </w:r>
    </w:p>
    <w:p w14:paraId="59ACB0D1" w14:textId="77777777" w:rsidR="00882468" w:rsidRPr="004F0C2F" w:rsidRDefault="00882468">
      <w:pPr>
        <w:widowControl/>
        <w:jc w:val="left"/>
        <w:rPr>
          <w:rFonts w:ascii="Times New Roman" w:hAnsi="Times New Roman"/>
          <w:bCs/>
          <w:sz w:val="24"/>
        </w:rPr>
      </w:pPr>
      <w:r w:rsidRPr="004F0C2F">
        <w:rPr>
          <w:rFonts w:ascii="Times New Roman" w:hAnsi="Times New Roman"/>
          <w:bCs/>
          <w:sz w:val="24"/>
        </w:rPr>
        <w:br w:type="page"/>
      </w:r>
    </w:p>
    <w:p w14:paraId="2B83432A" w14:textId="25BB56E6" w:rsidR="002A5F1A" w:rsidRPr="004F0C2F" w:rsidRDefault="002A5F1A" w:rsidP="00882468">
      <w:pPr>
        <w:pStyle w:val="1"/>
        <w:spacing w:line="480" w:lineRule="auto"/>
        <w:rPr>
          <w:rFonts w:ascii="Times New Roman" w:hAnsi="Times New Roman" w:cs="Times New Roman"/>
          <w:b/>
        </w:rPr>
      </w:pPr>
      <w:r w:rsidRPr="004F0C2F">
        <w:rPr>
          <w:rFonts w:ascii="Times New Roman" w:hAnsi="Times New Roman" w:cs="Times New Roman"/>
          <w:b/>
        </w:rPr>
        <w:lastRenderedPageBreak/>
        <w:t xml:space="preserve">Appendix 2. </w:t>
      </w:r>
      <w:r w:rsidRPr="004F0C2F">
        <w:rPr>
          <w:rFonts w:ascii="Times New Roman" w:hAnsi="Times New Roman" w:cs="Times New Roman"/>
          <w:b/>
          <w:lang w:val="en-GB"/>
        </w:rPr>
        <w:t>Detailed description of the definition of observation periods for each patient</w:t>
      </w:r>
    </w:p>
    <w:p w14:paraId="6882DF7F" w14:textId="7D3C8C9F" w:rsidR="005C0420" w:rsidRPr="004F0C2F" w:rsidRDefault="002A5F1A" w:rsidP="00835F5B">
      <w:pPr>
        <w:spacing w:line="480" w:lineRule="auto"/>
        <w:jc w:val="left"/>
        <w:rPr>
          <w:rFonts w:ascii="Times New Roman" w:hAnsi="Times New Roman"/>
          <w:sz w:val="24"/>
        </w:rPr>
      </w:pPr>
      <w:r w:rsidRPr="004F0C2F">
        <w:rPr>
          <w:rFonts w:ascii="Times New Roman" w:hAnsi="Times New Roman"/>
          <w:sz w:val="24"/>
        </w:rPr>
        <w:t xml:space="preserve">Multiple hospitalizations or outpatient visits within 100 days were considered a single observation period for each patient. If the interval between two hospitalizations or outpatient visits exceeded 100 days, we treated the intervals as unobserved periods. It should be noted that each patient could contribute multiple observation periods. </w:t>
      </w:r>
      <w:r w:rsidRPr="004F0C2F">
        <w:rPr>
          <w:rFonts w:ascii="Times New Roman" w:hAnsi="Times New Roman"/>
          <w:sz w:val="24"/>
          <w:szCs w:val="20"/>
        </w:rPr>
        <w:t xml:space="preserve">A schematic example of these observation periods is presented in Supplementary Figure 1. </w:t>
      </w:r>
      <w:r w:rsidRPr="004F0C2F">
        <w:rPr>
          <w:rFonts w:ascii="Times New Roman" w:hAnsi="Times New Roman"/>
          <w:sz w:val="24"/>
        </w:rPr>
        <w:t>If the duration of a patient’s hospitalization extended beyond the study period, the duration was truncated before January 1, 2011 or after December 31, 2015, where appropriate.</w:t>
      </w:r>
    </w:p>
    <w:p w14:paraId="16EBBA02" w14:textId="77777777" w:rsidR="005C0420" w:rsidRPr="004F0C2F" w:rsidRDefault="005C0420">
      <w:pPr>
        <w:widowControl/>
        <w:jc w:val="left"/>
        <w:rPr>
          <w:rFonts w:ascii="Times New Roman" w:hAnsi="Times New Roman"/>
          <w:sz w:val="24"/>
        </w:rPr>
      </w:pPr>
      <w:r w:rsidRPr="004F0C2F">
        <w:rPr>
          <w:rFonts w:ascii="Times New Roman" w:hAnsi="Times New Roman"/>
          <w:sz w:val="24"/>
        </w:rPr>
        <w:br w:type="page"/>
      </w:r>
    </w:p>
    <w:p w14:paraId="53765235" w14:textId="017E53FA" w:rsidR="002A5F1A" w:rsidRPr="004F0C2F" w:rsidRDefault="005C0420" w:rsidP="00882468">
      <w:pPr>
        <w:pStyle w:val="1"/>
        <w:spacing w:line="480" w:lineRule="auto"/>
        <w:rPr>
          <w:rFonts w:ascii="Times New Roman" w:hAnsi="Times New Roman"/>
          <w:b/>
        </w:rPr>
      </w:pPr>
      <w:r w:rsidRPr="004F0C2F">
        <w:rPr>
          <w:rFonts w:ascii="Times New Roman" w:hAnsi="Times New Roman" w:cs="Times New Roman"/>
          <w:b/>
        </w:rPr>
        <w:lastRenderedPageBreak/>
        <w:t xml:space="preserve">Appendix 3. Definition </w:t>
      </w:r>
      <w:r w:rsidR="002B0C19" w:rsidRPr="004F0C2F">
        <w:rPr>
          <w:rFonts w:ascii="Times New Roman" w:hAnsi="Times New Roman" w:cs="Times New Roman"/>
          <w:b/>
        </w:rPr>
        <w:t xml:space="preserve">of </w:t>
      </w:r>
      <w:r w:rsidRPr="004F0C2F">
        <w:rPr>
          <w:rFonts w:ascii="Times New Roman" w:hAnsi="Times New Roman"/>
          <w:b/>
        </w:rPr>
        <w:t>the occurrence of liver injury</w:t>
      </w:r>
    </w:p>
    <w:p w14:paraId="2F0E087D" w14:textId="1F9399ED" w:rsidR="005C0420" w:rsidRPr="004F0C2F" w:rsidRDefault="00CD062F">
      <w:pPr>
        <w:spacing w:line="480" w:lineRule="auto"/>
        <w:jc w:val="left"/>
        <w:rPr>
          <w:rFonts w:ascii="Times New Roman" w:hAnsi="Times New Roman"/>
          <w:bCs/>
          <w:sz w:val="24"/>
        </w:rPr>
      </w:pPr>
      <w:r w:rsidRPr="004F0C2F">
        <w:rPr>
          <w:rFonts w:ascii="Times New Roman" w:hAnsi="Times New Roman"/>
          <w:sz w:val="24"/>
        </w:rPr>
        <w:t xml:space="preserve">The occurrence of liver injury </w:t>
      </w:r>
      <w:r w:rsidR="005C0420" w:rsidRPr="004F0C2F">
        <w:rPr>
          <w:rFonts w:ascii="Times New Roman" w:hAnsi="Times New Roman"/>
          <w:sz w:val="24"/>
        </w:rPr>
        <w:t xml:space="preserve">was defined as either (1) an increase of 200% or more of the upper limit of the normal range of alanine aminotransferase or conjugated bilirubin; or (2) a same-day combined increase in aspartate aminotransferase, alkaline phosphatase, and total bilirubin provided that one of these values showed an increase of 200% or more of the upper limit of the normal range according to the criteria specified in an international consensus meeting </w:t>
      </w:r>
      <w:r w:rsidR="005C0420" w:rsidRPr="004F0C2F">
        <w:rPr>
          <w:rFonts w:ascii="Times New Roman" w:hAnsi="Times New Roman"/>
          <w:sz w:val="24"/>
        </w:rPr>
        <w:fldChar w:fldCharType="begin"/>
      </w:r>
      <w:r w:rsidR="005C0420" w:rsidRPr="004F0C2F">
        <w:rPr>
          <w:rFonts w:ascii="Times New Roman" w:hAnsi="Times New Roman"/>
          <w:sz w:val="24"/>
        </w:rPr>
        <w:instrText xml:space="preserve"> ADDIN EN.CITE &lt;EndNote&gt;&lt;Cite&gt;&lt;Author&gt;Benichou&lt;/Author&gt;&lt;Year&gt;1990&lt;/Year&gt;&lt;RecNum&gt;27&lt;/RecNum&gt;&lt;DisplayText&gt;[1]&lt;/DisplayText&gt;&lt;record&gt;&lt;rec-number&gt;27&lt;/rec-number&gt;&lt;foreign-keys&gt;&lt;key app="EN" db-id="fe2vvf22yttp05exe9oxtv0wxtvfsxzra2ps" timestamp="1482541774"&gt;27&lt;/key&gt;&lt;/foreign-keys&gt;&lt;ref-type name="Journal Article"&gt;17&lt;/ref-type&gt;&lt;contributors&gt;&lt;authors&gt;&lt;author&gt;Benichou, C.&lt;/author&gt;&lt;/authors&gt;&lt;/contributors&gt;&lt;auth-address&gt;Division of Pharmacovigilance, Roussel Uclaf, Paris, France.&lt;/auth-address&gt;&lt;titles&gt;&lt;title&gt;Criteria of drug-induced liver disorders. Report of an international consensus meeting&lt;/title&gt;&lt;secondary-title&gt;J Hepatol&lt;/secondary-title&gt;&lt;/titles&gt;&lt;periodical&gt;&lt;full-title&gt;J Hepatol&lt;/full-title&gt;&lt;/periodical&gt;&lt;pages&gt;272-6&lt;/pages&gt;&lt;volume&gt;11&lt;/volume&gt;&lt;number&gt;2&lt;/number&gt;&lt;keywords&gt;&lt;keyword&gt;*Chemical and Drug Induced Liver Injury&lt;/keyword&gt;&lt;keyword&gt;France&lt;/keyword&gt;&lt;keyword&gt;Humans&lt;/keyword&gt;&lt;keyword&gt;International Cooperation&lt;/keyword&gt;&lt;keyword&gt;Pilot Projects&lt;/keyword&gt;&lt;/keywords&gt;&lt;dates&gt;&lt;year&gt;1990&lt;/year&gt;&lt;pub-dates&gt;&lt;date&gt;Sep&lt;/date&gt;&lt;/pub-dates&gt;&lt;/dates&gt;&lt;isbn&gt;0168-8278 (Print)&amp;#xD;0168-8278 (Linking)&lt;/isbn&gt;&lt;accession-num&gt;2254635&lt;/accession-num&gt;&lt;urls&gt;&lt;related-urls&gt;&lt;url&gt;https://www.ncbi.nlm.nih.gov/pubmed/2254635&lt;/url&gt;&lt;/related-urls&gt;&lt;/urls&gt;&lt;/record&gt;&lt;/Cite&gt;&lt;/EndNote&gt;</w:instrText>
      </w:r>
      <w:r w:rsidR="005C0420" w:rsidRPr="004F0C2F">
        <w:rPr>
          <w:rFonts w:ascii="Times New Roman" w:hAnsi="Times New Roman"/>
          <w:sz w:val="24"/>
        </w:rPr>
        <w:fldChar w:fldCharType="separate"/>
      </w:r>
      <w:r w:rsidR="005C0420" w:rsidRPr="004F0C2F">
        <w:rPr>
          <w:rFonts w:ascii="Times New Roman" w:hAnsi="Times New Roman"/>
          <w:noProof/>
          <w:sz w:val="24"/>
        </w:rPr>
        <w:t>[1]</w:t>
      </w:r>
      <w:r w:rsidR="005C0420" w:rsidRPr="004F0C2F">
        <w:rPr>
          <w:rFonts w:ascii="Times New Roman" w:hAnsi="Times New Roman"/>
          <w:sz w:val="24"/>
        </w:rPr>
        <w:fldChar w:fldCharType="end"/>
      </w:r>
      <w:r w:rsidR="005C0420" w:rsidRPr="004F0C2F">
        <w:rPr>
          <w:rFonts w:ascii="Times New Roman" w:hAnsi="Times New Roman"/>
          <w:sz w:val="24"/>
        </w:rPr>
        <w:t>.</w:t>
      </w:r>
    </w:p>
    <w:p w14:paraId="3F281D80" w14:textId="21F5A9E1" w:rsidR="003D6BB1" w:rsidRPr="004F0C2F" w:rsidRDefault="003D6BB1" w:rsidP="00882468">
      <w:pPr>
        <w:widowControl/>
        <w:spacing w:line="480" w:lineRule="auto"/>
        <w:jc w:val="left"/>
        <w:rPr>
          <w:rFonts w:ascii="Times New Roman" w:eastAsiaTheme="majorEastAsia" w:hAnsi="Times New Roman" w:cs="Times New Roman"/>
          <w:b/>
          <w:sz w:val="24"/>
          <w:szCs w:val="24"/>
        </w:rPr>
      </w:pPr>
      <w:r w:rsidRPr="004F0C2F">
        <w:rPr>
          <w:rFonts w:ascii="Times New Roman" w:hAnsi="Times New Roman" w:cs="Times New Roman"/>
          <w:b/>
          <w:sz w:val="24"/>
          <w:szCs w:val="24"/>
        </w:rPr>
        <w:br w:type="page"/>
      </w:r>
    </w:p>
    <w:p w14:paraId="46B28F6E" w14:textId="77D6DBD7" w:rsidR="00DD4D13" w:rsidRPr="004F0C2F" w:rsidRDefault="00DD4D13" w:rsidP="009F35BB">
      <w:pPr>
        <w:pStyle w:val="1"/>
        <w:spacing w:line="480" w:lineRule="auto"/>
        <w:jc w:val="left"/>
        <w:rPr>
          <w:rFonts w:ascii="Times New Roman" w:hAnsi="Times New Roman" w:cs="Times New Roman"/>
          <w:b/>
        </w:rPr>
      </w:pPr>
      <w:r w:rsidRPr="004F0C2F">
        <w:rPr>
          <w:rFonts w:ascii="Times New Roman" w:hAnsi="Times New Roman" w:cs="Times New Roman"/>
          <w:b/>
        </w:rPr>
        <w:lastRenderedPageBreak/>
        <w:t xml:space="preserve">Appendix </w:t>
      </w:r>
      <w:r w:rsidR="009A648D" w:rsidRPr="004F0C2F">
        <w:rPr>
          <w:rFonts w:ascii="Times New Roman" w:hAnsi="Times New Roman" w:cs="Times New Roman"/>
          <w:b/>
        </w:rPr>
        <w:t>4</w:t>
      </w:r>
      <w:r w:rsidRPr="004F0C2F">
        <w:rPr>
          <w:rFonts w:ascii="Times New Roman" w:hAnsi="Times New Roman" w:cs="Times New Roman"/>
          <w:b/>
        </w:rPr>
        <w:t xml:space="preserve">. Detailed description </w:t>
      </w:r>
      <w:r w:rsidR="00ED3464" w:rsidRPr="004F0C2F">
        <w:rPr>
          <w:rFonts w:ascii="Times New Roman" w:hAnsi="Times New Roman" w:cs="Times New Roman"/>
          <w:b/>
        </w:rPr>
        <w:t xml:space="preserve">of the </w:t>
      </w:r>
      <w:r w:rsidRPr="004F0C2F">
        <w:rPr>
          <w:rFonts w:ascii="Times New Roman" w:hAnsi="Times New Roman" w:cs="Times New Roman"/>
          <w:b/>
        </w:rPr>
        <w:t xml:space="preserve">candidate covariates for </w:t>
      </w:r>
      <w:r w:rsidR="000C7F8C" w:rsidRPr="004F0C2F">
        <w:rPr>
          <w:rFonts w:ascii="Times New Roman" w:hAnsi="Times New Roman" w:cs="Times New Roman"/>
          <w:b/>
        </w:rPr>
        <w:t xml:space="preserve">the </w:t>
      </w:r>
      <w:r w:rsidRPr="004F0C2F">
        <w:rPr>
          <w:rFonts w:ascii="Times New Roman" w:hAnsi="Times New Roman" w:cs="Times New Roman"/>
          <w:b/>
        </w:rPr>
        <w:t>high-dimensional propensity score</w:t>
      </w:r>
      <w:r w:rsidR="00E66B7C" w:rsidRPr="004F0C2F">
        <w:rPr>
          <w:rFonts w:ascii="Times New Roman" w:hAnsi="Times New Roman" w:cs="Times New Roman"/>
          <w:b/>
        </w:rPr>
        <w:t xml:space="preserve"> model</w:t>
      </w:r>
      <w:r w:rsidR="009D199E" w:rsidRPr="004F0C2F">
        <w:rPr>
          <w:rFonts w:ascii="Times New Roman" w:hAnsi="Times New Roman" w:cs="Times New Roman" w:hint="eastAsia"/>
          <w:b/>
        </w:rPr>
        <w:t>s</w:t>
      </w:r>
    </w:p>
    <w:p w14:paraId="4B354FD8" w14:textId="321CE2FC" w:rsidR="00AE7671" w:rsidRPr="004F0C2F" w:rsidRDefault="00FE6EE5" w:rsidP="007C0441">
      <w:pPr>
        <w:widowControl/>
        <w:spacing w:line="480" w:lineRule="auto"/>
        <w:jc w:val="left"/>
        <w:rPr>
          <w:rFonts w:ascii="Times New Roman" w:hAnsi="Times New Roman"/>
          <w:bCs/>
          <w:sz w:val="24"/>
          <w:lang w:val="en-GB"/>
        </w:rPr>
      </w:pPr>
      <w:r w:rsidRPr="004F0C2F">
        <w:rPr>
          <w:rFonts w:ascii="Times New Roman" w:hAnsi="Times New Roman"/>
          <w:bCs/>
          <w:sz w:val="24"/>
          <w:lang w:val="en-GB"/>
        </w:rPr>
        <w:t xml:space="preserve">We examined two dimensions of </w:t>
      </w:r>
      <w:r w:rsidR="00AA1FCC" w:rsidRPr="004F0C2F">
        <w:rPr>
          <w:rFonts w:ascii="Times New Roman" w:hAnsi="Times New Roman"/>
          <w:bCs/>
          <w:sz w:val="24"/>
          <w:lang w:val="en-GB"/>
        </w:rPr>
        <w:t>candidate</w:t>
      </w:r>
      <w:r w:rsidRPr="004F0C2F">
        <w:rPr>
          <w:rFonts w:ascii="Times New Roman" w:hAnsi="Times New Roman"/>
          <w:bCs/>
          <w:sz w:val="24"/>
          <w:lang w:val="en-GB"/>
        </w:rPr>
        <w:t xml:space="preserve"> covariates: concomitant medications and medical history. </w:t>
      </w:r>
      <w:r w:rsidR="00DD4D13" w:rsidRPr="004F0C2F">
        <w:rPr>
          <w:rFonts w:ascii="Times New Roman" w:hAnsi="Times New Roman"/>
          <w:bCs/>
          <w:sz w:val="24"/>
          <w:lang w:val="en-GB"/>
        </w:rPr>
        <w:t>Concomitant</w:t>
      </w:r>
      <w:r w:rsidR="00DD4D13" w:rsidRPr="004F0C2F">
        <w:rPr>
          <w:rFonts w:ascii="Times New Roman" w:hAnsi="Times New Roman" w:hint="eastAsia"/>
          <w:bCs/>
          <w:sz w:val="24"/>
          <w:lang w:val="en-GB"/>
        </w:rPr>
        <w:t xml:space="preserve"> medications were</w:t>
      </w:r>
      <w:r w:rsidR="0080711E" w:rsidRPr="004F0C2F">
        <w:rPr>
          <w:rFonts w:ascii="Times New Roman" w:hAnsi="Times New Roman"/>
          <w:bCs/>
          <w:sz w:val="24"/>
          <w:lang w:val="en-GB"/>
        </w:rPr>
        <w:t xml:space="preserve"> identified as</w:t>
      </w:r>
      <w:r w:rsidR="00DD4D13" w:rsidRPr="004F0C2F">
        <w:rPr>
          <w:rFonts w:ascii="Times New Roman" w:hAnsi="Times New Roman" w:hint="eastAsia"/>
          <w:bCs/>
          <w:sz w:val="24"/>
          <w:lang w:val="en-GB"/>
        </w:rPr>
        <w:t xml:space="preserve"> drugs </w:t>
      </w:r>
      <w:r w:rsidR="0080711E" w:rsidRPr="004F0C2F">
        <w:rPr>
          <w:rFonts w:ascii="Times New Roman" w:hAnsi="Times New Roman"/>
          <w:bCs/>
          <w:sz w:val="24"/>
          <w:lang w:val="en-GB"/>
        </w:rPr>
        <w:t>with a</w:t>
      </w:r>
      <w:r w:rsidR="00DD4D13" w:rsidRPr="004F0C2F">
        <w:rPr>
          <w:rFonts w:ascii="Times New Roman" w:hAnsi="Times New Roman" w:hint="eastAsia"/>
          <w:bCs/>
          <w:sz w:val="24"/>
          <w:lang w:val="en-GB"/>
        </w:rPr>
        <w:t xml:space="preserve"> </w:t>
      </w:r>
      <w:r w:rsidR="0007112F" w:rsidRPr="004F0C2F">
        <w:rPr>
          <w:rFonts w:ascii="Times New Roman" w:hAnsi="Times New Roman"/>
          <w:bCs/>
          <w:sz w:val="24"/>
          <w:lang w:val="en-GB"/>
        </w:rPr>
        <w:t xml:space="preserve">prescription period </w:t>
      </w:r>
      <w:r w:rsidR="0080711E" w:rsidRPr="004F0C2F">
        <w:rPr>
          <w:rFonts w:ascii="Times New Roman" w:hAnsi="Times New Roman"/>
          <w:bCs/>
          <w:sz w:val="24"/>
          <w:lang w:val="en-GB"/>
        </w:rPr>
        <w:t>that overlapped the</w:t>
      </w:r>
      <w:r w:rsidR="0007112F" w:rsidRPr="004F0C2F">
        <w:rPr>
          <w:rFonts w:ascii="Times New Roman" w:hAnsi="Times New Roman"/>
          <w:bCs/>
          <w:sz w:val="24"/>
          <w:lang w:val="en-GB"/>
        </w:rPr>
        <w:t xml:space="preserve"> </w:t>
      </w:r>
      <w:r w:rsidR="0007112F" w:rsidRPr="004F0C2F">
        <w:rPr>
          <w:rFonts w:ascii="Times New Roman" w:hAnsi="Times New Roman" w:hint="eastAsia"/>
          <w:bCs/>
          <w:sz w:val="24"/>
          <w:lang w:val="en-GB"/>
        </w:rPr>
        <w:t>index date</w:t>
      </w:r>
      <w:r w:rsidR="00DD4D13" w:rsidRPr="004F0C2F">
        <w:rPr>
          <w:rFonts w:ascii="Times New Roman" w:hAnsi="Times New Roman" w:hint="eastAsia"/>
          <w:bCs/>
          <w:sz w:val="24"/>
          <w:lang w:val="en-GB"/>
        </w:rPr>
        <w:t xml:space="preserve"> of </w:t>
      </w:r>
      <w:r w:rsidR="00AA72D8" w:rsidRPr="004F0C2F">
        <w:rPr>
          <w:rFonts w:ascii="Times New Roman" w:hAnsi="Times New Roman"/>
          <w:bCs/>
          <w:sz w:val="24"/>
          <w:lang w:val="en-GB"/>
        </w:rPr>
        <w:t>a</w:t>
      </w:r>
      <w:r w:rsidR="00AA72D8" w:rsidRPr="004F0C2F">
        <w:rPr>
          <w:rFonts w:ascii="Times New Roman" w:hAnsi="Times New Roman" w:hint="eastAsia"/>
          <w:bCs/>
          <w:sz w:val="24"/>
          <w:lang w:val="en-GB"/>
        </w:rPr>
        <w:t xml:space="preserve"> </w:t>
      </w:r>
      <w:r w:rsidR="0080711E" w:rsidRPr="004F0C2F">
        <w:rPr>
          <w:rFonts w:ascii="Times New Roman" w:hAnsi="Times New Roman"/>
          <w:bCs/>
          <w:sz w:val="24"/>
          <w:lang w:val="en-GB"/>
        </w:rPr>
        <w:t xml:space="preserve">target </w:t>
      </w:r>
      <w:r w:rsidR="00DD4D13" w:rsidRPr="004F0C2F">
        <w:rPr>
          <w:rFonts w:ascii="Times New Roman" w:hAnsi="Times New Roman" w:hint="eastAsia"/>
          <w:bCs/>
          <w:sz w:val="24"/>
          <w:lang w:val="en-GB"/>
        </w:rPr>
        <w:t>episode</w:t>
      </w:r>
      <w:r w:rsidR="0080711E" w:rsidRPr="004F0C2F">
        <w:rPr>
          <w:rFonts w:ascii="Times New Roman" w:hAnsi="Times New Roman"/>
          <w:bCs/>
          <w:sz w:val="24"/>
          <w:lang w:val="en-GB"/>
        </w:rPr>
        <w:t>. These drugs were</w:t>
      </w:r>
      <w:r w:rsidR="00DD4D13" w:rsidRPr="004F0C2F">
        <w:rPr>
          <w:rFonts w:ascii="Times New Roman" w:hAnsi="Times New Roman" w:hint="eastAsia"/>
          <w:bCs/>
          <w:sz w:val="24"/>
          <w:lang w:val="en-GB"/>
        </w:rPr>
        <w:t xml:space="preserve"> </w:t>
      </w:r>
      <w:r w:rsidR="00DD4D13" w:rsidRPr="004F0C2F">
        <w:rPr>
          <w:rFonts w:ascii="Times New Roman" w:hAnsi="Times New Roman"/>
          <w:bCs/>
          <w:sz w:val="24"/>
          <w:lang w:val="en-GB"/>
        </w:rPr>
        <w:t>categori</w:t>
      </w:r>
      <w:r w:rsidR="00DD4D13" w:rsidRPr="004F0C2F">
        <w:rPr>
          <w:rFonts w:ascii="Times New Roman" w:hAnsi="Times New Roman" w:hint="eastAsia"/>
          <w:bCs/>
          <w:sz w:val="24"/>
          <w:lang w:val="en-GB"/>
        </w:rPr>
        <w:t>z</w:t>
      </w:r>
      <w:r w:rsidR="00DD4D13" w:rsidRPr="004F0C2F">
        <w:rPr>
          <w:rFonts w:ascii="Times New Roman" w:hAnsi="Times New Roman"/>
          <w:bCs/>
          <w:sz w:val="24"/>
          <w:lang w:val="en-GB"/>
        </w:rPr>
        <w:t>ed</w:t>
      </w:r>
      <w:r w:rsidR="00DD4D13" w:rsidRPr="004F0C2F">
        <w:rPr>
          <w:rFonts w:ascii="Times New Roman" w:hAnsi="Times New Roman" w:hint="eastAsia"/>
          <w:bCs/>
          <w:sz w:val="24"/>
          <w:lang w:val="en-GB"/>
        </w:rPr>
        <w:t xml:space="preserve"> </w:t>
      </w:r>
      <w:r w:rsidR="0080711E" w:rsidRPr="004F0C2F">
        <w:rPr>
          <w:rFonts w:ascii="Times New Roman" w:hAnsi="Times New Roman"/>
          <w:bCs/>
          <w:sz w:val="24"/>
          <w:lang w:val="en-GB"/>
        </w:rPr>
        <w:t>according to the</w:t>
      </w:r>
      <w:r w:rsidR="00DD4D13" w:rsidRPr="004F0C2F">
        <w:rPr>
          <w:rFonts w:ascii="Times New Roman" w:hAnsi="Times New Roman"/>
          <w:bCs/>
          <w:sz w:val="24"/>
          <w:lang w:val="en-GB"/>
        </w:rPr>
        <w:t xml:space="preserve"> </w:t>
      </w:r>
      <w:r w:rsidR="00DD4D13" w:rsidRPr="004F0C2F">
        <w:rPr>
          <w:rFonts w:ascii="Times New Roman" w:hAnsi="Times New Roman" w:hint="eastAsia"/>
          <w:bCs/>
          <w:sz w:val="24"/>
          <w:lang w:val="en-GB"/>
        </w:rPr>
        <w:t xml:space="preserve">first </w:t>
      </w:r>
      <w:r w:rsidR="008801F5" w:rsidRPr="004F0C2F">
        <w:rPr>
          <w:rFonts w:ascii="Times New Roman" w:hAnsi="Times New Roman"/>
          <w:bCs/>
          <w:sz w:val="24"/>
          <w:lang w:val="en-GB"/>
        </w:rPr>
        <w:t xml:space="preserve">four </w:t>
      </w:r>
      <w:r w:rsidR="00DD4D13" w:rsidRPr="004F0C2F">
        <w:rPr>
          <w:rFonts w:ascii="Times New Roman" w:hAnsi="Times New Roman" w:hint="eastAsia"/>
          <w:bCs/>
          <w:sz w:val="24"/>
          <w:lang w:val="en-GB"/>
        </w:rPr>
        <w:t>digit</w:t>
      </w:r>
      <w:r w:rsidR="008801F5" w:rsidRPr="004F0C2F">
        <w:rPr>
          <w:rFonts w:ascii="Times New Roman" w:hAnsi="Times New Roman"/>
          <w:bCs/>
          <w:sz w:val="24"/>
          <w:lang w:val="en-GB"/>
        </w:rPr>
        <w:t>s</w:t>
      </w:r>
      <w:r w:rsidR="00DD4D13" w:rsidRPr="004F0C2F">
        <w:rPr>
          <w:rFonts w:ascii="Times New Roman" w:hAnsi="Times New Roman" w:hint="eastAsia"/>
          <w:bCs/>
          <w:sz w:val="24"/>
          <w:lang w:val="en-GB"/>
        </w:rPr>
        <w:t xml:space="preserve"> of</w:t>
      </w:r>
      <w:r w:rsidR="008801F5" w:rsidRPr="004F0C2F">
        <w:rPr>
          <w:rFonts w:ascii="Times New Roman" w:hAnsi="Times New Roman"/>
          <w:bCs/>
          <w:sz w:val="24"/>
          <w:lang w:val="en-GB"/>
        </w:rPr>
        <w:t xml:space="preserve"> their</w:t>
      </w:r>
      <w:r w:rsidR="00DD4D13" w:rsidRPr="004F0C2F">
        <w:rPr>
          <w:rFonts w:ascii="Times New Roman" w:hAnsi="Times New Roman" w:hint="eastAsia"/>
          <w:bCs/>
          <w:sz w:val="24"/>
          <w:lang w:val="en-GB"/>
        </w:rPr>
        <w:t xml:space="preserve"> </w:t>
      </w:r>
      <w:r w:rsidR="00DD4D13" w:rsidRPr="004F0C2F">
        <w:rPr>
          <w:rFonts w:ascii="Times New Roman" w:hAnsi="Times New Roman"/>
          <w:bCs/>
          <w:sz w:val="24"/>
          <w:lang w:val="en-GB"/>
        </w:rPr>
        <w:t>National Health Insurance Drug Codes (692 variables), which</w:t>
      </w:r>
      <w:r w:rsidR="00DD4D13" w:rsidRPr="004F0C2F">
        <w:rPr>
          <w:rFonts w:ascii="Times New Roman" w:hAnsi="Times New Roman" w:hint="eastAsia"/>
          <w:bCs/>
          <w:sz w:val="24"/>
          <w:lang w:val="en-GB"/>
        </w:rPr>
        <w:t xml:space="preserve"> </w:t>
      </w:r>
      <w:r w:rsidR="00E609A9" w:rsidRPr="004F0C2F">
        <w:rPr>
          <w:rFonts w:ascii="Times New Roman" w:hAnsi="Times New Roman"/>
          <w:bCs/>
          <w:sz w:val="24"/>
          <w:lang w:val="en-GB"/>
        </w:rPr>
        <w:t>designate</w:t>
      </w:r>
      <w:r w:rsidR="00DD4D13" w:rsidRPr="004F0C2F">
        <w:rPr>
          <w:rFonts w:ascii="Times New Roman" w:hAnsi="Times New Roman" w:hint="eastAsia"/>
          <w:bCs/>
          <w:sz w:val="24"/>
          <w:lang w:val="en-GB"/>
        </w:rPr>
        <w:t xml:space="preserve"> </w:t>
      </w:r>
      <w:r w:rsidR="00DD4D13" w:rsidRPr="004F0C2F">
        <w:rPr>
          <w:rFonts w:ascii="Times New Roman" w:hAnsi="Times New Roman"/>
          <w:bCs/>
          <w:sz w:val="24"/>
          <w:lang w:val="en-GB"/>
        </w:rPr>
        <w:t>a specific</w:t>
      </w:r>
      <w:r w:rsidR="00DD4D13" w:rsidRPr="004F0C2F">
        <w:rPr>
          <w:rFonts w:ascii="Times New Roman" w:hAnsi="Times New Roman" w:hint="eastAsia"/>
          <w:bCs/>
          <w:sz w:val="24"/>
          <w:lang w:val="en-GB"/>
        </w:rPr>
        <w:t xml:space="preserve"> </w:t>
      </w:r>
      <w:r w:rsidR="00DD4D13" w:rsidRPr="004F0C2F">
        <w:rPr>
          <w:rFonts w:ascii="Times New Roman" w:hAnsi="Times New Roman"/>
          <w:bCs/>
          <w:sz w:val="24"/>
          <w:lang w:val="en-GB"/>
        </w:rPr>
        <w:t>therapeutic c</w:t>
      </w:r>
      <w:r w:rsidR="00DD4D13" w:rsidRPr="004F0C2F">
        <w:rPr>
          <w:rFonts w:ascii="Times New Roman" w:hAnsi="Times New Roman" w:hint="eastAsia"/>
          <w:bCs/>
          <w:sz w:val="24"/>
          <w:lang w:val="en-GB"/>
        </w:rPr>
        <w:t xml:space="preserve">lass. </w:t>
      </w:r>
      <w:r w:rsidR="00C26E88" w:rsidRPr="004F0C2F">
        <w:rPr>
          <w:rFonts w:ascii="Times New Roman" w:hAnsi="Times New Roman"/>
          <w:bCs/>
          <w:sz w:val="24"/>
          <w:lang w:val="en-GB"/>
        </w:rPr>
        <w:t xml:space="preserve">As </w:t>
      </w:r>
      <w:r w:rsidR="00D911C6" w:rsidRPr="004F0C2F">
        <w:rPr>
          <w:rFonts w:ascii="Times New Roman" w:hAnsi="Times New Roman"/>
          <w:bCs/>
          <w:sz w:val="24"/>
          <w:lang w:val="en-GB"/>
        </w:rPr>
        <w:t>the prescription periods for ointment</w:t>
      </w:r>
      <w:r w:rsidR="00C26E88" w:rsidRPr="004F0C2F">
        <w:rPr>
          <w:rFonts w:ascii="Times New Roman" w:hAnsi="Times New Roman"/>
          <w:bCs/>
          <w:sz w:val="24"/>
          <w:lang w:val="en-GB"/>
        </w:rPr>
        <w:t>s</w:t>
      </w:r>
      <w:r w:rsidR="00D911C6" w:rsidRPr="004F0C2F">
        <w:rPr>
          <w:rFonts w:ascii="Times New Roman" w:hAnsi="Times New Roman"/>
          <w:bCs/>
          <w:sz w:val="24"/>
          <w:lang w:val="en-GB"/>
        </w:rPr>
        <w:t xml:space="preserve">, </w:t>
      </w:r>
      <w:r w:rsidR="00C26E88" w:rsidRPr="004F0C2F">
        <w:rPr>
          <w:rFonts w:ascii="Times New Roman" w:hAnsi="Times New Roman"/>
          <w:bCs/>
          <w:sz w:val="24"/>
          <w:lang w:val="en-GB"/>
        </w:rPr>
        <w:t xml:space="preserve">transdermal patches, </w:t>
      </w:r>
      <w:r w:rsidR="00D911C6" w:rsidRPr="004F0C2F">
        <w:rPr>
          <w:rFonts w:ascii="Times New Roman" w:hAnsi="Times New Roman"/>
          <w:bCs/>
          <w:sz w:val="24"/>
          <w:lang w:val="en-GB"/>
        </w:rPr>
        <w:t>eye drop</w:t>
      </w:r>
      <w:r w:rsidR="00C26E88" w:rsidRPr="004F0C2F">
        <w:rPr>
          <w:rFonts w:ascii="Times New Roman" w:hAnsi="Times New Roman"/>
          <w:bCs/>
          <w:sz w:val="24"/>
          <w:lang w:val="en-GB"/>
        </w:rPr>
        <w:t>s,</w:t>
      </w:r>
      <w:r w:rsidR="00D911C6" w:rsidRPr="004F0C2F">
        <w:rPr>
          <w:rFonts w:ascii="Times New Roman" w:hAnsi="Times New Roman"/>
          <w:bCs/>
          <w:sz w:val="24"/>
          <w:lang w:val="en-GB"/>
        </w:rPr>
        <w:t xml:space="preserve"> and </w:t>
      </w:r>
      <w:r w:rsidR="00F758E8" w:rsidRPr="004F0C2F">
        <w:rPr>
          <w:rFonts w:ascii="Times New Roman" w:hAnsi="Times New Roman"/>
          <w:bCs/>
          <w:sz w:val="24"/>
          <w:lang w:val="en-GB"/>
        </w:rPr>
        <w:t>“</w:t>
      </w:r>
      <w:r w:rsidR="00D911C6" w:rsidRPr="004F0C2F">
        <w:rPr>
          <w:rFonts w:ascii="Times New Roman" w:hAnsi="Times New Roman"/>
          <w:bCs/>
          <w:sz w:val="24"/>
          <w:lang w:val="en-GB"/>
        </w:rPr>
        <w:t>pill-in-the-pocket</w:t>
      </w:r>
      <w:r w:rsidR="00F758E8" w:rsidRPr="004F0C2F">
        <w:rPr>
          <w:rFonts w:ascii="Times New Roman" w:hAnsi="Times New Roman"/>
          <w:bCs/>
          <w:sz w:val="24"/>
          <w:lang w:val="en-GB"/>
        </w:rPr>
        <w:t>”</w:t>
      </w:r>
      <w:r w:rsidR="00D911C6" w:rsidRPr="004F0C2F">
        <w:rPr>
          <w:rFonts w:ascii="Times New Roman" w:hAnsi="Times New Roman"/>
          <w:bCs/>
          <w:sz w:val="24"/>
          <w:lang w:val="en-GB"/>
        </w:rPr>
        <w:t xml:space="preserve"> medications could not be identified, we assigned </w:t>
      </w:r>
      <w:r w:rsidR="00F758E8" w:rsidRPr="004F0C2F">
        <w:rPr>
          <w:rFonts w:ascii="Times New Roman" w:hAnsi="Times New Roman"/>
          <w:bCs/>
          <w:sz w:val="24"/>
          <w:lang w:val="en-GB"/>
        </w:rPr>
        <w:t xml:space="preserve">a single </w:t>
      </w:r>
      <w:r w:rsidR="00D911C6" w:rsidRPr="004F0C2F">
        <w:rPr>
          <w:rFonts w:ascii="Times New Roman" w:hAnsi="Times New Roman"/>
          <w:bCs/>
          <w:sz w:val="24"/>
          <w:lang w:val="en-GB"/>
        </w:rPr>
        <w:t xml:space="preserve">day as </w:t>
      </w:r>
      <w:r w:rsidR="00F758E8" w:rsidRPr="004F0C2F">
        <w:rPr>
          <w:rFonts w:ascii="Times New Roman" w:hAnsi="Times New Roman"/>
          <w:bCs/>
          <w:sz w:val="24"/>
          <w:lang w:val="en-GB"/>
        </w:rPr>
        <w:t xml:space="preserve">the </w:t>
      </w:r>
      <w:r w:rsidR="00D911C6" w:rsidRPr="004F0C2F">
        <w:rPr>
          <w:rFonts w:ascii="Times New Roman" w:hAnsi="Times New Roman"/>
          <w:bCs/>
          <w:sz w:val="24"/>
          <w:lang w:val="en-GB"/>
        </w:rPr>
        <w:t xml:space="preserve">prescription duration </w:t>
      </w:r>
      <w:r w:rsidR="00E70237" w:rsidRPr="004F0C2F">
        <w:rPr>
          <w:rFonts w:ascii="Times New Roman" w:hAnsi="Times New Roman"/>
          <w:bCs/>
          <w:sz w:val="24"/>
          <w:lang w:val="en-GB"/>
        </w:rPr>
        <w:t>for</w:t>
      </w:r>
      <w:r w:rsidR="00D911C6" w:rsidRPr="004F0C2F">
        <w:rPr>
          <w:rFonts w:ascii="Times New Roman" w:hAnsi="Times New Roman"/>
          <w:bCs/>
          <w:sz w:val="24"/>
          <w:lang w:val="en-GB"/>
        </w:rPr>
        <w:t xml:space="preserve"> </w:t>
      </w:r>
      <w:r w:rsidR="00F758E8" w:rsidRPr="004F0C2F">
        <w:rPr>
          <w:rFonts w:ascii="Times New Roman" w:hAnsi="Times New Roman"/>
          <w:bCs/>
          <w:sz w:val="24"/>
          <w:lang w:val="en-GB"/>
        </w:rPr>
        <w:t>these</w:t>
      </w:r>
      <w:r w:rsidR="00D911C6" w:rsidRPr="004F0C2F">
        <w:rPr>
          <w:rFonts w:ascii="Times New Roman" w:hAnsi="Times New Roman"/>
          <w:bCs/>
          <w:sz w:val="24"/>
          <w:lang w:val="en-GB"/>
        </w:rPr>
        <w:t xml:space="preserve"> medications. </w:t>
      </w:r>
      <w:r w:rsidR="00133B5C" w:rsidRPr="004F0C2F">
        <w:rPr>
          <w:rFonts w:ascii="Times New Roman" w:hAnsi="Times New Roman"/>
          <w:bCs/>
          <w:sz w:val="24"/>
          <w:lang w:val="en-GB"/>
        </w:rPr>
        <w:t>Moreover, w</w:t>
      </w:r>
      <w:r w:rsidR="00DD4D13" w:rsidRPr="004F0C2F">
        <w:rPr>
          <w:rFonts w:ascii="Times New Roman" w:hAnsi="Times New Roman"/>
          <w:bCs/>
          <w:sz w:val="24"/>
          <w:lang w:val="en-GB"/>
        </w:rPr>
        <w:t>e excluded</w:t>
      </w:r>
      <w:r w:rsidR="00DD4D13" w:rsidRPr="004F0C2F">
        <w:rPr>
          <w:rFonts w:ascii="Times New Roman" w:hAnsi="Times New Roman" w:hint="eastAsia"/>
          <w:bCs/>
          <w:sz w:val="24"/>
          <w:lang w:val="en-GB"/>
        </w:rPr>
        <w:t xml:space="preserve"> </w:t>
      </w:r>
      <w:r w:rsidR="00DD4D13" w:rsidRPr="004F0C2F">
        <w:rPr>
          <w:rFonts w:ascii="Times New Roman" w:hAnsi="Times New Roman"/>
          <w:bCs/>
          <w:sz w:val="24"/>
          <w:lang w:val="en-GB"/>
        </w:rPr>
        <w:t>target antibiotics</w:t>
      </w:r>
      <w:r w:rsidR="00885073" w:rsidRPr="004F0C2F">
        <w:rPr>
          <w:rFonts w:ascii="Times New Roman" w:hAnsi="Times New Roman"/>
          <w:bCs/>
          <w:sz w:val="24"/>
          <w:lang w:val="en-GB"/>
        </w:rPr>
        <w:t xml:space="preserve"> from the </w:t>
      </w:r>
      <w:r w:rsidR="00982048" w:rsidRPr="004F0C2F">
        <w:rPr>
          <w:rFonts w:ascii="Times New Roman" w:hAnsi="Times New Roman"/>
          <w:bCs/>
          <w:sz w:val="24"/>
          <w:lang w:val="en-GB"/>
        </w:rPr>
        <w:t xml:space="preserve">candidate </w:t>
      </w:r>
      <w:r w:rsidR="00885073" w:rsidRPr="004F0C2F">
        <w:rPr>
          <w:rFonts w:ascii="Times New Roman" w:hAnsi="Times New Roman"/>
          <w:bCs/>
          <w:sz w:val="24"/>
          <w:lang w:val="en-GB"/>
        </w:rPr>
        <w:t>concomitant medications</w:t>
      </w:r>
      <w:r w:rsidR="00B90417" w:rsidRPr="004F0C2F">
        <w:rPr>
          <w:rFonts w:ascii="Times New Roman" w:hAnsi="Times New Roman"/>
          <w:bCs/>
          <w:sz w:val="24"/>
          <w:lang w:val="en-GB"/>
        </w:rPr>
        <w:t xml:space="preserve"> </w:t>
      </w:r>
      <w:r w:rsidR="00FB13F7" w:rsidRPr="004F0C2F">
        <w:rPr>
          <w:rFonts w:ascii="Times New Roman" w:hAnsi="Times New Roman"/>
          <w:bCs/>
          <w:sz w:val="24"/>
          <w:lang w:val="en-GB"/>
        </w:rPr>
        <w:t>if</w:t>
      </w:r>
      <w:r w:rsidR="00DD4D13" w:rsidRPr="004F0C2F">
        <w:rPr>
          <w:rFonts w:ascii="Times New Roman" w:hAnsi="Times New Roman"/>
          <w:bCs/>
          <w:sz w:val="24"/>
          <w:lang w:val="en-GB"/>
        </w:rPr>
        <w:t xml:space="preserve"> their class</w:t>
      </w:r>
      <w:r w:rsidR="00FB13F7" w:rsidRPr="004F0C2F">
        <w:rPr>
          <w:rFonts w:ascii="Times New Roman" w:hAnsi="Times New Roman"/>
          <w:bCs/>
          <w:sz w:val="24"/>
          <w:lang w:val="en-GB"/>
        </w:rPr>
        <w:t xml:space="preserve"> </w:t>
      </w:r>
      <w:r w:rsidR="00DD4D13" w:rsidRPr="004F0C2F">
        <w:rPr>
          <w:rFonts w:ascii="Times New Roman" w:hAnsi="Times New Roman"/>
          <w:bCs/>
          <w:sz w:val="24"/>
          <w:lang w:val="en-GB"/>
        </w:rPr>
        <w:t>effect</w:t>
      </w:r>
      <w:r w:rsidR="00FB13F7" w:rsidRPr="004F0C2F">
        <w:rPr>
          <w:rFonts w:ascii="Times New Roman" w:hAnsi="Times New Roman"/>
          <w:bCs/>
          <w:sz w:val="24"/>
          <w:lang w:val="en-GB"/>
        </w:rPr>
        <w:t>s</w:t>
      </w:r>
      <w:r w:rsidR="00DD4D13" w:rsidRPr="004F0C2F">
        <w:rPr>
          <w:rFonts w:ascii="Times New Roman" w:hAnsi="Times New Roman"/>
          <w:bCs/>
          <w:sz w:val="24"/>
          <w:lang w:val="en-GB"/>
        </w:rPr>
        <w:t xml:space="preserve"> were </w:t>
      </w:r>
      <w:r w:rsidR="000662CA" w:rsidRPr="004F0C2F">
        <w:rPr>
          <w:rFonts w:ascii="Times New Roman" w:hAnsi="Times New Roman" w:hint="eastAsia"/>
          <w:bCs/>
          <w:sz w:val="24"/>
          <w:lang w:val="en-GB"/>
        </w:rPr>
        <w:t>b</w:t>
      </w:r>
      <w:r w:rsidR="000662CA" w:rsidRPr="004F0C2F">
        <w:rPr>
          <w:rFonts w:ascii="Times New Roman" w:hAnsi="Times New Roman"/>
          <w:bCs/>
          <w:sz w:val="24"/>
          <w:lang w:val="en-GB"/>
        </w:rPr>
        <w:t xml:space="preserve">eing </w:t>
      </w:r>
      <w:r w:rsidR="00DD4D13" w:rsidRPr="004F0C2F">
        <w:rPr>
          <w:rFonts w:ascii="Times New Roman" w:hAnsi="Times New Roman"/>
          <w:bCs/>
          <w:sz w:val="24"/>
          <w:lang w:val="en-GB"/>
        </w:rPr>
        <w:t>estimated. The other covariate dimension</w:t>
      </w:r>
      <w:r w:rsidR="00C0089A" w:rsidRPr="004F0C2F">
        <w:rPr>
          <w:rFonts w:ascii="Times New Roman" w:hAnsi="Times New Roman"/>
          <w:bCs/>
          <w:sz w:val="24"/>
          <w:lang w:val="en-GB"/>
        </w:rPr>
        <w:t xml:space="preserve"> of</w:t>
      </w:r>
      <w:r w:rsidR="00DD4D13" w:rsidRPr="004F0C2F">
        <w:rPr>
          <w:rFonts w:ascii="Times New Roman" w:hAnsi="Times New Roman"/>
          <w:bCs/>
          <w:sz w:val="24"/>
          <w:lang w:val="en-GB"/>
        </w:rPr>
        <w:t xml:space="preserve"> </w:t>
      </w:r>
      <w:r w:rsidR="00DD4D13" w:rsidRPr="004F0C2F">
        <w:rPr>
          <w:rFonts w:ascii="Times New Roman" w:hAnsi="Times New Roman" w:hint="eastAsia"/>
          <w:bCs/>
          <w:sz w:val="24"/>
          <w:lang w:val="en-GB"/>
        </w:rPr>
        <w:t>medical histor</w:t>
      </w:r>
      <w:r w:rsidR="009002AF" w:rsidRPr="004F0C2F">
        <w:rPr>
          <w:rFonts w:ascii="Times New Roman" w:hAnsi="Times New Roman"/>
          <w:bCs/>
          <w:sz w:val="24"/>
          <w:lang w:val="en-GB"/>
        </w:rPr>
        <w:t>y</w:t>
      </w:r>
      <w:r w:rsidR="00C0089A" w:rsidRPr="004F0C2F">
        <w:rPr>
          <w:rFonts w:ascii="Times New Roman" w:hAnsi="Times New Roman"/>
          <w:bCs/>
          <w:sz w:val="24"/>
          <w:lang w:val="en-GB"/>
        </w:rPr>
        <w:t xml:space="preserve"> was</w:t>
      </w:r>
      <w:r w:rsidR="00DD4D13" w:rsidRPr="004F0C2F">
        <w:rPr>
          <w:rFonts w:ascii="Times New Roman" w:hAnsi="Times New Roman" w:hint="eastAsia"/>
          <w:bCs/>
          <w:sz w:val="24"/>
          <w:lang w:val="en-GB"/>
        </w:rPr>
        <w:t xml:space="preserve"> defined as diseases or medical conditions </w:t>
      </w:r>
      <w:r w:rsidR="00C0089A" w:rsidRPr="004F0C2F">
        <w:rPr>
          <w:rFonts w:ascii="Times New Roman" w:hAnsi="Times New Roman"/>
          <w:bCs/>
          <w:sz w:val="24"/>
          <w:lang w:val="en-GB"/>
        </w:rPr>
        <w:t>that had been</w:t>
      </w:r>
      <w:r w:rsidR="00C0089A" w:rsidRPr="004F0C2F">
        <w:rPr>
          <w:rFonts w:ascii="Times New Roman" w:hAnsi="Times New Roman" w:hint="eastAsia"/>
          <w:bCs/>
          <w:sz w:val="24"/>
          <w:lang w:val="en-GB"/>
        </w:rPr>
        <w:t xml:space="preserve"> </w:t>
      </w:r>
      <w:r w:rsidR="00DD4D13" w:rsidRPr="004F0C2F">
        <w:rPr>
          <w:rFonts w:ascii="Times New Roman" w:hAnsi="Times New Roman" w:hint="eastAsia"/>
          <w:bCs/>
          <w:sz w:val="24"/>
          <w:lang w:val="en-GB"/>
        </w:rPr>
        <w:t>d</w:t>
      </w:r>
      <w:r w:rsidR="0007112F" w:rsidRPr="004F0C2F">
        <w:rPr>
          <w:rFonts w:ascii="Times New Roman" w:hAnsi="Times New Roman" w:hint="eastAsia"/>
          <w:bCs/>
          <w:sz w:val="24"/>
          <w:lang w:val="en-GB"/>
        </w:rPr>
        <w:t>iagnosed within 90</w:t>
      </w:r>
      <w:r w:rsidR="00C0089A" w:rsidRPr="004F0C2F">
        <w:rPr>
          <w:rFonts w:ascii="Times New Roman" w:hAnsi="Times New Roman"/>
          <w:bCs/>
          <w:sz w:val="24"/>
          <w:lang w:val="en-GB"/>
        </w:rPr>
        <w:t xml:space="preserve"> </w:t>
      </w:r>
      <w:r w:rsidR="0007112F" w:rsidRPr="004F0C2F">
        <w:rPr>
          <w:rFonts w:ascii="Times New Roman" w:hAnsi="Times New Roman" w:hint="eastAsia"/>
          <w:bCs/>
          <w:sz w:val="24"/>
          <w:lang w:val="en-GB"/>
        </w:rPr>
        <w:t xml:space="preserve">days before </w:t>
      </w:r>
      <w:r w:rsidR="00C0089A" w:rsidRPr="004F0C2F">
        <w:rPr>
          <w:rFonts w:ascii="Times New Roman" w:hAnsi="Times New Roman"/>
          <w:bCs/>
          <w:sz w:val="24"/>
          <w:lang w:val="en-GB"/>
        </w:rPr>
        <w:t xml:space="preserve">the </w:t>
      </w:r>
      <w:r w:rsidR="0007112F" w:rsidRPr="004F0C2F">
        <w:rPr>
          <w:rFonts w:ascii="Times New Roman" w:hAnsi="Times New Roman" w:hint="eastAsia"/>
          <w:bCs/>
          <w:sz w:val="24"/>
          <w:lang w:val="en-GB"/>
        </w:rPr>
        <w:t>index date</w:t>
      </w:r>
      <w:r w:rsidR="00DD4D13" w:rsidRPr="004F0C2F">
        <w:rPr>
          <w:rFonts w:ascii="Times New Roman" w:hAnsi="Times New Roman" w:hint="eastAsia"/>
          <w:bCs/>
          <w:sz w:val="24"/>
          <w:lang w:val="en-GB"/>
        </w:rPr>
        <w:t xml:space="preserve"> of each episode</w:t>
      </w:r>
      <w:r w:rsidR="00C0089A" w:rsidRPr="004F0C2F">
        <w:rPr>
          <w:rFonts w:ascii="Times New Roman" w:hAnsi="Times New Roman"/>
          <w:bCs/>
          <w:sz w:val="24"/>
          <w:lang w:val="en-GB"/>
        </w:rPr>
        <w:t xml:space="preserve">. These were </w:t>
      </w:r>
      <w:r w:rsidR="00EF7181" w:rsidRPr="004F0C2F">
        <w:rPr>
          <w:rFonts w:ascii="Times New Roman" w:hAnsi="Times New Roman"/>
          <w:bCs/>
          <w:sz w:val="24"/>
          <w:lang w:val="en-GB"/>
        </w:rPr>
        <w:t>identified using</w:t>
      </w:r>
      <w:r w:rsidR="00C0089A" w:rsidRPr="004F0C2F">
        <w:rPr>
          <w:rFonts w:ascii="Times New Roman" w:hAnsi="Times New Roman"/>
          <w:bCs/>
          <w:sz w:val="24"/>
        </w:rPr>
        <w:t xml:space="preserve"> the first three digits of the International Classification of Diseases, 10th revision codes</w:t>
      </w:r>
      <w:r w:rsidR="00DB0B33" w:rsidRPr="004F0C2F">
        <w:rPr>
          <w:rFonts w:ascii="Times New Roman" w:hAnsi="Times New Roman"/>
          <w:bCs/>
          <w:sz w:val="24"/>
          <w:lang w:val="en-GB"/>
        </w:rPr>
        <w:t xml:space="preserve"> </w:t>
      </w:r>
      <w:r w:rsidR="00DD4D13" w:rsidRPr="004F0C2F">
        <w:rPr>
          <w:rFonts w:ascii="Times New Roman" w:hAnsi="Times New Roman"/>
          <w:bCs/>
          <w:sz w:val="24"/>
          <w:lang w:val="en-GB"/>
        </w:rPr>
        <w:t>(2,039 variables)</w:t>
      </w:r>
      <w:r w:rsidR="00DD4D13" w:rsidRPr="004F0C2F">
        <w:rPr>
          <w:rFonts w:ascii="Times New Roman" w:hAnsi="Times New Roman" w:hint="eastAsia"/>
          <w:bCs/>
          <w:sz w:val="24"/>
          <w:lang w:val="en-GB"/>
        </w:rPr>
        <w:t>.</w:t>
      </w:r>
      <w:r w:rsidR="00AE7671" w:rsidRPr="004F0C2F">
        <w:rPr>
          <w:rFonts w:ascii="Times New Roman" w:hAnsi="Times New Roman"/>
          <w:bCs/>
          <w:sz w:val="24"/>
          <w:lang w:val="en-GB"/>
        </w:rPr>
        <w:br w:type="page"/>
      </w:r>
    </w:p>
    <w:p w14:paraId="5744E5FD" w14:textId="08BCABF6" w:rsidR="001D4F74" w:rsidRPr="004F0C2F" w:rsidRDefault="00724091" w:rsidP="001D4F74">
      <w:pPr>
        <w:pStyle w:val="1"/>
        <w:spacing w:line="480" w:lineRule="auto"/>
        <w:jc w:val="left"/>
        <w:rPr>
          <w:rFonts w:ascii="Times New Roman" w:hAnsi="Times New Roman" w:cs="Times New Roman"/>
          <w:b/>
        </w:rPr>
      </w:pPr>
      <w:r w:rsidRPr="004F0C2F">
        <w:rPr>
          <w:rFonts w:ascii="Times New Roman" w:hAnsi="Times New Roman" w:cs="Times New Roman"/>
          <w:b/>
        </w:rPr>
        <w:lastRenderedPageBreak/>
        <w:t xml:space="preserve">Appendix </w:t>
      </w:r>
      <w:r w:rsidR="00CD062F" w:rsidRPr="004F0C2F">
        <w:rPr>
          <w:rFonts w:ascii="Times New Roman" w:hAnsi="Times New Roman" w:cs="Times New Roman"/>
          <w:b/>
        </w:rPr>
        <w:t>5</w:t>
      </w:r>
      <w:r w:rsidRPr="004F0C2F">
        <w:rPr>
          <w:rFonts w:ascii="Times New Roman" w:hAnsi="Times New Roman" w:cs="Times New Roman"/>
          <w:b/>
        </w:rPr>
        <w:t xml:space="preserve">. </w:t>
      </w:r>
      <w:r w:rsidR="001D4F74" w:rsidRPr="004F0C2F">
        <w:rPr>
          <w:rFonts w:ascii="Times New Roman" w:hAnsi="Times New Roman" w:cs="Times New Roman"/>
          <w:b/>
        </w:rPr>
        <w:t xml:space="preserve">Detailed </w:t>
      </w:r>
      <w:r w:rsidR="001C4884" w:rsidRPr="004F0C2F">
        <w:rPr>
          <w:rFonts w:ascii="Times New Roman" w:hAnsi="Times New Roman" w:cs="Times New Roman"/>
          <w:b/>
        </w:rPr>
        <w:t xml:space="preserve">algorithm </w:t>
      </w:r>
      <w:r w:rsidR="001D4F74" w:rsidRPr="004F0C2F">
        <w:rPr>
          <w:rFonts w:ascii="Times New Roman" w:hAnsi="Times New Roman" w:cs="Times New Roman"/>
          <w:b/>
        </w:rPr>
        <w:t xml:space="preserve">for </w:t>
      </w:r>
      <w:r w:rsidR="00163E33" w:rsidRPr="004F0C2F">
        <w:rPr>
          <w:rFonts w:ascii="Times New Roman" w:hAnsi="Times New Roman" w:cs="Times New Roman"/>
          <w:b/>
        </w:rPr>
        <w:t xml:space="preserve">the </w:t>
      </w:r>
      <w:r w:rsidR="001D4F74" w:rsidRPr="004F0C2F">
        <w:rPr>
          <w:rFonts w:ascii="Times New Roman" w:hAnsi="Times New Roman" w:cs="Times New Roman"/>
          <w:b/>
        </w:rPr>
        <w:t>construction of</w:t>
      </w:r>
      <w:r w:rsidR="007F2B70" w:rsidRPr="004F0C2F">
        <w:rPr>
          <w:rFonts w:ascii="Times New Roman" w:hAnsi="Times New Roman" w:cs="Times New Roman"/>
          <w:b/>
        </w:rPr>
        <w:t xml:space="preserve"> the</w:t>
      </w:r>
      <w:r w:rsidR="001D4F74" w:rsidRPr="004F0C2F">
        <w:rPr>
          <w:rFonts w:ascii="Times New Roman" w:hAnsi="Times New Roman" w:cs="Times New Roman"/>
          <w:b/>
        </w:rPr>
        <w:t xml:space="preserve"> high-dimensional propensity score</w:t>
      </w:r>
    </w:p>
    <w:p w14:paraId="0937F08F" w14:textId="79802C02" w:rsidR="00724091" w:rsidRPr="004F0C2F" w:rsidRDefault="002364E9" w:rsidP="00EA50C9">
      <w:pPr>
        <w:spacing w:line="480" w:lineRule="auto"/>
        <w:rPr>
          <w:rFonts w:ascii="Times New Roman" w:hAnsi="Times New Roman" w:cs="Times New Roman"/>
          <w:b/>
        </w:rPr>
      </w:pPr>
      <w:r w:rsidRPr="004F0C2F">
        <w:rPr>
          <w:rFonts w:ascii="Times New Roman" w:hAnsi="Times New Roman" w:cs="Times New Roman"/>
          <w:b/>
          <w:sz w:val="24"/>
          <w:szCs w:val="24"/>
        </w:rPr>
        <w:t xml:space="preserve">Ranking of </w:t>
      </w:r>
      <w:r w:rsidR="001D4F74" w:rsidRPr="004F0C2F">
        <w:rPr>
          <w:rFonts w:ascii="Times New Roman" w:hAnsi="Times New Roman" w:cs="Times New Roman"/>
          <w:b/>
          <w:sz w:val="24"/>
          <w:szCs w:val="24"/>
        </w:rPr>
        <w:t xml:space="preserve">candidate </w:t>
      </w:r>
      <w:r w:rsidRPr="004F0C2F">
        <w:rPr>
          <w:rFonts w:ascii="Times New Roman" w:hAnsi="Times New Roman" w:cs="Times New Roman"/>
          <w:b/>
          <w:sz w:val="24"/>
          <w:szCs w:val="24"/>
        </w:rPr>
        <w:t>covariates</w:t>
      </w:r>
    </w:p>
    <w:p w14:paraId="421442AA" w14:textId="2B967B10" w:rsidR="00225F99" w:rsidRPr="004F0C2F" w:rsidRDefault="004C0938">
      <w:pPr>
        <w:pStyle w:val="MTDisplayEquation"/>
        <w:spacing w:line="480" w:lineRule="auto"/>
        <w:jc w:val="left"/>
        <w:rPr>
          <w:bCs/>
          <w:szCs w:val="24"/>
          <w:lang w:val="en-GB"/>
        </w:rPr>
      </w:pPr>
      <w:r w:rsidRPr="004F0C2F">
        <w:rPr>
          <w:szCs w:val="24"/>
        </w:rPr>
        <w:t xml:space="preserve">In this study, </w:t>
      </w:r>
      <w:r w:rsidR="00225F99" w:rsidRPr="004F0C2F">
        <w:rPr>
          <w:szCs w:val="24"/>
        </w:rPr>
        <w:t xml:space="preserve">the 200 candidate covariates were ranked based on </w:t>
      </w:r>
      <w:r w:rsidR="0010014D" w:rsidRPr="004F0C2F">
        <w:rPr>
          <w:szCs w:val="24"/>
        </w:rPr>
        <w:t>the</w:t>
      </w:r>
      <w:r w:rsidR="006454FE" w:rsidRPr="004F0C2F">
        <w:rPr>
          <w:szCs w:val="24"/>
        </w:rPr>
        <w:t>ir</w:t>
      </w:r>
      <w:r w:rsidR="0010014D" w:rsidRPr="004F0C2F">
        <w:rPr>
          <w:szCs w:val="24"/>
        </w:rPr>
        <w:t xml:space="preserve"> </w:t>
      </w:r>
      <w:r w:rsidR="00225F99" w:rsidRPr="004F0C2F">
        <w:rPr>
          <w:bCs/>
          <w:szCs w:val="24"/>
          <w:lang w:val="en-GB"/>
        </w:rPr>
        <w:t xml:space="preserve">relative </w:t>
      </w:r>
      <w:r w:rsidR="00221324" w:rsidRPr="004F0C2F">
        <w:rPr>
          <w:rFonts w:hint="eastAsia"/>
          <w:bCs/>
          <w:szCs w:val="24"/>
          <w:lang w:val="en-GB"/>
        </w:rPr>
        <w:t>h</w:t>
      </w:r>
      <w:r w:rsidR="00221324" w:rsidRPr="004F0C2F">
        <w:rPr>
          <w:bCs/>
          <w:szCs w:val="24"/>
          <w:lang w:val="en-GB"/>
        </w:rPr>
        <w:t>azard</w:t>
      </w:r>
      <w:r w:rsidR="00225F99" w:rsidRPr="004F0C2F">
        <w:rPr>
          <w:bCs/>
          <w:szCs w:val="24"/>
          <w:lang w:val="en-GB"/>
        </w:rPr>
        <w:t xml:space="preserve"> for liver injury (LI) occurrence and the prevalence of each variable in </w:t>
      </w:r>
      <w:r w:rsidR="003B1048" w:rsidRPr="004F0C2F">
        <w:rPr>
          <w:bCs/>
          <w:szCs w:val="24"/>
          <w:lang w:val="en-GB"/>
        </w:rPr>
        <w:t xml:space="preserve">the </w:t>
      </w:r>
      <w:r w:rsidR="00225F99" w:rsidRPr="004F0C2F">
        <w:rPr>
          <w:bCs/>
          <w:szCs w:val="24"/>
          <w:lang w:val="en-GB"/>
        </w:rPr>
        <w:t xml:space="preserve">exposed and unexposed episodes </w:t>
      </w:r>
      <w:r w:rsidR="002D16E8" w:rsidRPr="004F0C2F">
        <w:rPr>
          <w:bCs/>
          <w:szCs w:val="24"/>
          <w:lang w:val="en-GB"/>
        </w:rPr>
        <w:t>using</w:t>
      </w:r>
      <w:r w:rsidR="009A4E23" w:rsidRPr="004F0C2F">
        <w:rPr>
          <w:bCs/>
          <w:szCs w:val="24"/>
          <w:lang w:val="en-GB"/>
        </w:rPr>
        <w:t xml:space="preserve"> the method describe in </w:t>
      </w:r>
      <w:proofErr w:type="spellStart"/>
      <w:r w:rsidR="009A4E23" w:rsidRPr="004F0C2F">
        <w:rPr>
          <w:bCs/>
          <w:lang w:val="en-GB"/>
        </w:rPr>
        <w:t>Schneeweiss</w:t>
      </w:r>
      <w:proofErr w:type="spellEnd"/>
      <w:r w:rsidR="009A4E23" w:rsidRPr="004F0C2F">
        <w:rPr>
          <w:bCs/>
          <w:lang w:val="en-GB"/>
        </w:rPr>
        <w:t xml:space="preserve"> et al.</w:t>
      </w:r>
      <w:r w:rsidR="00547DC5" w:rsidRPr="004F0C2F">
        <w:rPr>
          <w:bCs/>
          <w:lang w:val="en-GB"/>
        </w:rPr>
        <w:t xml:space="preserve"> </w:t>
      </w:r>
      <w:r w:rsidR="00547DC5" w:rsidRPr="004F0C2F">
        <w:rPr>
          <w:bCs/>
          <w:lang w:val="en-GB"/>
        </w:rPr>
        <w:fldChar w:fldCharType="begin">
          <w:fldData xml:space="preserve">PEVuZE5vdGU+PENpdGU+PEF1dGhvcj5TY2huZWV3ZWlzczwvQXV0aG9yPjxZZWFyPjIwMDk8L1ll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</w:fldData>
        </w:fldChar>
      </w:r>
      <w:r w:rsidR="005C0420" w:rsidRPr="004F0C2F">
        <w:rPr>
          <w:bCs/>
          <w:lang w:val="en-GB"/>
        </w:rPr>
        <w:instrText xml:space="preserve"> ADDIN EN.CITE </w:instrText>
      </w:r>
      <w:r w:rsidR="005C0420" w:rsidRPr="004F0C2F">
        <w:rPr>
          <w:bCs/>
          <w:lang w:val="en-GB"/>
        </w:rPr>
        <w:fldChar w:fldCharType="begin">
          <w:fldData xml:space="preserve">PEVuZE5vdGU+PENpdGU+PEF1dGhvcj5TY2huZWV3ZWlzczwvQXV0aG9yPjxZZWFyPjIwMDk8L1ll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</w:fldData>
        </w:fldChar>
      </w:r>
      <w:r w:rsidR="005C0420" w:rsidRPr="004F0C2F">
        <w:rPr>
          <w:bCs/>
          <w:lang w:val="en-GB"/>
        </w:rPr>
        <w:instrText xml:space="preserve"> ADDIN EN.CITE.DATA </w:instrText>
      </w:r>
      <w:r w:rsidR="005C0420" w:rsidRPr="004F0C2F">
        <w:rPr>
          <w:bCs/>
          <w:lang w:val="en-GB"/>
        </w:rPr>
      </w:r>
      <w:r w:rsidR="005C0420" w:rsidRPr="004F0C2F">
        <w:rPr>
          <w:bCs/>
          <w:lang w:val="en-GB"/>
        </w:rPr>
        <w:fldChar w:fldCharType="end"/>
      </w:r>
      <w:r w:rsidR="00547DC5" w:rsidRPr="004F0C2F">
        <w:rPr>
          <w:bCs/>
          <w:lang w:val="en-GB"/>
        </w:rPr>
      </w:r>
      <w:r w:rsidR="00547DC5" w:rsidRPr="004F0C2F">
        <w:rPr>
          <w:bCs/>
          <w:lang w:val="en-GB"/>
        </w:rPr>
        <w:fldChar w:fldCharType="separate"/>
      </w:r>
      <w:r w:rsidR="005C0420" w:rsidRPr="004F0C2F">
        <w:rPr>
          <w:bCs/>
          <w:noProof/>
          <w:lang w:val="en-GB"/>
        </w:rPr>
        <w:t>[2]</w:t>
      </w:r>
      <w:r w:rsidR="00547DC5" w:rsidRPr="004F0C2F">
        <w:rPr>
          <w:bCs/>
          <w:lang w:val="en-GB"/>
        </w:rPr>
        <w:fldChar w:fldCharType="end"/>
      </w:r>
      <w:r w:rsidR="00225F99" w:rsidRPr="004F0C2F">
        <w:rPr>
          <w:bCs/>
          <w:szCs w:val="24"/>
          <w:lang w:val="en-GB"/>
        </w:rPr>
        <w:t>. The</w:t>
      </w:r>
      <w:r w:rsidR="008D5C55" w:rsidRPr="004F0C2F">
        <w:rPr>
          <w:bCs/>
          <w:szCs w:val="24"/>
          <w:lang w:val="en-GB"/>
        </w:rPr>
        <w:t xml:space="preserve"> procedure was conducted</w:t>
      </w:r>
      <w:r w:rsidR="00225F99" w:rsidRPr="004F0C2F">
        <w:rPr>
          <w:bCs/>
          <w:szCs w:val="24"/>
          <w:lang w:val="en-GB"/>
        </w:rPr>
        <w:t xml:space="preserve"> as follows</w:t>
      </w:r>
      <w:r w:rsidR="008D5C55" w:rsidRPr="004F0C2F">
        <w:rPr>
          <w:bCs/>
          <w:szCs w:val="24"/>
          <w:lang w:val="en-GB"/>
        </w:rPr>
        <w:t>:</w:t>
      </w:r>
    </w:p>
    <w:p w14:paraId="1E4E4DC0" w14:textId="3FF70508" w:rsidR="00225F99" w:rsidRPr="004F0C2F" w:rsidRDefault="00225F99" w:rsidP="00225F99">
      <w:pPr>
        <w:pStyle w:val="MTDisplayEquation"/>
        <w:spacing w:line="480" w:lineRule="auto"/>
        <w:jc w:val="left"/>
        <w:rPr>
          <w:bCs/>
          <w:szCs w:val="24"/>
          <w:lang w:val="en-GB"/>
        </w:rPr>
      </w:pPr>
      <w:r w:rsidRPr="004F0C2F">
        <w:rPr>
          <w:b/>
          <w:bCs/>
          <w:i/>
          <w:szCs w:val="24"/>
          <w:lang w:val="en-GB"/>
        </w:rPr>
        <w:t>Step</w:t>
      </w:r>
      <w:r w:rsidR="00167452" w:rsidRPr="004F0C2F">
        <w:rPr>
          <w:b/>
          <w:bCs/>
          <w:i/>
          <w:szCs w:val="24"/>
          <w:lang w:val="en-GB"/>
        </w:rPr>
        <w:t xml:space="preserve"> </w:t>
      </w:r>
      <w:r w:rsidRPr="004F0C2F">
        <w:rPr>
          <w:b/>
          <w:bCs/>
          <w:i/>
          <w:szCs w:val="24"/>
          <w:lang w:val="en-GB"/>
        </w:rPr>
        <w:t>1:</w:t>
      </w:r>
      <w:r w:rsidRPr="004F0C2F">
        <w:rPr>
          <w:bCs/>
          <w:szCs w:val="24"/>
          <w:lang w:val="en-GB"/>
        </w:rPr>
        <w:t xml:space="preserve"> For each candidate covariate, </w:t>
      </w:r>
      <w:r w:rsidR="005D4B3C" w:rsidRPr="004F0C2F">
        <w:rPr>
          <w:bCs/>
          <w:szCs w:val="24"/>
          <w:lang w:val="en-GB"/>
        </w:rPr>
        <w:t xml:space="preserve">the </w:t>
      </w:r>
      <w:r w:rsidRPr="004F0C2F">
        <w:rPr>
          <w:bCs/>
          <w:szCs w:val="24"/>
          <w:lang w:val="en-GB"/>
        </w:rPr>
        <w:t>hazard ratio (HR) for 30-day LI occurrence w</w:t>
      </w:r>
      <w:r w:rsidR="005D4B3C" w:rsidRPr="004F0C2F">
        <w:rPr>
          <w:bCs/>
          <w:szCs w:val="24"/>
          <w:lang w:val="en-GB"/>
        </w:rPr>
        <w:t>as</w:t>
      </w:r>
      <w:r w:rsidRPr="004F0C2F">
        <w:rPr>
          <w:bCs/>
          <w:szCs w:val="24"/>
          <w:lang w:val="en-GB"/>
        </w:rPr>
        <w:t xml:space="preserve"> calculated </w:t>
      </w:r>
      <w:r w:rsidR="009D3DC7" w:rsidRPr="004F0C2F">
        <w:rPr>
          <w:bCs/>
          <w:szCs w:val="24"/>
          <w:lang w:val="en-GB"/>
        </w:rPr>
        <w:t>using a</w:t>
      </w:r>
      <w:r w:rsidRPr="004F0C2F">
        <w:rPr>
          <w:bCs/>
          <w:szCs w:val="24"/>
          <w:lang w:val="en-GB"/>
        </w:rPr>
        <w:t xml:space="preserve"> univariate Cox model. </w:t>
      </w:r>
      <w:r w:rsidR="000D144C" w:rsidRPr="004F0C2F">
        <w:rPr>
          <w:bCs/>
          <w:szCs w:val="24"/>
          <w:lang w:val="en-GB"/>
        </w:rPr>
        <w:t>Patients</w:t>
      </w:r>
      <w:r w:rsidR="004A24FB" w:rsidRPr="004F0C2F">
        <w:rPr>
          <w:bCs/>
          <w:szCs w:val="24"/>
          <w:lang w:val="en-GB"/>
        </w:rPr>
        <w:t xml:space="preserve"> were censored after</w:t>
      </w:r>
      <w:r w:rsidRPr="004F0C2F">
        <w:rPr>
          <w:bCs/>
          <w:szCs w:val="24"/>
          <w:lang w:val="en-GB"/>
        </w:rPr>
        <w:t xml:space="preserve"> the passage of 29 days from </w:t>
      </w:r>
      <w:r w:rsidR="004A24FB" w:rsidRPr="004F0C2F">
        <w:rPr>
          <w:bCs/>
          <w:szCs w:val="24"/>
          <w:lang w:val="en-GB"/>
        </w:rPr>
        <w:t xml:space="preserve">the </w:t>
      </w:r>
      <w:r w:rsidRPr="004F0C2F">
        <w:rPr>
          <w:bCs/>
          <w:szCs w:val="24"/>
          <w:lang w:val="en-GB"/>
        </w:rPr>
        <w:t xml:space="preserve">index date or </w:t>
      </w:r>
      <w:r w:rsidR="004A24FB" w:rsidRPr="004F0C2F">
        <w:rPr>
          <w:bCs/>
          <w:szCs w:val="24"/>
          <w:lang w:val="en-GB"/>
        </w:rPr>
        <w:t xml:space="preserve">the </w:t>
      </w:r>
      <w:r w:rsidRPr="004F0C2F">
        <w:rPr>
          <w:bCs/>
          <w:szCs w:val="24"/>
          <w:lang w:val="en-GB"/>
        </w:rPr>
        <w:t xml:space="preserve">observation end date, whichever </w:t>
      </w:r>
      <w:r w:rsidR="004A24FB" w:rsidRPr="004F0C2F">
        <w:rPr>
          <w:bCs/>
          <w:szCs w:val="24"/>
          <w:lang w:val="en-GB"/>
        </w:rPr>
        <w:t xml:space="preserve">was </w:t>
      </w:r>
      <w:r w:rsidR="00CE4AD8" w:rsidRPr="004F0C2F">
        <w:rPr>
          <w:bCs/>
          <w:szCs w:val="24"/>
          <w:lang w:val="en-GB"/>
        </w:rPr>
        <w:t>earlier</w:t>
      </w:r>
      <w:r w:rsidRPr="004F0C2F">
        <w:rPr>
          <w:bCs/>
          <w:szCs w:val="24"/>
          <w:lang w:val="en-GB"/>
        </w:rPr>
        <w:t xml:space="preserve">. </w:t>
      </w:r>
      <w:r w:rsidR="008568B4" w:rsidRPr="004F0C2F">
        <w:rPr>
          <w:bCs/>
          <w:szCs w:val="24"/>
          <w:lang w:val="en-GB"/>
        </w:rPr>
        <w:t>Similar to</w:t>
      </w:r>
      <w:r w:rsidRPr="004F0C2F">
        <w:rPr>
          <w:bCs/>
          <w:szCs w:val="24"/>
          <w:lang w:val="en-GB"/>
        </w:rPr>
        <w:t xml:space="preserve"> the estimation of </w:t>
      </w:r>
      <w:r w:rsidR="00655242" w:rsidRPr="004F0C2F">
        <w:rPr>
          <w:bCs/>
          <w:szCs w:val="24"/>
          <w:lang w:val="en-GB"/>
        </w:rPr>
        <w:t xml:space="preserve">the </w:t>
      </w:r>
      <w:r w:rsidRPr="004F0C2F">
        <w:rPr>
          <w:bCs/>
          <w:szCs w:val="24"/>
          <w:lang w:val="en-GB"/>
        </w:rPr>
        <w:t>intention-to-treat effect, change</w:t>
      </w:r>
      <w:r w:rsidR="009C10CA" w:rsidRPr="004F0C2F">
        <w:rPr>
          <w:bCs/>
          <w:szCs w:val="24"/>
          <w:lang w:val="en-GB"/>
        </w:rPr>
        <w:t>s in</w:t>
      </w:r>
      <w:r w:rsidRPr="004F0C2F">
        <w:rPr>
          <w:bCs/>
          <w:szCs w:val="24"/>
          <w:lang w:val="en-GB"/>
        </w:rPr>
        <w:t xml:space="preserve"> </w:t>
      </w:r>
      <w:r w:rsidR="00717DDE" w:rsidRPr="004F0C2F">
        <w:rPr>
          <w:bCs/>
          <w:szCs w:val="24"/>
          <w:lang w:val="en-GB"/>
        </w:rPr>
        <w:t>treatment</w:t>
      </w:r>
      <w:r w:rsidRPr="004F0C2F">
        <w:rPr>
          <w:bCs/>
          <w:szCs w:val="24"/>
          <w:lang w:val="en-GB"/>
        </w:rPr>
        <w:t xml:space="preserve"> status within 30 days </w:t>
      </w:r>
      <w:r w:rsidR="001A7618" w:rsidRPr="004F0C2F">
        <w:rPr>
          <w:bCs/>
          <w:szCs w:val="24"/>
          <w:lang w:val="en-GB"/>
        </w:rPr>
        <w:t>were</w:t>
      </w:r>
      <w:r w:rsidRPr="004F0C2F">
        <w:rPr>
          <w:bCs/>
          <w:szCs w:val="24"/>
          <w:lang w:val="en-GB"/>
        </w:rPr>
        <w:t xml:space="preserve"> ignored.</w:t>
      </w:r>
    </w:p>
    <w:p w14:paraId="3D0977FF" w14:textId="2E8DE673" w:rsidR="00547DC5" w:rsidRPr="004F0C2F" w:rsidRDefault="00225F99" w:rsidP="00225F99">
      <w:pPr>
        <w:spacing w:line="480" w:lineRule="auto"/>
        <w:rPr>
          <w:rFonts w:ascii="Times New Roman" w:hAnsi="Times New Roman" w:cs="Times New Roman"/>
          <w:sz w:val="24"/>
          <w:szCs w:val="24"/>
          <w:lang w:val="en-GB"/>
        </w:rPr>
      </w:pPr>
      <w:r w:rsidRPr="004F0C2F">
        <w:rPr>
          <w:rFonts w:ascii="Times New Roman" w:hAnsi="Times New Roman" w:cs="Times New Roman"/>
          <w:b/>
          <w:i/>
          <w:sz w:val="24"/>
          <w:szCs w:val="24"/>
          <w:lang w:val="en-GB"/>
        </w:rPr>
        <w:t>Step 2:</w:t>
      </w:r>
      <w:r w:rsidRPr="004F0C2F">
        <w:rPr>
          <w:rFonts w:ascii="Times New Roman" w:hAnsi="Times New Roman" w:cs="Times New Roman"/>
          <w:i/>
          <w:sz w:val="24"/>
          <w:szCs w:val="24"/>
          <w:lang w:val="en-GB"/>
        </w:rPr>
        <w:t xml:space="preserve"> </w:t>
      </w:r>
      <w:r w:rsidR="00E03CEE" w:rsidRPr="004F0C2F">
        <w:rPr>
          <w:rFonts w:ascii="Times New Roman" w:hAnsi="Times New Roman" w:cs="Times New Roman"/>
          <w:sz w:val="24"/>
          <w:szCs w:val="24"/>
          <w:lang w:val="en-GB"/>
        </w:rPr>
        <w:t>Using</w:t>
      </w:r>
      <w:r w:rsidR="0010014D" w:rsidRPr="004F0C2F">
        <w:rPr>
          <w:rFonts w:ascii="Times New Roman" w:hAnsi="Times New Roman" w:cs="Times New Roman"/>
          <w:sz w:val="24"/>
          <w:szCs w:val="24"/>
          <w:lang w:val="en-GB"/>
        </w:rPr>
        <w:t xml:space="preserve"> the formula</w:t>
      </w:r>
      <w:r w:rsidR="00E03CEE" w:rsidRPr="004F0C2F">
        <w:rPr>
          <w:rFonts w:ascii="Times New Roman" w:hAnsi="Times New Roman" w:cs="Times New Roman"/>
          <w:sz w:val="24"/>
          <w:szCs w:val="24"/>
          <w:lang w:val="en-GB"/>
        </w:rPr>
        <w:t xml:space="preserve"> proposed by</w:t>
      </w:r>
      <w:r w:rsidR="0010014D" w:rsidRPr="004F0C2F">
        <w:rPr>
          <w:rFonts w:ascii="Times New Roman" w:hAnsi="Times New Roman" w:cs="Times New Roman"/>
          <w:sz w:val="24"/>
          <w:szCs w:val="24"/>
          <w:lang w:val="en-GB"/>
        </w:rPr>
        <w:t xml:space="preserve"> </w:t>
      </w:r>
      <w:proofErr w:type="spellStart"/>
      <w:r w:rsidR="0010014D" w:rsidRPr="004F0C2F">
        <w:rPr>
          <w:rFonts w:ascii="Times New Roman" w:hAnsi="Times New Roman" w:cs="Times New Roman"/>
          <w:sz w:val="24"/>
          <w:szCs w:val="24"/>
          <w:lang w:val="en-GB"/>
        </w:rPr>
        <w:t>Bross</w:t>
      </w:r>
      <w:proofErr w:type="spellEnd"/>
      <w:r w:rsidR="00547DC5" w:rsidRPr="004F0C2F">
        <w:rPr>
          <w:rFonts w:ascii="Times New Roman" w:hAnsi="Times New Roman" w:cs="Times New Roman"/>
          <w:sz w:val="24"/>
          <w:szCs w:val="24"/>
          <w:lang w:val="en-GB"/>
        </w:rPr>
        <w:t xml:space="preserve"> </w:t>
      </w:r>
      <w:r w:rsidR="00547DC5" w:rsidRPr="004F0C2F">
        <w:rPr>
          <w:rFonts w:ascii="Times New Roman" w:hAnsi="Times New Roman" w:cs="Times New Roman"/>
          <w:sz w:val="24"/>
          <w:szCs w:val="24"/>
          <w:lang w:val="en-GB"/>
        </w:rPr>
        <w:fldChar w:fldCharType="begin"/>
      </w:r>
      <w:r w:rsidR="005C0420" w:rsidRPr="004F0C2F">
        <w:rPr>
          <w:rFonts w:ascii="Times New Roman" w:hAnsi="Times New Roman" w:cs="Times New Roman"/>
          <w:sz w:val="24"/>
          <w:szCs w:val="24"/>
          <w:lang w:val="en-GB"/>
        </w:rPr>
        <w:instrText xml:space="preserve"> ADDIN EN.CITE &lt;EndNote&gt;&lt;Cite&gt;&lt;Author&gt;Bross&lt;/Author&gt;&lt;Year&gt;1966&lt;/Year&gt;&lt;RecNum&gt;33&lt;/RecNum&gt;&lt;DisplayText&gt;[3]&lt;/DisplayText&gt;&lt;record&gt;&lt;rec-number&gt;33&lt;/rec-number&gt;&lt;foreign-keys&gt;&lt;key app="EN" db-id="fe2vvf22yttp05exe9oxtv0wxtvfsxzra2ps" timestamp="1486946739"&gt;33&lt;/key&gt;&lt;/foreign-keys&gt;&lt;ref-type name="Journal Article"&gt;17&lt;/ref-type&gt;&lt;contributors&gt;&lt;authors&gt;&lt;author&gt;Bross, I. D.&lt;/author&gt;&lt;/authors&gt;&lt;/contributors&gt;&lt;titles&gt;&lt;title&gt;Spurious effects from an extraneous variable&lt;/title&gt;&lt;secondary-title&gt;J Chronic Dis&lt;/secondary-title&gt;&lt;/titles&gt;&lt;periodical&gt;&lt;full-title&gt;J Chronic Dis&lt;/full-title&gt;&lt;/periodical&gt;&lt;pages&gt;637-47&lt;/pages&gt;&lt;volume&gt;19&lt;/volume&gt;&lt;number&gt;6&lt;/number&gt;&lt;keywords&gt;&lt;keyword&gt;*Accidents, Traffic&lt;/keyword&gt;&lt;keyword&gt;Humans&lt;/keyword&gt;&lt;keyword&gt;Language&lt;/keyword&gt;&lt;keyword&gt;Lung Neoplasms/etiology&lt;/keyword&gt;&lt;keyword&gt;Mathematics&lt;/keyword&gt;&lt;keyword&gt;Research&lt;/keyword&gt;&lt;keyword&gt;*Smoking&lt;/keyword&gt;&lt;/keywords&gt;&lt;dates&gt;&lt;year&gt;1966&lt;/year&gt;&lt;pub-dates&gt;&lt;date&gt;Jun&lt;/date&gt;&lt;/pub-dates&gt;&lt;/dates&gt;&lt;isbn&gt;0021-9681 (Print)&amp;#xD;0021-9681 (Linking)&lt;/isbn&gt;&lt;accession-num&gt;5966011&lt;/accession-num&gt;&lt;urls&gt;&lt;related-urls&gt;&lt;url&gt;https://www.ncbi.nlm.nih.gov/pubmed/5966011&lt;/url&gt;&lt;/related-urls&gt;&lt;/urls&gt;&lt;/record&gt;&lt;/Cite&gt;&lt;/EndNote&gt;</w:instrText>
      </w:r>
      <w:r w:rsidR="00547DC5" w:rsidRPr="004F0C2F">
        <w:rPr>
          <w:rFonts w:ascii="Times New Roman" w:hAnsi="Times New Roman" w:cs="Times New Roman"/>
          <w:sz w:val="24"/>
          <w:szCs w:val="24"/>
          <w:lang w:val="en-GB"/>
        </w:rPr>
        <w:fldChar w:fldCharType="separate"/>
      </w:r>
      <w:r w:rsidR="005C0420" w:rsidRPr="004F0C2F">
        <w:rPr>
          <w:rFonts w:ascii="Times New Roman" w:hAnsi="Times New Roman" w:cs="Times New Roman"/>
          <w:noProof/>
          <w:sz w:val="24"/>
          <w:szCs w:val="24"/>
          <w:lang w:val="en-GB"/>
        </w:rPr>
        <w:t>[3]</w:t>
      </w:r>
      <w:r w:rsidR="00547DC5" w:rsidRPr="004F0C2F">
        <w:rPr>
          <w:rFonts w:ascii="Times New Roman" w:hAnsi="Times New Roman" w:cs="Times New Roman"/>
          <w:sz w:val="24"/>
          <w:szCs w:val="24"/>
          <w:lang w:val="en-GB"/>
        </w:rPr>
        <w:fldChar w:fldCharType="end"/>
      </w:r>
      <w:r w:rsidR="0010014D" w:rsidRPr="004F0C2F">
        <w:rPr>
          <w:rFonts w:ascii="Times New Roman" w:hAnsi="Times New Roman" w:cs="Times New Roman"/>
          <w:sz w:val="24"/>
          <w:szCs w:val="24"/>
          <w:lang w:val="en-GB"/>
        </w:rPr>
        <w:t xml:space="preserve">, </w:t>
      </w:r>
      <w:r w:rsidR="00963BA5" w:rsidRPr="004F0C2F">
        <w:rPr>
          <w:rFonts w:ascii="Times New Roman" w:hAnsi="Times New Roman" w:cs="Times New Roman"/>
          <w:sz w:val="24"/>
          <w:szCs w:val="24"/>
          <w:lang w:val="en-GB"/>
        </w:rPr>
        <w:t>the score of each candidate covariate was calculated based on its</w:t>
      </w:r>
      <w:r w:rsidR="0010014D" w:rsidRPr="004F0C2F">
        <w:rPr>
          <w:rFonts w:ascii="Times New Roman" w:hAnsi="Times New Roman" w:cs="Times New Roman"/>
          <w:sz w:val="24"/>
          <w:szCs w:val="24"/>
          <w:lang w:val="en-GB"/>
        </w:rPr>
        <w:t xml:space="preserve"> potential to bias the relation</w:t>
      </w:r>
      <w:r w:rsidR="002706D9" w:rsidRPr="004F0C2F">
        <w:rPr>
          <w:rFonts w:ascii="Times New Roman" w:hAnsi="Times New Roman" w:cs="Times New Roman"/>
          <w:sz w:val="24"/>
          <w:szCs w:val="24"/>
          <w:lang w:val="en-GB"/>
        </w:rPr>
        <w:t>ship</w:t>
      </w:r>
      <w:r w:rsidR="0010014D" w:rsidRPr="004F0C2F">
        <w:rPr>
          <w:rFonts w:ascii="Times New Roman" w:hAnsi="Times New Roman" w:cs="Times New Roman"/>
          <w:sz w:val="24"/>
          <w:szCs w:val="24"/>
          <w:lang w:val="en-GB"/>
        </w:rPr>
        <w:t xml:space="preserve"> between exposure</w:t>
      </w:r>
      <w:r w:rsidR="00717DDE" w:rsidRPr="004F0C2F">
        <w:rPr>
          <w:rFonts w:ascii="Times New Roman" w:hAnsi="Times New Roman" w:cs="Times New Roman"/>
          <w:sz w:val="24"/>
          <w:szCs w:val="24"/>
          <w:lang w:val="en-GB"/>
        </w:rPr>
        <w:t xml:space="preserve"> (treatment)</w:t>
      </w:r>
      <w:r w:rsidR="0010014D" w:rsidRPr="004F0C2F">
        <w:rPr>
          <w:rFonts w:ascii="Times New Roman" w:hAnsi="Times New Roman" w:cs="Times New Roman"/>
          <w:sz w:val="24"/>
          <w:szCs w:val="24"/>
          <w:lang w:val="en-GB"/>
        </w:rPr>
        <w:t xml:space="preserve"> and event. </w:t>
      </w:r>
      <w:r w:rsidR="00547DC5" w:rsidRPr="004F0C2F">
        <w:rPr>
          <w:rFonts w:ascii="Times New Roman" w:hAnsi="Times New Roman" w:cs="Times New Roman"/>
          <w:sz w:val="24"/>
          <w:szCs w:val="24"/>
          <w:lang w:val="en-GB"/>
        </w:rPr>
        <w:t>The scores were obtained from</w:t>
      </w:r>
      <w:r w:rsidR="00D914D9" w:rsidRPr="004F0C2F">
        <w:rPr>
          <w:rFonts w:ascii="Times New Roman" w:hAnsi="Times New Roman" w:cs="Times New Roman"/>
          <w:sz w:val="24"/>
          <w:szCs w:val="24"/>
          <w:lang w:val="en-GB"/>
        </w:rPr>
        <w:t xml:space="preserve"> the</w:t>
      </w:r>
      <w:r w:rsidR="00547DC5" w:rsidRPr="004F0C2F">
        <w:rPr>
          <w:rFonts w:ascii="Times New Roman" w:hAnsi="Times New Roman" w:cs="Times New Roman"/>
          <w:sz w:val="24"/>
          <w:szCs w:val="24"/>
          <w:lang w:val="en-GB"/>
        </w:rPr>
        <w:t xml:space="preserve"> following equations</w:t>
      </w:r>
      <w:r w:rsidR="00D914D9" w:rsidRPr="004F0C2F">
        <w:rPr>
          <w:rFonts w:ascii="Times New Roman" w:hAnsi="Times New Roman" w:cs="Times New Roman"/>
          <w:sz w:val="24"/>
          <w:szCs w:val="24"/>
          <w:lang w:val="en-GB"/>
        </w:rPr>
        <w:t>:</w:t>
      </w:r>
    </w:p>
    <w:p w14:paraId="2F4D42C9" w14:textId="519BFCF9" w:rsidR="00547DC5" w:rsidRPr="004F0C2F" w:rsidRDefault="00547DC5" w:rsidP="00547DC5">
      <w:pPr>
        <w:pStyle w:val="MTDisplayEquation"/>
        <w:rPr>
          <w:szCs w:val="24"/>
          <w:lang w:val="en-GB"/>
        </w:rPr>
      </w:pPr>
      <w:r w:rsidRPr="004F0C2F">
        <w:rPr>
          <w:szCs w:val="24"/>
          <w:lang w:val="en-GB"/>
        </w:rPr>
        <w:tab/>
      </w:r>
      <w:r w:rsidR="00F9506D" w:rsidRPr="004F0C2F">
        <w:rPr>
          <w:position w:val="-34"/>
          <w:szCs w:val="24"/>
          <w:lang w:val="en-GB"/>
        </w:rPr>
        <w:object w:dxaOrig="4160" w:dyaOrig="800" w14:anchorId="4675B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40.5pt" o:ole="">
            <v:imagedata r:id="rId7" o:title=""/>
          </v:shape>
          <o:OLEObject Type="Embed" ProgID="Equation.DSMT4" ShapeID="_x0000_i1025" DrawAspect="Content" ObjectID="_1598432274" r:id="rId8"/>
        </w:object>
      </w:r>
    </w:p>
    <w:p w14:paraId="4207E7FF" w14:textId="415F5ACA" w:rsidR="00225F99" w:rsidRPr="004F0C2F" w:rsidRDefault="00F9506D" w:rsidP="001851A8">
      <w:pPr>
        <w:spacing w:line="480" w:lineRule="auto"/>
        <w:jc w:val="center"/>
        <w:rPr>
          <w:rFonts w:ascii="Times New Roman" w:hAnsi="Times New Roman" w:cs="Times New Roman"/>
          <w:sz w:val="24"/>
          <w:szCs w:val="24"/>
          <w:lang w:val="en-GB"/>
        </w:rPr>
      </w:pPr>
      <w:r w:rsidRPr="004F0C2F">
        <w:rPr>
          <w:rFonts w:ascii="Times New Roman" w:hAnsi="Times New Roman" w:cs="Times New Roman"/>
          <w:position w:val="-58"/>
          <w:sz w:val="24"/>
          <w:szCs w:val="24"/>
          <w:lang w:val="en-GB"/>
        </w:rPr>
        <w:object w:dxaOrig="4220" w:dyaOrig="1280" w14:anchorId="2CA9890A">
          <v:shape id="_x0000_i1026" type="#_x0000_t75" style="width:211.5pt;height:63pt" o:ole="">
            <v:imagedata r:id="rId9" o:title=""/>
          </v:shape>
          <o:OLEObject Type="Embed" ProgID="Equation.DSMT4" ShapeID="_x0000_i1026" DrawAspect="Content" ObjectID="_1598432275" r:id="rId10"/>
        </w:object>
      </w:r>
    </w:p>
    <w:p w14:paraId="445BE659" w14:textId="3779DE93" w:rsidR="00C827D8" w:rsidRPr="004F0C2F" w:rsidRDefault="00C827D8" w:rsidP="00C827D8">
      <w:pPr>
        <w:spacing w:line="480" w:lineRule="auto"/>
        <w:jc w:val="left"/>
        <w:rPr>
          <w:rFonts w:ascii="Times New Roman" w:hAnsi="Times New Roman" w:cs="Times New Roman"/>
          <w:sz w:val="24"/>
          <w:szCs w:val="24"/>
          <w:lang w:val="en-GB"/>
        </w:rPr>
      </w:pPr>
      <w:r w:rsidRPr="004F0C2F">
        <w:rPr>
          <w:rFonts w:ascii="Times New Roman" w:hAnsi="Times New Roman" w:cs="Times New Roman"/>
          <w:sz w:val="24"/>
          <w:szCs w:val="24"/>
          <w:lang w:val="en-GB"/>
        </w:rPr>
        <w:t xml:space="preserve">where </w:t>
      </w:r>
      <w:r w:rsidRPr="004F0C2F">
        <w:rPr>
          <w:rFonts w:ascii="Times New Roman" w:hAnsi="Times New Roman" w:cs="Times New Roman"/>
          <w:i/>
          <w:sz w:val="24"/>
          <w:szCs w:val="24"/>
          <w:lang w:val="en-GB"/>
        </w:rPr>
        <w:t>P</w:t>
      </w:r>
      <w:r w:rsidR="00307364" w:rsidRPr="004F0C2F">
        <w:rPr>
          <w:rFonts w:ascii="Times New Roman" w:hAnsi="Times New Roman" w:cs="Times New Roman"/>
          <w:sz w:val="24"/>
          <w:szCs w:val="24"/>
          <w:vertAlign w:val="subscript"/>
          <w:lang w:val="en-GB"/>
        </w:rPr>
        <w:t>C1</w:t>
      </w:r>
      <w:r w:rsidRPr="004F0C2F">
        <w:rPr>
          <w:rFonts w:ascii="Times New Roman" w:hAnsi="Times New Roman" w:cs="Times New Roman"/>
          <w:sz w:val="24"/>
          <w:szCs w:val="24"/>
          <w:lang w:val="en-GB"/>
        </w:rPr>
        <w:t xml:space="preserve"> </w:t>
      </w:r>
      <w:r w:rsidR="00307364" w:rsidRPr="004F0C2F">
        <w:rPr>
          <w:rFonts w:ascii="Times New Roman" w:hAnsi="Times New Roman" w:cs="Times New Roman"/>
          <w:sz w:val="24"/>
          <w:szCs w:val="24"/>
          <w:lang w:val="en-GB"/>
        </w:rPr>
        <w:t xml:space="preserve">and </w:t>
      </w:r>
      <w:r w:rsidR="00307364" w:rsidRPr="004F0C2F">
        <w:rPr>
          <w:rFonts w:ascii="Times New Roman" w:hAnsi="Times New Roman" w:cs="Times New Roman"/>
          <w:i/>
          <w:sz w:val="24"/>
          <w:szCs w:val="24"/>
          <w:lang w:val="en-GB"/>
        </w:rPr>
        <w:t>P</w:t>
      </w:r>
      <w:r w:rsidR="00307364" w:rsidRPr="004F0C2F">
        <w:rPr>
          <w:rFonts w:ascii="Times New Roman" w:hAnsi="Times New Roman" w:cs="Times New Roman"/>
          <w:sz w:val="24"/>
          <w:szCs w:val="24"/>
          <w:vertAlign w:val="subscript"/>
          <w:lang w:val="en-GB"/>
        </w:rPr>
        <w:t>C0</w:t>
      </w:r>
      <w:r w:rsidR="00307364" w:rsidRPr="004F0C2F">
        <w:rPr>
          <w:rFonts w:ascii="Times New Roman" w:hAnsi="Times New Roman" w:cs="Times New Roman"/>
          <w:sz w:val="24"/>
          <w:szCs w:val="24"/>
          <w:lang w:val="en-GB"/>
        </w:rPr>
        <w:t xml:space="preserve"> </w:t>
      </w:r>
      <w:r w:rsidR="000D6BAB" w:rsidRPr="004F0C2F">
        <w:rPr>
          <w:rFonts w:ascii="Times New Roman" w:hAnsi="Times New Roman" w:cs="Times New Roman"/>
          <w:sz w:val="24"/>
          <w:szCs w:val="24"/>
          <w:lang w:val="en-GB"/>
        </w:rPr>
        <w:t xml:space="preserve">represent </w:t>
      </w:r>
      <w:r w:rsidR="00307364" w:rsidRPr="004F0C2F">
        <w:rPr>
          <w:rFonts w:ascii="Times New Roman" w:hAnsi="Times New Roman" w:cs="Times New Roman"/>
          <w:sz w:val="24"/>
          <w:szCs w:val="24"/>
          <w:lang w:val="en-GB"/>
        </w:rPr>
        <w:t xml:space="preserve">the prevalence of each candidate covariate in </w:t>
      </w:r>
      <w:r w:rsidR="000D6BAB" w:rsidRPr="004F0C2F">
        <w:rPr>
          <w:rFonts w:ascii="Times New Roman" w:hAnsi="Times New Roman" w:cs="Times New Roman"/>
          <w:sz w:val="24"/>
          <w:szCs w:val="24"/>
          <w:lang w:val="en-GB"/>
        </w:rPr>
        <w:t xml:space="preserve">the </w:t>
      </w:r>
      <w:r w:rsidR="00307364" w:rsidRPr="004F0C2F">
        <w:rPr>
          <w:rFonts w:ascii="Times New Roman" w:hAnsi="Times New Roman" w:cs="Times New Roman"/>
          <w:sz w:val="24"/>
          <w:szCs w:val="24"/>
          <w:lang w:val="en-GB"/>
        </w:rPr>
        <w:t>exposed and unexposed episodes, respectively.</w:t>
      </w:r>
      <w:r w:rsidR="004F79D6" w:rsidRPr="004F0C2F">
        <w:rPr>
          <w:rFonts w:ascii="Times New Roman" w:hAnsi="Times New Roman" w:cs="Times New Roman"/>
          <w:sz w:val="24"/>
          <w:szCs w:val="24"/>
          <w:lang w:val="en-GB"/>
        </w:rPr>
        <w:t xml:space="preserve"> </w:t>
      </w:r>
      <w:r w:rsidR="00F3537E" w:rsidRPr="004F0C2F">
        <w:rPr>
          <w:rFonts w:ascii="Times New Roman" w:hAnsi="Times New Roman" w:cs="Times New Roman"/>
          <w:sz w:val="24"/>
          <w:szCs w:val="24"/>
          <w:lang w:val="en-GB"/>
        </w:rPr>
        <w:t xml:space="preserve">Variables </w:t>
      </w:r>
      <w:r w:rsidR="007F1B6D" w:rsidRPr="004F0C2F">
        <w:rPr>
          <w:rFonts w:ascii="Times New Roman" w:hAnsi="Times New Roman" w:cs="Times New Roman"/>
          <w:sz w:val="24"/>
          <w:szCs w:val="24"/>
          <w:lang w:val="en-GB"/>
        </w:rPr>
        <w:t xml:space="preserve">with </w:t>
      </w:r>
      <w:r w:rsidR="00AD551F" w:rsidRPr="004F0C2F">
        <w:rPr>
          <w:rFonts w:ascii="Times New Roman" w:hAnsi="Times New Roman" w:cs="Times New Roman"/>
          <w:sz w:val="24"/>
          <w:szCs w:val="24"/>
          <w:lang w:val="en-GB"/>
        </w:rPr>
        <w:t xml:space="preserve">a </w:t>
      </w:r>
      <w:r w:rsidR="004F79D6" w:rsidRPr="004F0C2F">
        <w:rPr>
          <w:rFonts w:ascii="Times New Roman" w:hAnsi="Times New Roman" w:cs="Times New Roman"/>
          <w:sz w:val="24"/>
          <w:szCs w:val="24"/>
          <w:lang w:val="en-GB"/>
        </w:rPr>
        <w:t xml:space="preserve">higher </w:t>
      </w:r>
      <w:r w:rsidR="007F1B6D" w:rsidRPr="004F0C2F">
        <w:rPr>
          <w:rFonts w:ascii="Times New Roman" w:hAnsi="Times New Roman" w:cs="Times New Roman"/>
          <w:sz w:val="24"/>
          <w:szCs w:val="24"/>
          <w:lang w:val="en-GB"/>
        </w:rPr>
        <w:t xml:space="preserve">score have </w:t>
      </w:r>
      <w:r w:rsidR="00AF163B" w:rsidRPr="004F0C2F">
        <w:rPr>
          <w:rFonts w:ascii="Times New Roman" w:hAnsi="Times New Roman" w:cs="Times New Roman"/>
          <w:sz w:val="24"/>
          <w:szCs w:val="24"/>
          <w:lang w:val="en-GB"/>
        </w:rPr>
        <w:t xml:space="preserve">a </w:t>
      </w:r>
      <w:r w:rsidR="00F3537E" w:rsidRPr="004F0C2F">
        <w:rPr>
          <w:rFonts w:ascii="Times New Roman" w:hAnsi="Times New Roman" w:cs="Times New Roman"/>
          <w:sz w:val="24"/>
          <w:szCs w:val="24"/>
          <w:lang w:val="en-GB"/>
        </w:rPr>
        <w:t xml:space="preserve">higher </w:t>
      </w:r>
      <w:r w:rsidR="007F1B6D" w:rsidRPr="004F0C2F">
        <w:rPr>
          <w:rFonts w:ascii="Times New Roman" w:hAnsi="Times New Roman" w:cs="Times New Roman"/>
          <w:sz w:val="24"/>
          <w:szCs w:val="24"/>
          <w:lang w:val="en-GB"/>
        </w:rPr>
        <w:t xml:space="preserve">potential </w:t>
      </w:r>
      <w:r w:rsidR="005B350B" w:rsidRPr="004F0C2F">
        <w:rPr>
          <w:rFonts w:ascii="Times New Roman" w:hAnsi="Times New Roman" w:cs="Times New Roman"/>
          <w:sz w:val="24"/>
          <w:szCs w:val="24"/>
          <w:lang w:val="en-GB"/>
        </w:rPr>
        <w:t xml:space="preserve">of </w:t>
      </w:r>
      <w:r w:rsidR="00ED645E" w:rsidRPr="004F0C2F">
        <w:rPr>
          <w:rFonts w:ascii="Times New Roman" w:hAnsi="Times New Roman" w:cs="Times New Roman"/>
          <w:sz w:val="24"/>
          <w:szCs w:val="24"/>
          <w:lang w:val="en-GB"/>
        </w:rPr>
        <w:t>introducing</w:t>
      </w:r>
      <w:r w:rsidR="005B350B" w:rsidRPr="004F0C2F">
        <w:rPr>
          <w:rFonts w:ascii="Times New Roman" w:hAnsi="Times New Roman" w:cs="Times New Roman"/>
          <w:sz w:val="24"/>
          <w:szCs w:val="24"/>
          <w:lang w:val="en-GB"/>
        </w:rPr>
        <w:t xml:space="preserve"> </w:t>
      </w:r>
      <w:r w:rsidR="007F1B6D" w:rsidRPr="004F0C2F">
        <w:rPr>
          <w:rFonts w:ascii="Times New Roman" w:hAnsi="Times New Roman" w:cs="Times New Roman"/>
          <w:sz w:val="24"/>
          <w:szCs w:val="24"/>
          <w:lang w:val="en-GB"/>
        </w:rPr>
        <w:t>bias</w:t>
      </w:r>
      <w:r w:rsidR="00545E87" w:rsidRPr="004F0C2F">
        <w:rPr>
          <w:rFonts w:ascii="Times New Roman" w:hAnsi="Times New Roman" w:cs="Times New Roman"/>
          <w:sz w:val="24"/>
          <w:szCs w:val="24"/>
          <w:lang w:val="en-GB"/>
        </w:rPr>
        <w:t xml:space="preserve"> into</w:t>
      </w:r>
      <w:r w:rsidR="007F1B6D" w:rsidRPr="004F0C2F">
        <w:rPr>
          <w:rFonts w:ascii="Times New Roman" w:hAnsi="Times New Roman" w:cs="Times New Roman"/>
          <w:sz w:val="24"/>
          <w:szCs w:val="24"/>
          <w:lang w:val="en-GB"/>
        </w:rPr>
        <w:t xml:space="preserve"> the exposure-event relation</w:t>
      </w:r>
      <w:r w:rsidR="00AF163B" w:rsidRPr="004F0C2F">
        <w:rPr>
          <w:rFonts w:ascii="Times New Roman" w:hAnsi="Times New Roman" w:cs="Times New Roman"/>
          <w:sz w:val="24"/>
          <w:szCs w:val="24"/>
          <w:lang w:val="en-GB"/>
        </w:rPr>
        <w:t>ship</w:t>
      </w:r>
      <w:r w:rsidR="007F1B6D" w:rsidRPr="004F0C2F">
        <w:rPr>
          <w:rFonts w:ascii="Times New Roman" w:hAnsi="Times New Roman" w:cs="Times New Roman"/>
          <w:sz w:val="24"/>
          <w:szCs w:val="24"/>
          <w:lang w:val="en-GB"/>
        </w:rPr>
        <w:t>.</w:t>
      </w:r>
    </w:p>
    <w:p w14:paraId="14A0AD77" w14:textId="595C8DC2" w:rsidR="00307364" w:rsidRPr="004F0C2F" w:rsidRDefault="00307364" w:rsidP="00C827D8">
      <w:pPr>
        <w:spacing w:line="480" w:lineRule="auto"/>
        <w:jc w:val="left"/>
        <w:rPr>
          <w:rFonts w:ascii="Times New Roman" w:hAnsi="Times New Roman" w:cs="Times New Roman"/>
          <w:sz w:val="24"/>
          <w:szCs w:val="24"/>
          <w:lang w:val="en-GB"/>
        </w:rPr>
      </w:pPr>
      <w:r w:rsidRPr="004F0C2F">
        <w:rPr>
          <w:rFonts w:ascii="Times New Roman" w:hAnsi="Times New Roman" w:cs="Times New Roman" w:hint="eastAsia"/>
          <w:b/>
          <w:i/>
          <w:sz w:val="24"/>
          <w:szCs w:val="24"/>
          <w:lang w:val="en-GB"/>
        </w:rPr>
        <w:t>Step</w:t>
      </w:r>
      <w:r w:rsidR="000E008A" w:rsidRPr="004F0C2F">
        <w:rPr>
          <w:rFonts w:ascii="Times New Roman" w:hAnsi="Times New Roman" w:cs="Times New Roman"/>
          <w:b/>
          <w:i/>
          <w:sz w:val="24"/>
          <w:szCs w:val="24"/>
          <w:lang w:val="en-GB"/>
        </w:rPr>
        <w:t xml:space="preserve"> </w:t>
      </w:r>
      <w:r w:rsidRPr="004F0C2F">
        <w:rPr>
          <w:rFonts w:ascii="Times New Roman" w:hAnsi="Times New Roman" w:cs="Times New Roman" w:hint="eastAsia"/>
          <w:b/>
          <w:i/>
          <w:sz w:val="24"/>
          <w:szCs w:val="24"/>
          <w:lang w:val="en-GB"/>
        </w:rPr>
        <w:t>3:</w:t>
      </w:r>
      <w:r w:rsidRPr="004F0C2F">
        <w:rPr>
          <w:rFonts w:ascii="Times New Roman" w:hAnsi="Times New Roman" w:cs="Times New Roman"/>
          <w:sz w:val="24"/>
          <w:szCs w:val="24"/>
          <w:lang w:val="en-GB"/>
        </w:rPr>
        <w:t xml:space="preserve"> </w:t>
      </w:r>
      <w:r w:rsidR="00A95935" w:rsidRPr="004F0C2F">
        <w:rPr>
          <w:rFonts w:ascii="Times New Roman" w:hAnsi="Times New Roman" w:cs="Times New Roman"/>
          <w:sz w:val="24"/>
          <w:szCs w:val="24"/>
          <w:lang w:val="en-GB"/>
        </w:rPr>
        <w:t xml:space="preserve">Each candidate covariate </w:t>
      </w:r>
      <w:r w:rsidR="000E008A" w:rsidRPr="004F0C2F">
        <w:rPr>
          <w:rFonts w:ascii="Times New Roman" w:hAnsi="Times New Roman" w:cs="Times New Roman"/>
          <w:sz w:val="24"/>
          <w:szCs w:val="24"/>
          <w:lang w:val="en-GB"/>
        </w:rPr>
        <w:t xml:space="preserve">was ranked in descending order of the </w:t>
      </w:r>
      <w:r w:rsidR="00DF674A" w:rsidRPr="004F0C2F">
        <w:rPr>
          <w:rFonts w:ascii="Times New Roman" w:hAnsi="Times New Roman" w:cs="Times New Roman"/>
          <w:sz w:val="24"/>
          <w:szCs w:val="24"/>
          <w:lang w:val="en-GB"/>
        </w:rPr>
        <w:t xml:space="preserve">score </w:t>
      </w:r>
      <w:r w:rsidR="000E008A" w:rsidRPr="004F0C2F">
        <w:rPr>
          <w:rFonts w:ascii="Times New Roman" w:hAnsi="Times New Roman" w:cs="Times New Roman"/>
          <w:sz w:val="24"/>
          <w:szCs w:val="24"/>
          <w:lang w:val="en-GB"/>
        </w:rPr>
        <w:t>val</w:t>
      </w:r>
      <w:r w:rsidR="00C6241C" w:rsidRPr="004F0C2F">
        <w:rPr>
          <w:rFonts w:ascii="Times New Roman" w:hAnsi="Times New Roman" w:cs="Times New Roman" w:hint="eastAsia"/>
          <w:sz w:val="24"/>
          <w:szCs w:val="24"/>
          <w:lang w:val="en-GB"/>
        </w:rPr>
        <w:t>u</w:t>
      </w:r>
      <w:r w:rsidR="000E008A" w:rsidRPr="004F0C2F">
        <w:rPr>
          <w:rFonts w:ascii="Times New Roman" w:hAnsi="Times New Roman" w:cs="Times New Roman"/>
          <w:sz w:val="24"/>
          <w:szCs w:val="24"/>
          <w:lang w:val="en-GB"/>
        </w:rPr>
        <w:t>e</w:t>
      </w:r>
      <w:r w:rsidR="00DF674A" w:rsidRPr="004F0C2F">
        <w:rPr>
          <w:rFonts w:ascii="Times New Roman" w:hAnsi="Times New Roman" w:cs="Times New Roman"/>
          <w:sz w:val="24"/>
          <w:szCs w:val="24"/>
          <w:lang w:val="en-GB"/>
        </w:rPr>
        <w:t>s</w:t>
      </w:r>
      <w:r w:rsidR="000E008A" w:rsidRPr="004F0C2F">
        <w:rPr>
          <w:rFonts w:ascii="Times New Roman" w:hAnsi="Times New Roman" w:cs="Times New Roman"/>
          <w:sz w:val="24"/>
          <w:szCs w:val="24"/>
          <w:lang w:val="en-GB"/>
        </w:rPr>
        <w:t>.</w:t>
      </w:r>
    </w:p>
    <w:p w14:paraId="732B6C7E" w14:textId="77777777" w:rsidR="001D4F74" w:rsidRPr="004F0C2F" w:rsidRDefault="001D4F74" w:rsidP="00C827D8">
      <w:pPr>
        <w:spacing w:line="480" w:lineRule="auto"/>
        <w:jc w:val="left"/>
        <w:rPr>
          <w:rFonts w:ascii="Times New Roman" w:hAnsi="Times New Roman" w:cs="Times New Roman"/>
          <w:sz w:val="24"/>
          <w:szCs w:val="24"/>
          <w:lang w:val="en-GB"/>
        </w:rPr>
      </w:pPr>
    </w:p>
    <w:p w14:paraId="63EE1BCD" w14:textId="4EB73BF1" w:rsidR="001D4F74" w:rsidRPr="004F0C2F" w:rsidRDefault="001D4F74" w:rsidP="00C827D8">
      <w:pPr>
        <w:spacing w:line="480" w:lineRule="auto"/>
        <w:jc w:val="left"/>
        <w:rPr>
          <w:rFonts w:ascii="Times New Roman" w:hAnsi="Times New Roman" w:cs="Times New Roman"/>
          <w:b/>
          <w:sz w:val="24"/>
          <w:szCs w:val="24"/>
          <w:lang w:val="en-GB"/>
        </w:rPr>
      </w:pPr>
      <w:r w:rsidRPr="004F0C2F">
        <w:rPr>
          <w:rFonts w:ascii="Times New Roman" w:hAnsi="Times New Roman" w:cs="Times New Roman"/>
          <w:b/>
          <w:sz w:val="24"/>
          <w:szCs w:val="24"/>
          <w:lang w:val="en-GB"/>
        </w:rPr>
        <w:t>Logistic regression model</w:t>
      </w:r>
      <w:r w:rsidR="0071753B" w:rsidRPr="004F0C2F">
        <w:rPr>
          <w:rFonts w:ascii="Times New Roman" w:hAnsi="Times New Roman" w:cs="Times New Roman"/>
          <w:b/>
          <w:sz w:val="24"/>
          <w:szCs w:val="24"/>
          <w:lang w:val="en-GB"/>
        </w:rPr>
        <w:t>s</w:t>
      </w:r>
      <w:r w:rsidRPr="004F0C2F">
        <w:rPr>
          <w:rFonts w:ascii="Times New Roman" w:hAnsi="Times New Roman" w:cs="Times New Roman"/>
          <w:b/>
          <w:sz w:val="24"/>
          <w:szCs w:val="24"/>
          <w:lang w:val="en-GB"/>
        </w:rPr>
        <w:t xml:space="preserve"> for </w:t>
      </w:r>
      <w:r w:rsidR="001F46A7" w:rsidRPr="004F0C2F">
        <w:rPr>
          <w:rFonts w:ascii="Times New Roman" w:hAnsi="Times New Roman" w:cs="Times New Roman"/>
          <w:b/>
          <w:sz w:val="24"/>
          <w:szCs w:val="24"/>
          <w:lang w:val="en-GB"/>
        </w:rPr>
        <w:t>estimating the</w:t>
      </w:r>
      <w:r w:rsidRPr="004F0C2F">
        <w:rPr>
          <w:rFonts w:ascii="Times New Roman" w:hAnsi="Times New Roman" w:cs="Times New Roman"/>
          <w:b/>
          <w:sz w:val="24"/>
          <w:szCs w:val="24"/>
          <w:lang w:val="en-GB"/>
        </w:rPr>
        <w:t xml:space="preserve"> high-dimensional propensity score</w:t>
      </w:r>
    </w:p>
    <w:p w14:paraId="40AD7565" w14:textId="01783AD5" w:rsidR="001D4F74" w:rsidRPr="004F0C2F" w:rsidRDefault="00C86C5D" w:rsidP="00C827D8">
      <w:pPr>
        <w:spacing w:line="480" w:lineRule="auto"/>
        <w:jc w:val="left"/>
        <w:rPr>
          <w:rFonts w:ascii="Times New Roman" w:hAnsi="Times New Roman" w:cs="Times New Roman"/>
          <w:sz w:val="24"/>
          <w:szCs w:val="24"/>
        </w:rPr>
      </w:pPr>
      <w:r w:rsidRPr="004F0C2F">
        <w:rPr>
          <w:rFonts w:ascii="Times New Roman" w:hAnsi="Times New Roman" w:cs="Times New Roman" w:hint="eastAsia"/>
          <w:sz w:val="24"/>
          <w:szCs w:val="24"/>
          <w:lang w:val="en-GB"/>
        </w:rPr>
        <w:t xml:space="preserve">To </w:t>
      </w:r>
      <w:r w:rsidRPr="004F0C2F">
        <w:rPr>
          <w:rFonts w:ascii="Times New Roman" w:hAnsi="Times New Roman" w:cs="Times New Roman"/>
          <w:sz w:val="24"/>
          <w:szCs w:val="24"/>
          <w:lang w:val="en-GB"/>
        </w:rPr>
        <w:t>address</w:t>
      </w:r>
      <w:r w:rsidRPr="004F0C2F">
        <w:rPr>
          <w:rFonts w:ascii="Times New Roman" w:hAnsi="Times New Roman" w:cs="Times New Roman" w:hint="eastAsia"/>
          <w:sz w:val="24"/>
          <w:szCs w:val="24"/>
          <w:lang w:val="en-GB"/>
        </w:rPr>
        <w:t xml:space="preserve"> </w:t>
      </w:r>
      <w:r w:rsidRPr="004F0C2F">
        <w:rPr>
          <w:rFonts w:ascii="Times New Roman" w:hAnsi="Times New Roman" w:cs="Times New Roman"/>
          <w:sz w:val="24"/>
          <w:szCs w:val="24"/>
          <w:lang w:val="en-GB"/>
        </w:rPr>
        <w:t xml:space="preserve">the issues of separability in </w:t>
      </w:r>
      <w:r w:rsidR="00D17534" w:rsidRPr="004F0C2F">
        <w:rPr>
          <w:rFonts w:ascii="Times New Roman" w:hAnsi="Times New Roman" w:cs="Times New Roman"/>
          <w:sz w:val="24"/>
          <w:szCs w:val="24"/>
          <w:lang w:val="en-GB"/>
        </w:rPr>
        <w:t xml:space="preserve">a </w:t>
      </w:r>
      <w:r w:rsidRPr="004F0C2F">
        <w:rPr>
          <w:rFonts w:ascii="Times New Roman" w:hAnsi="Times New Roman" w:cs="Times New Roman"/>
          <w:sz w:val="24"/>
          <w:szCs w:val="24"/>
          <w:lang w:val="en-GB"/>
        </w:rPr>
        <w:t xml:space="preserve">model </w:t>
      </w:r>
      <w:r w:rsidR="00D17534" w:rsidRPr="004F0C2F">
        <w:rPr>
          <w:rFonts w:ascii="Times New Roman" w:hAnsi="Times New Roman" w:cs="Times New Roman"/>
          <w:sz w:val="24"/>
          <w:szCs w:val="24"/>
          <w:lang w:val="en-GB"/>
        </w:rPr>
        <w:t xml:space="preserve">that includes a </w:t>
      </w:r>
      <w:r w:rsidR="00C66029" w:rsidRPr="004F0C2F">
        <w:rPr>
          <w:rFonts w:ascii="Times New Roman" w:hAnsi="Times New Roman" w:cs="Times New Roman"/>
          <w:sz w:val="24"/>
          <w:szCs w:val="24"/>
          <w:lang w:val="en-GB"/>
        </w:rPr>
        <w:t>large number of covariate</w:t>
      </w:r>
      <w:r w:rsidR="00D17534" w:rsidRPr="004F0C2F">
        <w:rPr>
          <w:rFonts w:ascii="Times New Roman" w:hAnsi="Times New Roman" w:cs="Times New Roman"/>
          <w:sz w:val="24"/>
          <w:szCs w:val="24"/>
          <w:lang w:val="en-GB"/>
        </w:rPr>
        <w:t>s</w:t>
      </w:r>
      <w:r w:rsidR="00C66029" w:rsidRPr="004F0C2F">
        <w:rPr>
          <w:rFonts w:ascii="Times New Roman" w:hAnsi="Times New Roman" w:cs="Times New Roman"/>
          <w:sz w:val="24"/>
          <w:szCs w:val="24"/>
          <w:lang w:val="en-GB"/>
        </w:rPr>
        <w:t xml:space="preserve">, </w:t>
      </w:r>
      <w:r w:rsidR="00FF08CA" w:rsidRPr="004F0C2F">
        <w:rPr>
          <w:rFonts w:ascii="Times New Roman" w:hAnsi="Times New Roman" w:cs="Times New Roman"/>
          <w:sz w:val="24"/>
          <w:szCs w:val="24"/>
          <w:lang w:val="en-GB"/>
        </w:rPr>
        <w:t xml:space="preserve">we used </w:t>
      </w:r>
      <w:r w:rsidR="00C66029" w:rsidRPr="004F0C2F">
        <w:rPr>
          <w:rFonts w:ascii="Times New Roman" w:hAnsi="Times New Roman" w:cs="Times New Roman"/>
          <w:sz w:val="24"/>
          <w:szCs w:val="24"/>
          <w:lang w:val="en-GB"/>
        </w:rPr>
        <w:t>Firth’s penalized likelihood</w:t>
      </w:r>
      <w:r w:rsidR="007E6DDD" w:rsidRPr="004F0C2F">
        <w:rPr>
          <w:rFonts w:ascii="Times New Roman" w:hAnsi="Times New Roman" w:cs="Times New Roman"/>
          <w:sz w:val="24"/>
          <w:szCs w:val="24"/>
          <w:lang w:val="en-GB"/>
        </w:rPr>
        <w:t xml:space="preserve"> logistic</w:t>
      </w:r>
      <w:r w:rsidR="00321E54" w:rsidRPr="004F0C2F">
        <w:rPr>
          <w:rFonts w:ascii="Times New Roman" w:hAnsi="Times New Roman" w:cs="Times New Roman"/>
          <w:sz w:val="24"/>
          <w:szCs w:val="24"/>
          <w:lang w:val="en-GB"/>
        </w:rPr>
        <w:t xml:space="preserve"> regression</w:t>
      </w:r>
      <w:r w:rsidR="00C66029" w:rsidRPr="004F0C2F">
        <w:rPr>
          <w:rFonts w:ascii="Times New Roman" w:hAnsi="Times New Roman" w:cs="Times New Roman"/>
          <w:sz w:val="24"/>
          <w:szCs w:val="24"/>
          <w:lang w:val="en-GB"/>
        </w:rPr>
        <w:t xml:space="preserve"> model </w:t>
      </w:r>
      <w:r w:rsidR="000149C3" w:rsidRPr="004F0C2F">
        <w:rPr>
          <w:rFonts w:ascii="Times New Roman" w:hAnsi="Times New Roman" w:cs="Times New Roman"/>
          <w:sz w:val="24"/>
          <w:szCs w:val="24"/>
          <w:lang w:val="en-GB"/>
        </w:rPr>
        <w:t>to estimate</w:t>
      </w:r>
      <w:r w:rsidR="00C66029" w:rsidRPr="004F0C2F">
        <w:rPr>
          <w:rFonts w:ascii="Times New Roman" w:hAnsi="Times New Roman" w:cs="Times New Roman"/>
          <w:sz w:val="24"/>
          <w:szCs w:val="24"/>
          <w:lang w:val="en-GB"/>
        </w:rPr>
        <w:t xml:space="preserve"> the high</w:t>
      </w:r>
      <w:r w:rsidR="00243469" w:rsidRPr="004F0C2F">
        <w:rPr>
          <w:rFonts w:ascii="Times New Roman" w:hAnsi="Times New Roman" w:cs="Times New Roman"/>
          <w:sz w:val="24"/>
          <w:szCs w:val="24"/>
          <w:lang w:val="en-GB"/>
        </w:rPr>
        <w:t>-</w:t>
      </w:r>
      <w:r w:rsidR="00C66029" w:rsidRPr="004F0C2F">
        <w:rPr>
          <w:rFonts w:ascii="Times New Roman" w:hAnsi="Times New Roman" w:cs="Times New Roman"/>
          <w:sz w:val="24"/>
          <w:szCs w:val="24"/>
          <w:lang w:val="en-GB"/>
        </w:rPr>
        <w:t>dimensional</w:t>
      </w:r>
      <w:r w:rsidR="000149C3" w:rsidRPr="004F0C2F">
        <w:rPr>
          <w:rFonts w:ascii="Times New Roman" w:hAnsi="Times New Roman" w:cs="Times New Roman"/>
          <w:sz w:val="24"/>
          <w:szCs w:val="24"/>
          <w:lang w:val="en-GB"/>
        </w:rPr>
        <w:t xml:space="preserve"> propensity</w:t>
      </w:r>
      <w:r w:rsidR="00C66029" w:rsidRPr="004F0C2F">
        <w:rPr>
          <w:rFonts w:ascii="Times New Roman" w:hAnsi="Times New Roman" w:cs="Times New Roman"/>
          <w:sz w:val="24"/>
          <w:szCs w:val="24"/>
          <w:lang w:val="en-GB"/>
        </w:rPr>
        <w:t xml:space="preserve"> score.</w:t>
      </w:r>
    </w:p>
    <w:p w14:paraId="597D6913" w14:textId="77777777" w:rsidR="00724091" w:rsidRPr="004F0C2F" w:rsidRDefault="00724091" w:rsidP="00225F99">
      <w:pPr>
        <w:pStyle w:val="MTDisplayEquation"/>
        <w:spacing w:line="480" w:lineRule="auto"/>
        <w:jc w:val="left"/>
        <w:rPr>
          <w:b/>
        </w:rPr>
      </w:pPr>
      <w:r w:rsidRPr="004F0C2F">
        <w:rPr>
          <w:szCs w:val="24"/>
        </w:rPr>
        <w:tab/>
      </w:r>
      <w:r w:rsidRPr="004F0C2F">
        <w:t xml:space="preserve"> </w:t>
      </w:r>
      <w:r w:rsidRPr="004F0C2F">
        <w:rPr>
          <w:b/>
        </w:rPr>
        <w:br w:type="page"/>
      </w:r>
    </w:p>
    <w:p w14:paraId="3B34DF62" w14:textId="491DC2BA" w:rsidR="00724091" w:rsidRPr="004F0C2F" w:rsidRDefault="000D5A27" w:rsidP="00F34B7F">
      <w:pPr>
        <w:pStyle w:val="1"/>
        <w:spacing w:line="480" w:lineRule="auto"/>
        <w:rPr>
          <w:rFonts w:ascii="Times New Roman" w:hAnsi="Times New Roman" w:cs="Times New Roman"/>
          <w:b/>
        </w:rPr>
      </w:pPr>
      <w:r w:rsidRPr="004F0C2F">
        <w:rPr>
          <w:rFonts w:ascii="Times New Roman" w:hAnsi="Times New Roman" w:cs="Times New Roman"/>
          <w:b/>
        </w:rPr>
        <w:lastRenderedPageBreak/>
        <w:t xml:space="preserve">Appendix </w:t>
      </w:r>
      <w:r w:rsidR="00CD062F" w:rsidRPr="004F0C2F">
        <w:rPr>
          <w:rFonts w:ascii="Times New Roman" w:hAnsi="Times New Roman" w:cs="Times New Roman"/>
          <w:b/>
        </w:rPr>
        <w:t>6</w:t>
      </w:r>
      <w:r w:rsidR="00724091" w:rsidRPr="004F0C2F">
        <w:rPr>
          <w:rFonts w:ascii="Times New Roman" w:hAnsi="Times New Roman" w:cs="Times New Roman"/>
          <w:b/>
        </w:rPr>
        <w:t xml:space="preserve">. </w:t>
      </w:r>
      <w:r w:rsidR="00FD2A7C" w:rsidRPr="004F0C2F">
        <w:rPr>
          <w:rFonts w:ascii="Times New Roman" w:hAnsi="Times New Roman" w:cs="Times New Roman"/>
          <w:b/>
        </w:rPr>
        <w:t>Stabilized inverse probability of treatment weight</w:t>
      </w:r>
    </w:p>
    <w:p w14:paraId="766A9880" w14:textId="77067CA5" w:rsidR="00FD2A7C" w:rsidRPr="004F0C2F" w:rsidRDefault="00333084" w:rsidP="00F34B7F">
      <w:pPr>
        <w:spacing w:line="480" w:lineRule="auto"/>
        <w:rPr>
          <w:rFonts w:ascii="Times New Roman" w:hAnsi="Times New Roman" w:cs="Times New Roman"/>
          <w:sz w:val="24"/>
          <w:szCs w:val="24"/>
        </w:rPr>
      </w:pPr>
      <w:r w:rsidRPr="004F0C2F">
        <w:rPr>
          <w:rFonts w:ascii="Times New Roman" w:hAnsi="Times New Roman" w:cs="Times New Roman"/>
          <w:sz w:val="24"/>
        </w:rPr>
        <w:t xml:space="preserve">Let </w:t>
      </w:r>
      <w:r w:rsidRPr="004F0C2F">
        <w:rPr>
          <w:rFonts w:ascii="Times New Roman" w:hAnsi="Times New Roman" w:cs="Times New Roman"/>
          <w:i/>
          <w:sz w:val="24"/>
        </w:rPr>
        <w:t>A</w:t>
      </w:r>
      <w:r w:rsidRPr="004F0C2F">
        <w:rPr>
          <w:rFonts w:ascii="Times New Roman" w:hAnsi="Times New Roman" w:cs="Times New Roman"/>
          <w:sz w:val="24"/>
        </w:rPr>
        <w:t xml:space="preserve"> and </w:t>
      </w:r>
      <w:r w:rsidRPr="004F0C2F">
        <w:rPr>
          <w:rFonts w:ascii="Times New Roman" w:hAnsi="Times New Roman" w:cs="Times New Roman"/>
          <w:i/>
          <w:sz w:val="24"/>
        </w:rPr>
        <w:t>L</w:t>
      </w:r>
      <w:r w:rsidRPr="004F0C2F">
        <w:rPr>
          <w:rFonts w:ascii="Times New Roman" w:hAnsi="Times New Roman" w:cs="Times New Roman"/>
          <w:sz w:val="24"/>
        </w:rPr>
        <w:t xml:space="preserve"> denote an exposure </w:t>
      </w:r>
      <w:r w:rsidRPr="004F0C2F">
        <w:rPr>
          <w:rFonts w:ascii="Times New Roman" w:hAnsi="Times New Roman" w:cs="Times New Roman"/>
          <w:sz w:val="24"/>
          <w:szCs w:val="24"/>
        </w:rPr>
        <w:t>(</w:t>
      </w:r>
      <w:r w:rsidRPr="004F0C2F">
        <w:rPr>
          <w:rFonts w:ascii="Times New Roman" w:hAnsi="Times New Roman" w:cs="Times New Roman"/>
          <w:i/>
          <w:sz w:val="24"/>
          <w:szCs w:val="24"/>
        </w:rPr>
        <w:t>A</w:t>
      </w:r>
      <w:r w:rsidRPr="004F0C2F">
        <w:rPr>
          <w:rFonts w:ascii="Times New Roman" w:hAnsi="Times New Roman" w:cs="Times New Roman"/>
          <w:sz w:val="24"/>
          <w:szCs w:val="24"/>
        </w:rPr>
        <w:t xml:space="preserve"> = 1 if exposed, 0 if unexposed) and the </w:t>
      </w:r>
      <w:r w:rsidR="007A2BF4" w:rsidRPr="004F0C2F">
        <w:rPr>
          <w:rFonts w:ascii="Times New Roman" w:hAnsi="Times New Roman" w:cs="Times New Roman"/>
          <w:sz w:val="24"/>
          <w:szCs w:val="24"/>
        </w:rPr>
        <w:t xml:space="preserve">set of </w:t>
      </w:r>
      <w:r w:rsidRPr="004F0C2F">
        <w:rPr>
          <w:rFonts w:ascii="Times New Roman" w:hAnsi="Times New Roman" w:cs="Times New Roman"/>
          <w:sz w:val="24"/>
          <w:szCs w:val="24"/>
        </w:rPr>
        <w:t>baseline covariates, respectively; we observe (</w:t>
      </w:r>
      <w:r w:rsidRPr="004F0C2F">
        <w:rPr>
          <w:rFonts w:ascii="Times New Roman" w:hAnsi="Times New Roman" w:cs="Times New Roman"/>
          <w:i/>
          <w:sz w:val="24"/>
          <w:szCs w:val="24"/>
        </w:rPr>
        <w:t>A</w:t>
      </w:r>
      <w:r w:rsidRPr="004F0C2F">
        <w:rPr>
          <w:rFonts w:ascii="Times New Roman" w:hAnsi="Times New Roman" w:cs="Times New Roman"/>
          <w:i/>
          <w:sz w:val="24"/>
          <w:szCs w:val="24"/>
          <w:vertAlign w:val="subscript"/>
        </w:rPr>
        <w:t>i</w:t>
      </w:r>
      <w:r w:rsidRPr="004F0C2F">
        <w:rPr>
          <w:rFonts w:ascii="Times New Roman" w:hAnsi="Times New Roman" w:cs="Times New Roman"/>
          <w:sz w:val="24"/>
          <w:szCs w:val="24"/>
        </w:rPr>
        <w:t xml:space="preserve">, </w:t>
      </w:r>
      <w:r w:rsidRPr="004F0C2F">
        <w:rPr>
          <w:rFonts w:ascii="Times New Roman" w:hAnsi="Times New Roman" w:cs="Times New Roman"/>
          <w:i/>
          <w:sz w:val="24"/>
          <w:szCs w:val="24"/>
        </w:rPr>
        <w:t>L</w:t>
      </w:r>
      <w:r w:rsidRPr="004F0C2F">
        <w:rPr>
          <w:rFonts w:ascii="Times New Roman" w:hAnsi="Times New Roman" w:cs="Times New Roman"/>
          <w:i/>
          <w:sz w:val="24"/>
          <w:szCs w:val="24"/>
          <w:vertAlign w:val="subscript"/>
        </w:rPr>
        <w:t>i</w:t>
      </w:r>
      <w:r w:rsidRPr="004F0C2F">
        <w:rPr>
          <w:rFonts w:ascii="Times New Roman" w:hAnsi="Times New Roman" w:cs="Times New Roman"/>
          <w:sz w:val="24"/>
          <w:szCs w:val="24"/>
        </w:rPr>
        <w:t xml:space="preserve">) for each patient </w:t>
      </w:r>
      <w:proofErr w:type="spellStart"/>
      <w:r w:rsidRPr="004F0C2F">
        <w:rPr>
          <w:rFonts w:ascii="Times New Roman" w:hAnsi="Times New Roman" w:cs="Times New Roman"/>
          <w:i/>
          <w:sz w:val="24"/>
          <w:szCs w:val="24"/>
        </w:rPr>
        <w:t>i</w:t>
      </w:r>
      <w:proofErr w:type="spellEnd"/>
      <w:r w:rsidRPr="004F0C2F">
        <w:rPr>
          <w:rFonts w:ascii="Times New Roman" w:hAnsi="Times New Roman" w:cs="Times New Roman"/>
          <w:sz w:val="24"/>
          <w:szCs w:val="24"/>
        </w:rPr>
        <w:t xml:space="preserve">. </w:t>
      </w:r>
      <w:r w:rsidR="00F55165" w:rsidRPr="004F0C2F">
        <w:rPr>
          <w:rFonts w:ascii="Times New Roman" w:hAnsi="Times New Roman" w:cs="Times New Roman"/>
          <w:sz w:val="24"/>
        </w:rPr>
        <w:t xml:space="preserve">The stabilized </w:t>
      </w:r>
      <w:r w:rsidR="00FD2A7C" w:rsidRPr="004F0C2F">
        <w:rPr>
          <w:rFonts w:ascii="Times New Roman" w:hAnsi="Times New Roman" w:cs="Times New Roman"/>
          <w:sz w:val="24"/>
        </w:rPr>
        <w:t>inverse probability of treatment we</w:t>
      </w:r>
      <w:r w:rsidR="00FD2A7C" w:rsidRPr="004F0C2F">
        <w:rPr>
          <w:rFonts w:ascii="Times New Roman" w:hAnsi="Times New Roman" w:cs="Times New Roman"/>
          <w:sz w:val="24"/>
          <w:szCs w:val="24"/>
        </w:rPr>
        <w:t xml:space="preserve">ight </w:t>
      </w:r>
      <w:proofErr w:type="spellStart"/>
      <w:r w:rsidR="00BF5BB2" w:rsidRPr="004F0C2F">
        <w:rPr>
          <w:rFonts w:ascii="Times New Roman" w:hAnsi="Times New Roman"/>
          <w:bCs/>
          <w:i/>
          <w:sz w:val="24"/>
          <w:szCs w:val="24"/>
          <w:lang w:val="en-GB"/>
        </w:rPr>
        <w:t>SW</w:t>
      </w:r>
      <w:r w:rsidRPr="004F0C2F">
        <w:rPr>
          <w:rFonts w:ascii="Times New Roman" w:hAnsi="Times New Roman"/>
          <w:bCs/>
          <w:i/>
          <w:sz w:val="24"/>
          <w:szCs w:val="24"/>
          <w:vertAlign w:val="subscript"/>
          <w:lang w:val="en-GB"/>
        </w:rPr>
        <w:t>i</w:t>
      </w:r>
      <w:r w:rsidR="00DA4C4F" w:rsidRPr="004F0C2F">
        <w:rPr>
          <w:rFonts w:ascii="Times New Roman" w:hAnsi="Times New Roman"/>
          <w:bCs/>
          <w:i/>
          <w:sz w:val="24"/>
          <w:szCs w:val="24"/>
          <w:vertAlign w:val="superscript"/>
          <w:lang w:val="en-GB"/>
        </w:rPr>
        <w:t>A</w:t>
      </w:r>
      <w:proofErr w:type="spellEnd"/>
      <w:r w:rsidR="00BF5BB2" w:rsidRPr="004F0C2F">
        <w:rPr>
          <w:rFonts w:ascii="Times New Roman" w:hAnsi="Times New Roman" w:cs="Times New Roman"/>
          <w:sz w:val="24"/>
          <w:szCs w:val="24"/>
        </w:rPr>
        <w:t xml:space="preserve"> </w:t>
      </w:r>
      <w:r w:rsidRPr="004F0C2F">
        <w:rPr>
          <w:rFonts w:ascii="Times New Roman" w:hAnsi="Times New Roman" w:cs="Times New Roman"/>
          <w:sz w:val="24"/>
          <w:szCs w:val="24"/>
        </w:rPr>
        <w:t>for a</w:t>
      </w:r>
      <w:r w:rsidR="007A2BF4" w:rsidRPr="004F0C2F">
        <w:rPr>
          <w:rFonts w:ascii="Times New Roman" w:hAnsi="Times New Roman" w:cs="Times New Roman"/>
          <w:sz w:val="24"/>
          <w:szCs w:val="24"/>
        </w:rPr>
        <w:t xml:space="preserve"> patient </w:t>
      </w:r>
      <w:proofErr w:type="spellStart"/>
      <w:r w:rsidRPr="004F0C2F">
        <w:rPr>
          <w:rFonts w:ascii="Times New Roman" w:hAnsi="Times New Roman" w:cs="Times New Roman"/>
          <w:i/>
          <w:sz w:val="24"/>
          <w:szCs w:val="24"/>
        </w:rPr>
        <w:t>i</w:t>
      </w:r>
      <w:proofErr w:type="spellEnd"/>
      <w:r w:rsidRPr="004F0C2F">
        <w:rPr>
          <w:rFonts w:ascii="Times New Roman" w:hAnsi="Times New Roman" w:cs="Times New Roman"/>
          <w:sz w:val="24"/>
          <w:szCs w:val="24"/>
        </w:rPr>
        <w:t xml:space="preserve"> </w:t>
      </w:r>
      <w:r w:rsidR="00F55165" w:rsidRPr="004F0C2F">
        <w:rPr>
          <w:rFonts w:ascii="Times New Roman" w:hAnsi="Times New Roman" w:cs="Times New Roman"/>
          <w:sz w:val="24"/>
          <w:szCs w:val="24"/>
        </w:rPr>
        <w:t xml:space="preserve">was </w:t>
      </w:r>
      <w:r w:rsidR="00FD2A7C" w:rsidRPr="004F0C2F">
        <w:rPr>
          <w:rFonts w:ascii="Times New Roman" w:hAnsi="Times New Roman" w:cs="Times New Roman"/>
          <w:sz w:val="24"/>
          <w:szCs w:val="24"/>
        </w:rPr>
        <w:t xml:space="preserve">defined </w:t>
      </w:r>
      <w:r w:rsidR="00BF5BB2" w:rsidRPr="004F0C2F">
        <w:rPr>
          <w:rFonts w:ascii="Times New Roman" w:hAnsi="Times New Roman" w:cs="Times New Roman"/>
          <w:sz w:val="24"/>
          <w:szCs w:val="24"/>
        </w:rPr>
        <w:t>as</w:t>
      </w:r>
    </w:p>
    <w:p w14:paraId="43FCC808" w14:textId="4EE8C817" w:rsidR="00333084" w:rsidRPr="004F0C2F" w:rsidRDefault="00BF5BB2" w:rsidP="00F34B7F">
      <w:pPr>
        <w:spacing w:line="480" w:lineRule="auto"/>
        <w:jc w:val="center"/>
        <w:rPr>
          <w:sz w:val="24"/>
          <w:szCs w:val="24"/>
        </w:rPr>
      </w:pPr>
      <w:r w:rsidRPr="004F0C2F">
        <w:rPr>
          <w:rFonts w:ascii="Times New Roman" w:hAnsi="Times New Roman" w:cs="Times New Roman"/>
          <w:position w:val="-4"/>
          <w:sz w:val="24"/>
          <w:szCs w:val="24"/>
        </w:rPr>
        <w:object w:dxaOrig="180" w:dyaOrig="279" w14:anchorId="7EFB01EC">
          <v:shape id="_x0000_i1027" type="#_x0000_t75" style="width:9pt;height:14.25pt" o:ole="">
            <v:imagedata r:id="rId11" o:title=""/>
          </v:shape>
          <o:OLEObject Type="Embed" ProgID="Equation.DSMT4" ShapeID="_x0000_i1027" DrawAspect="Content" ObjectID="_1598432276" r:id="rId12"/>
        </w:object>
      </w:r>
      <w:r w:rsidR="00363F66" w:rsidRPr="004F0C2F">
        <w:rPr>
          <w:position w:val="-32"/>
          <w:sz w:val="24"/>
          <w:szCs w:val="24"/>
        </w:rPr>
        <w:object w:dxaOrig="1920" w:dyaOrig="700" w14:anchorId="663B0824">
          <v:shape id="_x0000_i1028" type="#_x0000_t75" style="width:96pt;height:35.25pt" o:ole="">
            <v:imagedata r:id="rId13" o:title=""/>
          </v:shape>
          <o:OLEObject Type="Embed" ProgID="Equation.3" ShapeID="_x0000_i1028" DrawAspect="Content" ObjectID="_1598432277" r:id="rId14"/>
        </w:object>
      </w:r>
      <w:r w:rsidR="007A2BF4" w:rsidRPr="004F0C2F">
        <w:rPr>
          <w:sz w:val="24"/>
          <w:szCs w:val="24"/>
        </w:rPr>
        <w:t>,</w:t>
      </w:r>
    </w:p>
    <w:p w14:paraId="50C3D711" w14:textId="3B3DB201" w:rsidR="00336F5C" w:rsidRPr="004F0C2F" w:rsidRDefault="00BF216B" w:rsidP="00F861FD">
      <w:pPr>
        <w:spacing w:line="480" w:lineRule="auto"/>
        <w:jc w:val="left"/>
        <w:rPr>
          <w:rFonts w:ascii="Times New Roman" w:hAnsi="Times New Roman" w:cs="Times New Roman"/>
          <w:sz w:val="24"/>
          <w:szCs w:val="24"/>
        </w:rPr>
      </w:pPr>
      <w:r w:rsidRPr="004F0C2F">
        <w:rPr>
          <w:rFonts w:ascii="Times New Roman" w:hAnsi="Times New Roman" w:cs="Times New Roman"/>
          <w:sz w:val="24"/>
          <w:szCs w:val="24"/>
        </w:rPr>
        <w:t>w</w:t>
      </w:r>
      <w:r w:rsidR="00BF5BB2" w:rsidRPr="004F0C2F">
        <w:rPr>
          <w:rFonts w:ascii="Times New Roman" w:hAnsi="Times New Roman" w:cs="Times New Roman"/>
          <w:sz w:val="24"/>
          <w:szCs w:val="24"/>
        </w:rPr>
        <w:t>here</w:t>
      </w:r>
      <w:r w:rsidR="00BF5BB2" w:rsidRPr="004F0C2F">
        <w:rPr>
          <w:rFonts w:ascii="Times New Roman" w:hAnsi="Times New Roman" w:cs="Times New Roman"/>
          <w:i/>
          <w:sz w:val="24"/>
          <w:szCs w:val="24"/>
        </w:rPr>
        <w:t xml:space="preserve"> </w:t>
      </w:r>
      <w:proofErr w:type="spellStart"/>
      <w:r w:rsidR="00C4215B" w:rsidRPr="004F0C2F">
        <w:rPr>
          <w:rFonts w:ascii="Times New Roman" w:hAnsi="Times New Roman" w:cs="Times New Roman"/>
          <w:i/>
          <w:sz w:val="24"/>
          <w:szCs w:val="24"/>
        </w:rPr>
        <w:t>f</w:t>
      </w:r>
      <w:r w:rsidR="00333084" w:rsidRPr="004F0C2F">
        <w:rPr>
          <w:rFonts w:ascii="Times New Roman" w:hAnsi="Times New Roman" w:cs="Times New Roman"/>
          <w:i/>
          <w:sz w:val="24"/>
          <w:szCs w:val="24"/>
          <w:vertAlign w:val="subscript"/>
        </w:rPr>
        <w:t>A</w:t>
      </w:r>
      <w:proofErr w:type="spellEnd"/>
      <w:r w:rsidR="00333084" w:rsidRPr="004F0C2F">
        <w:rPr>
          <w:rFonts w:ascii="Times New Roman" w:hAnsi="Times New Roman" w:cs="Times New Roman"/>
          <w:sz w:val="24"/>
          <w:szCs w:val="24"/>
        </w:rPr>
        <w:t>(</w:t>
      </w:r>
      <w:r w:rsidR="00333084" w:rsidRPr="004F0C2F">
        <w:rPr>
          <w:rFonts w:ascii="Times New Roman" w:hAnsi="Times New Roman" w:cs="Times New Roman"/>
          <w:i/>
          <w:sz w:val="24"/>
          <w:szCs w:val="24"/>
        </w:rPr>
        <w:t>a</w:t>
      </w:r>
      <w:r w:rsidR="00333084" w:rsidRPr="004F0C2F">
        <w:rPr>
          <w:rFonts w:ascii="Times New Roman" w:hAnsi="Times New Roman" w:cs="Times New Roman"/>
          <w:sz w:val="24"/>
          <w:szCs w:val="24"/>
        </w:rPr>
        <w:t>)</w:t>
      </w:r>
      <w:r w:rsidR="00C4215B" w:rsidRPr="004F0C2F">
        <w:rPr>
          <w:rFonts w:ascii="Times New Roman" w:hAnsi="Times New Roman" w:cs="Times New Roman"/>
          <w:sz w:val="24"/>
          <w:szCs w:val="24"/>
        </w:rPr>
        <w:t xml:space="preserve"> is </w:t>
      </w:r>
      <w:r w:rsidR="00333084" w:rsidRPr="004F0C2F">
        <w:rPr>
          <w:rFonts w:ascii="Times New Roman" w:hAnsi="Times New Roman" w:cs="Times New Roman"/>
          <w:sz w:val="24"/>
          <w:szCs w:val="24"/>
        </w:rPr>
        <w:t xml:space="preserve">probability </w:t>
      </w:r>
      <w:r w:rsidR="00C4215B" w:rsidRPr="004F0C2F">
        <w:rPr>
          <w:rFonts w:ascii="Times New Roman" w:hAnsi="Times New Roman" w:cs="Times New Roman"/>
          <w:sz w:val="24"/>
          <w:szCs w:val="24"/>
        </w:rPr>
        <w:t xml:space="preserve">of </w:t>
      </w:r>
      <w:r w:rsidR="00C4215B" w:rsidRPr="004F0C2F">
        <w:rPr>
          <w:rFonts w:ascii="Times New Roman" w:hAnsi="Times New Roman" w:cs="Times New Roman"/>
          <w:i/>
          <w:sz w:val="24"/>
          <w:szCs w:val="24"/>
        </w:rPr>
        <w:t>A</w:t>
      </w:r>
      <w:r w:rsidR="00333084" w:rsidRPr="004F0C2F">
        <w:rPr>
          <w:rFonts w:ascii="Times New Roman" w:hAnsi="Times New Roman" w:cs="Times New Roman"/>
          <w:sz w:val="24"/>
          <w:szCs w:val="24"/>
        </w:rPr>
        <w:t xml:space="preserve"> taking a value </w:t>
      </w:r>
      <w:r w:rsidR="00333084" w:rsidRPr="004F0C2F">
        <w:rPr>
          <w:rFonts w:ascii="Times New Roman" w:hAnsi="Times New Roman" w:cs="Times New Roman"/>
          <w:i/>
          <w:sz w:val="24"/>
          <w:szCs w:val="24"/>
        </w:rPr>
        <w:t>a</w:t>
      </w:r>
      <w:r w:rsidR="00333084" w:rsidRPr="004F0C2F">
        <w:rPr>
          <w:rFonts w:ascii="Times New Roman" w:hAnsi="Times New Roman" w:cs="Times New Roman"/>
          <w:sz w:val="24"/>
          <w:szCs w:val="24"/>
        </w:rPr>
        <w:t xml:space="preserve"> and</w:t>
      </w:r>
      <w:r w:rsidR="00C4215B" w:rsidRPr="004F0C2F">
        <w:rPr>
          <w:rFonts w:ascii="Times New Roman" w:hAnsi="Times New Roman" w:cs="Times New Roman"/>
          <w:sz w:val="24"/>
          <w:szCs w:val="24"/>
        </w:rPr>
        <w:t xml:space="preserve"> </w:t>
      </w:r>
      <w:proofErr w:type="spellStart"/>
      <w:r w:rsidR="00C4215B" w:rsidRPr="004F0C2F">
        <w:rPr>
          <w:rFonts w:ascii="Times New Roman" w:hAnsi="Times New Roman" w:cs="Times New Roman"/>
          <w:i/>
          <w:sz w:val="24"/>
          <w:szCs w:val="24"/>
        </w:rPr>
        <w:t>f</w:t>
      </w:r>
      <w:r w:rsidR="00333084" w:rsidRPr="004F0C2F">
        <w:rPr>
          <w:rFonts w:ascii="Times New Roman" w:hAnsi="Times New Roman" w:cs="Times New Roman"/>
          <w:i/>
          <w:sz w:val="24"/>
          <w:szCs w:val="24"/>
          <w:vertAlign w:val="subscript"/>
        </w:rPr>
        <w:t>A|L</w:t>
      </w:r>
      <w:proofErr w:type="spellEnd"/>
      <w:r w:rsidR="00333084" w:rsidRPr="004F0C2F">
        <w:rPr>
          <w:rFonts w:ascii="Times New Roman" w:hAnsi="Times New Roman" w:cs="Times New Roman"/>
          <w:sz w:val="24"/>
          <w:szCs w:val="24"/>
        </w:rPr>
        <w:t>(</w:t>
      </w:r>
      <w:proofErr w:type="spellStart"/>
      <w:r w:rsidR="00333084" w:rsidRPr="004F0C2F">
        <w:rPr>
          <w:rFonts w:ascii="Times New Roman" w:hAnsi="Times New Roman" w:cs="Times New Roman"/>
          <w:i/>
          <w:sz w:val="24"/>
          <w:szCs w:val="24"/>
        </w:rPr>
        <w:t>a</w:t>
      </w:r>
      <w:r w:rsidR="00C4215B" w:rsidRPr="004F0C2F">
        <w:rPr>
          <w:rFonts w:ascii="Times New Roman" w:hAnsi="Times New Roman" w:cs="Times New Roman"/>
          <w:i/>
          <w:sz w:val="24"/>
          <w:szCs w:val="24"/>
        </w:rPr>
        <w:t>|</w:t>
      </w:r>
      <w:r w:rsidR="00333084" w:rsidRPr="004F0C2F">
        <w:rPr>
          <w:rFonts w:ascii="Times New Roman" w:hAnsi="Times New Roman" w:cs="Times New Roman"/>
          <w:i/>
          <w:sz w:val="24"/>
          <w:szCs w:val="24"/>
        </w:rPr>
        <w:t>l</w:t>
      </w:r>
      <w:proofErr w:type="spellEnd"/>
      <w:r w:rsidR="00333084" w:rsidRPr="004F0C2F">
        <w:rPr>
          <w:rFonts w:ascii="Times New Roman" w:hAnsi="Times New Roman" w:cs="Times New Roman"/>
          <w:sz w:val="24"/>
          <w:szCs w:val="24"/>
        </w:rPr>
        <w:t>)</w:t>
      </w:r>
      <w:r w:rsidR="00C4215B" w:rsidRPr="004F0C2F">
        <w:rPr>
          <w:rFonts w:ascii="Times New Roman" w:hAnsi="Times New Roman" w:cs="Times New Roman"/>
          <w:sz w:val="24"/>
          <w:szCs w:val="24"/>
        </w:rPr>
        <w:t xml:space="preserve"> is conditional </w:t>
      </w:r>
      <w:r w:rsidR="00333084" w:rsidRPr="004F0C2F">
        <w:rPr>
          <w:rFonts w:ascii="Times New Roman" w:hAnsi="Times New Roman" w:cs="Times New Roman"/>
          <w:sz w:val="24"/>
          <w:szCs w:val="24"/>
        </w:rPr>
        <w:t xml:space="preserve">probability </w:t>
      </w:r>
      <w:r w:rsidR="00C4215B" w:rsidRPr="004F0C2F">
        <w:rPr>
          <w:rFonts w:ascii="Times New Roman" w:hAnsi="Times New Roman" w:cs="Times New Roman"/>
          <w:sz w:val="24"/>
          <w:szCs w:val="24"/>
        </w:rPr>
        <w:t xml:space="preserve">of </w:t>
      </w:r>
      <w:r w:rsidR="00C4215B" w:rsidRPr="004F0C2F">
        <w:rPr>
          <w:rFonts w:ascii="Times New Roman" w:hAnsi="Times New Roman" w:cs="Times New Roman"/>
          <w:i/>
          <w:sz w:val="24"/>
          <w:szCs w:val="24"/>
        </w:rPr>
        <w:t>A</w:t>
      </w:r>
      <w:r w:rsidR="00333084" w:rsidRPr="004F0C2F">
        <w:rPr>
          <w:rFonts w:ascii="Times New Roman" w:hAnsi="Times New Roman" w:cs="Times New Roman"/>
          <w:sz w:val="24"/>
          <w:szCs w:val="24"/>
        </w:rPr>
        <w:t xml:space="preserve"> = </w:t>
      </w:r>
      <w:r w:rsidR="00333084" w:rsidRPr="004F0C2F">
        <w:rPr>
          <w:rFonts w:ascii="Times New Roman" w:hAnsi="Times New Roman" w:cs="Times New Roman"/>
          <w:i/>
          <w:sz w:val="24"/>
          <w:szCs w:val="24"/>
        </w:rPr>
        <w:t>a</w:t>
      </w:r>
      <w:r w:rsidR="00333084" w:rsidRPr="004F0C2F">
        <w:rPr>
          <w:rFonts w:ascii="Times New Roman" w:hAnsi="Times New Roman" w:cs="Times New Roman"/>
          <w:sz w:val="24"/>
          <w:szCs w:val="24"/>
        </w:rPr>
        <w:t xml:space="preserve"> given </w:t>
      </w:r>
      <w:r w:rsidR="00333084" w:rsidRPr="004F0C2F">
        <w:rPr>
          <w:rFonts w:ascii="Times New Roman" w:hAnsi="Times New Roman" w:cs="Times New Roman"/>
          <w:i/>
          <w:sz w:val="24"/>
          <w:szCs w:val="24"/>
        </w:rPr>
        <w:t xml:space="preserve">L </w:t>
      </w:r>
      <w:r w:rsidR="00333084" w:rsidRPr="004F0C2F">
        <w:rPr>
          <w:rFonts w:ascii="Times New Roman" w:hAnsi="Times New Roman" w:cs="Times New Roman"/>
          <w:sz w:val="24"/>
          <w:szCs w:val="24"/>
        </w:rPr>
        <w:t xml:space="preserve">= </w:t>
      </w:r>
      <w:r w:rsidR="00333084" w:rsidRPr="004F0C2F">
        <w:rPr>
          <w:rFonts w:ascii="Times New Roman" w:hAnsi="Times New Roman" w:cs="Times New Roman"/>
          <w:i/>
          <w:sz w:val="24"/>
          <w:szCs w:val="24"/>
        </w:rPr>
        <w:t>l</w:t>
      </w:r>
      <w:r w:rsidR="00547DC5" w:rsidRPr="004F0C2F">
        <w:rPr>
          <w:rFonts w:ascii="Times New Roman" w:hAnsi="Times New Roman" w:cs="Times New Roman"/>
          <w:sz w:val="24"/>
          <w:szCs w:val="24"/>
        </w:rPr>
        <w:t xml:space="preserve"> </w:t>
      </w:r>
      <w:r w:rsidR="00547DC5" w:rsidRPr="004F0C2F">
        <w:rPr>
          <w:rFonts w:ascii="Times New Roman" w:hAnsi="Times New Roman" w:cs="Times New Roman"/>
          <w:sz w:val="24"/>
          <w:szCs w:val="24"/>
        </w:rPr>
        <w:fldChar w:fldCharType="begin"/>
      </w:r>
      <w:r w:rsidR="005C0420" w:rsidRPr="004F0C2F">
        <w:rPr>
          <w:rFonts w:ascii="Times New Roman" w:hAnsi="Times New Roman" w:cs="Times New Roman"/>
          <w:sz w:val="24"/>
          <w:szCs w:val="24"/>
        </w:rPr>
        <w:instrText xml:space="preserve"> ADDIN EN.CITE &lt;EndNote&gt;&lt;Cite&gt;&lt;Author&gt;Toh&lt;/Author&gt;&lt;Year&gt;2008&lt;/Year&gt;&lt;RecNum&gt;35&lt;/RecNum&gt;&lt;DisplayText&gt;[4]&lt;/DisplayText&gt;&lt;record&gt;&lt;rec-number&gt;35&lt;/rec-number&gt;&lt;foreign-keys&gt;&lt;key app="EN" db-id="fe2vvf22yttp05exe9oxtv0wxtvfsxzra2ps" timestamp="1488776055"&gt;35&lt;/key&gt;&lt;key app="ENWeb" db-id=""&gt;0&lt;/key&gt;&lt;/foreign-keys&gt;&lt;ref-type name="Journal Article"&gt;17&lt;/ref-type&gt;&lt;contributors&gt;&lt;authors&gt;&lt;author&gt;Toh, S.&lt;/author&gt;&lt;author&gt;Hernan, M. A.&lt;/author&gt;&lt;/authors&gt;&lt;/contributors&gt;&lt;titles&gt;&lt;title&gt;Causal inference from longitudinal studies with baseline randomization&lt;/title&gt;&lt;secondary-title&gt;Int J Biostat&lt;/secondary-title&gt;&lt;/titles&gt;&lt;periodical&gt;&lt;full-title&gt;Int J Biostat&lt;/full-title&gt;&lt;/periodical&gt;&lt;pages&gt;Article 22&lt;/pages&gt;&lt;volume&gt;4&lt;/volume&gt;&lt;number&gt;1&lt;/number&gt;&lt;keywords&gt;&lt;keyword&gt;Antipsychotic Agents/therapeutic use&lt;/keyword&gt;&lt;keyword&gt;Biostatistics/*methods&lt;/keyword&gt;&lt;keyword&gt;Female&lt;/keyword&gt;&lt;keyword&gt;Humans&lt;/keyword&gt;&lt;keyword&gt;Longitudinal Studies/*statistics &amp;amp; numerical data&lt;/keyword&gt;&lt;keyword&gt;Male&lt;/keyword&gt;&lt;keyword&gt;Models, Statistical&lt;/keyword&gt;&lt;keyword&gt;Patient Compliance/statistics &amp;amp; numerical data&lt;/keyword&gt;&lt;keyword&gt;Probability&lt;/keyword&gt;&lt;keyword&gt;Random Allocation&lt;/keyword&gt;&lt;keyword&gt;Randomized Controlled Trials as Topic/statistics &amp;amp; numerical data&lt;/keyword&gt;&lt;keyword&gt;Schizophrenia/drug therapy&lt;/keyword&gt;&lt;keyword&gt;Treatment Outcome&lt;/keyword&gt;&lt;/keywords&gt;&lt;dates&gt;&lt;year&gt;2008&lt;/year&gt;&lt;pub-dates&gt;&lt;date&gt;Oct 19&lt;/date&gt;&lt;/pub-dates&gt;&lt;/dates&gt;&lt;isbn&gt;1557-4679 (Electronic)&amp;#xD;1557-4679 (Linking)&lt;/isbn&gt;&lt;accession-num&gt;20231914&lt;/accession-num&gt;&lt;urls&gt;&lt;related-urls&gt;&lt;url&gt;https://www.ncbi.nlm.nih.gov/pubmed/20231914&lt;/url&gt;&lt;/related-urls&gt;&lt;/urls&gt;&lt;custom2&gt;PMC2835458&lt;/custom2&gt;&lt;electronic-resource-num&gt;10.2202/1557-4679.1117&lt;/electronic-resource-num&gt;&lt;/record&gt;&lt;/Cite&gt;&lt;/EndNote&gt;</w:instrText>
      </w:r>
      <w:r w:rsidR="00547DC5" w:rsidRPr="004F0C2F">
        <w:rPr>
          <w:rFonts w:ascii="Times New Roman" w:hAnsi="Times New Roman" w:cs="Times New Roman"/>
          <w:sz w:val="24"/>
          <w:szCs w:val="24"/>
        </w:rPr>
        <w:fldChar w:fldCharType="separate"/>
      </w:r>
      <w:r w:rsidR="005C0420" w:rsidRPr="004F0C2F">
        <w:rPr>
          <w:rFonts w:ascii="Times New Roman" w:hAnsi="Times New Roman" w:cs="Times New Roman"/>
          <w:noProof/>
          <w:sz w:val="24"/>
          <w:szCs w:val="24"/>
        </w:rPr>
        <w:t>[4]</w:t>
      </w:r>
      <w:r w:rsidR="00547DC5" w:rsidRPr="004F0C2F">
        <w:rPr>
          <w:rFonts w:ascii="Times New Roman" w:hAnsi="Times New Roman" w:cs="Times New Roman"/>
          <w:sz w:val="24"/>
          <w:szCs w:val="24"/>
        </w:rPr>
        <w:fldChar w:fldCharType="end"/>
      </w:r>
      <w:r w:rsidRPr="004F0C2F">
        <w:rPr>
          <w:rFonts w:ascii="Times New Roman" w:hAnsi="Times New Roman" w:cs="Times New Roman"/>
          <w:sz w:val="24"/>
          <w:szCs w:val="24"/>
        </w:rPr>
        <w:t xml:space="preserve">. The denominator of this </w:t>
      </w:r>
      <w:r w:rsidR="005E1808" w:rsidRPr="004F0C2F">
        <w:rPr>
          <w:rFonts w:ascii="Times New Roman" w:hAnsi="Times New Roman" w:cs="Times New Roman"/>
          <w:sz w:val="24"/>
          <w:szCs w:val="24"/>
        </w:rPr>
        <w:t xml:space="preserve">expression </w:t>
      </w:r>
      <w:r w:rsidR="00AA69F3" w:rsidRPr="004F0C2F">
        <w:rPr>
          <w:rFonts w:ascii="Times New Roman" w:hAnsi="Times New Roman" w:cs="Times New Roman"/>
          <w:sz w:val="24"/>
          <w:szCs w:val="24"/>
        </w:rPr>
        <w:t xml:space="preserve">calculates </w:t>
      </w:r>
      <w:r w:rsidRPr="004F0C2F">
        <w:rPr>
          <w:rFonts w:ascii="Times New Roman" w:hAnsi="Times New Roman" w:cs="Times New Roman"/>
          <w:sz w:val="24"/>
          <w:szCs w:val="24"/>
        </w:rPr>
        <w:t xml:space="preserve">the probability that the </w:t>
      </w:r>
      <w:r w:rsidR="00333084" w:rsidRPr="004F0C2F">
        <w:rPr>
          <w:rFonts w:ascii="Times New Roman" w:hAnsi="Times New Roman" w:cs="Times New Roman"/>
          <w:sz w:val="24"/>
          <w:szCs w:val="24"/>
        </w:rPr>
        <w:t xml:space="preserve">patients </w:t>
      </w:r>
      <w:r w:rsidRPr="004F0C2F">
        <w:rPr>
          <w:rFonts w:ascii="Times New Roman" w:hAnsi="Times New Roman" w:cs="Times New Roman"/>
          <w:sz w:val="24"/>
          <w:szCs w:val="24"/>
        </w:rPr>
        <w:t xml:space="preserve">(episodes) received their </w:t>
      </w:r>
      <w:r w:rsidR="00B85A4D" w:rsidRPr="004F0C2F">
        <w:rPr>
          <w:rFonts w:ascii="Times New Roman" w:hAnsi="Times New Roman" w:cs="Times New Roman"/>
          <w:sz w:val="24"/>
          <w:szCs w:val="24"/>
        </w:rPr>
        <w:t xml:space="preserve">own </w:t>
      </w:r>
      <w:r w:rsidRPr="004F0C2F">
        <w:rPr>
          <w:rFonts w:ascii="Times New Roman" w:hAnsi="Times New Roman" w:cs="Times New Roman"/>
          <w:sz w:val="24"/>
          <w:szCs w:val="24"/>
        </w:rPr>
        <w:t>treatment (exposed or unexposed) given their basel</w:t>
      </w:r>
      <w:r w:rsidR="000B24F7" w:rsidRPr="004F0C2F">
        <w:rPr>
          <w:rFonts w:ascii="Times New Roman" w:hAnsi="Times New Roman" w:cs="Times New Roman"/>
          <w:sz w:val="24"/>
          <w:szCs w:val="24"/>
        </w:rPr>
        <w:t xml:space="preserve">ine covariates. </w:t>
      </w:r>
      <w:r w:rsidR="00E31121" w:rsidRPr="004F0C2F">
        <w:rPr>
          <w:rFonts w:ascii="Times New Roman" w:hAnsi="Times New Roman" w:cs="Times New Roman"/>
          <w:sz w:val="24"/>
          <w:szCs w:val="24"/>
        </w:rPr>
        <w:t>Because the</w:t>
      </w:r>
      <w:r w:rsidR="004006B3" w:rsidRPr="004F0C2F">
        <w:rPr>
          <w:rFonts w:ascii="Times New Roman" w:hAnsi="Times New Roman" w:cs="Times New Roman"/>
          <w:sz w:val="24"/>
          <w:szCs w:val="24"/>
        </w:rPr>
        <w:t xml:space="preserve"> </w:t>
      </w:r>
      <w:r w:rsidR="004006B3" w:rsidRPr="004F0C2F">
        <w:rPr>
          <w:rFonts w:ascii="Times New Roman" w:hAnsi="Times New Roman" w:cs="Times New Roman" w:hint="eastAsia"/>
          <w:sz w:val="24"/>
          <w:szCs w:val="24"/>
        </w:rPr>
        <w:t xml:space="preserve">propensity score </w:t>
      </w:r>
      <w:r w:rsidR="004006B3" w:rsidRPr="004F0C2F">
        <w:rPr>
          <w:rFonts w:ascii="Times New Roman" w:hAnsi="Times New Roman" w:cs="Times New Roman"/>
          <w:sz w:val="24"/>
          <w:szCs w:val="24"/>
        </w:rPr>
        <w:t xml:space="preserve">(PS) </w:t>
      </w:r>
      <w:r w:rsidR="004006B3" w:rsidRPr="004F0C2F">
        <w:rPr>
          <w:rFonts w:ascii="Times New Roman" w:hAnsi="Times New Roman" w:cs="Times New Roman" w:hint="eastAsia"/>
          <w:sz w:val="24"/>
          <w:szCs w:val="24"/>
        </w:rPr>
        <w:t>was defined</w:t>
      </w:r>
      <w:r w:rsidR="00E31121" w:rsidRPr="004F0C2F">
        <w:rPr>
          <w:rFonts w:ascii="Times New Roman" w:hAnsi="Times New Roman" w:cs="Times New Roman"/>
          <w:sz w:val="24"/>
          <w:szCs w:val="24"/>
        </w:rPr>
        <w:t xml:space="preserve"> in this study</w:t>
      </w:r>
      <w:r w:rsidR="004006B3" w:rsidRPr="004F0C2F">
        <w:rPr>
          <w:rFonts w:ascii="Times New Roman" w:hAnsi="Times New Roman" w:cs="Times New Roman" w:hint="eastAsia"/>
          <w:sz w:val="24"/>
          <w:szCs w:val="24"/>
        </w:rPr>
        <w:t xml:space="preserve"> as </w:t>
      </w:r>
      <w:r w:rsidR="00DD249D" w:rsidRPr="004F0C2F">
        <w:rPr>
          <w:rFonts w:ascii="Times New Roman" w:hAnsi="Times New Roman" w:cs="Times New Roman"/>
          <w:sz w:val="24"/>
          <w:szCs w:val="24"/>
        </w:rPr>
        <w:t xml:space="preserve">the </w:t>
      </w:r>
      <w:r w:rsidR="004006B3" w:rsidRPr="004F0C2F">
        <w:rPr>
          <w:rFonts w:ascii="Times New Roman" w:hAnsi="Times New Roman" w:cs="Times New Roman" w:hint="eastAsia"/>
          <w:sz w:val="24"/>
          <w:szCs w:val="24"/>
        </w:rPr>
        <w:t>es</w:t>
      </w:r>
      <w:r w:rsidR="004413FA" w:rsidRPr="004F0C2F">
        <w:rPr>
          <w:rFonts w:ascii="Times New Roman" w:hAnsi="Times New Roman" w:cs="Times New Roman" w:hint="eastAsia"/>
          <w:sz w:val="24"/>
          <w:szCs w:val="24"/>
        </w:rPr>
        <w:t xml:space="preserve">timated probability of </w:t>
      </w:r>
      <w:r w:rsidR="00717DDE" w:rsidRPr="004F0C2F">
        <w:rPr>
          <w:rFonts w:ascii="Times New Roman" w:hAnsi="Times New Roman" w:cs="Times New Roman"/>
          <w:sz w:val="24"/>
          <w:szCs w:val="24"/>
        </w:rPr>
        <w:t xml:space="preserve">treatment </w:t>
      </w:r>
      <w:r w:rsidR="00B460AA" w:rsidRPr="004F0C2F">
        <w:rPr>
          <w:rFonts w:ascii="Times New Roman" w:hAnsi="Times New Roman" w:cs="Times New Roman"/>
          <w:sz w:val="24"/>
          <w:szCs w:val="24"/>
        </w:rPr>
        <w:t>that is</w:t>
      </w:r>
      <w:r w:rsidR="004006B3" w:rsidRPr="004F0C2F">
        <w:rPr>
          <w:rFonts w:ascii="Times New Roman" w:hAnsi="Times New Roman" w:cs="Times New Roman"/>
          <w:sz w:val="24"/>
          <w:szCs w:val="24"/>
        </w:rPr>
        <w:t xml:space="preserve"> conditional on baseline covariates</w:t>
      </w:r>
      <w:r w:rsidR="004006B3" w:rsidRPr="004F0C2F">
        <w:rPr>
          <w:rFonts w:ascii="Times New Roman" w:hAnsi="Times New Roman" w:cs="Times New Roman" w:hint="eastAsia"/>
          <w:sz w:val="24"/>
          <w:szCs w:val="24"/>
        </w:rPr>
        <w:t>, the denominator</w:t>
      </w:r>
      <w:r w:rsidR="004006B3" w:rsidRPr="004F0C2F">
        <w:rPr>
          <w:rFonts w:ascii="Times New Roman" w:hAnsi="Times New Roman" w:cs="Times New Roman"/>
          <w:sz w:val="24"/>
          <w:szCs w:val="24"/>
        </w:rPr>
        <w:t>s</w:t>
      </w:r>
      <w:r w:rsidR="004006B3" w:rsidRPr="004F0C2F">
        <w:rPr>
          <w:rFonts w:ascii="Times New Roman" w:hAnsi="Times New Roman" w:cs="Times New Roman" w:hint="eastAsia"/>
          <w:sz w:val="24"/>
          <w:szCs w:val="24"/>
        </w:rPr>
        <w:t xml:space="preserve"> </w:t>
      </w:r>
      <w:r w:rsidR="004006B3" w:rsidRPr="004F0C2F">
        <w:rPr>
          <w:rFonts w:ascii="Times New Roman" w:hAnsi="Times New Roman" w:cs="Times New Roman"/>
          <w:sz w:val="24"/>
          <w:szCs w:val="24"/>
        </w:rPr>
        <w:t>correspond</w:t>
      </w:r>
      <w:r w:rsidR="004006B3" w:rsidRPr="004F0C2F">
        <w:rPr>
          <w:rFonts w:ascii="Times New Roman" w:hAnsi="Times New Roman" w:cs="Times New Roman" w:hint="eastAsia"/>
          <w:sz w:val="24"/>
          <w:szCs w:val="24"/>
        </w:rPr>
        <w:t xml:space="preserve"> </w:t>
      </w:r>
      <w:r w:rsidR="004006B3" w:rsidRPr="004F0C2F">
        <w:rPr>
          <w:rFonts w:ascii="Times New Roman" w:hAnsi="Times New Roman" w:cs="Times New Roman"/>
          <w:sz w:val="24"/>
          <w:szCs w:val="24"/>
        </w:rPr>
        <w:t>with PS or 1</w:t>
      </w:r>
      <w:bookmarkStart w:id="1" w:name="_Hlk503976683"/>
      <w:r w:rsidR="00C4215B" w:rsidRPr="004F0C2F">
        <w:rPr>
          <w:rFonts w:ascii="Times New Roman" w:hAnsi="Times New Roman" w:cs="Times New Roman"/>
          <w:sz w:val="24"/>
          <w:szCs w:val="24"/>
        </w:rPr>
        <w:t>−</w:t>
      </w:r>
      <w:bookmarkEnd w:id="1"/>
      <w:r w:rsidR="004006B3" w:rsidRPr="004F0C2F">
        <w:rPr>
          <w:rFonts w:ascii="Times New Roman" w:hAnsi="Times New Roman" w:cs="Times New Roman"/>
          <w:sz w:val="24"/>
          <w:szCs w:val="24"/>
        </w:rPr>
        <w:t xml:space="preserve">PS for </w:t>
      </w:r>
      <w:r w:rsidR="00FE6FD5" w:rsidRPr="004F0C2F">
        <w:rPr>
          <w:rFonts w:ascii="Times New Roman" w:hAnsi="Times New Roman" w:cs="Times New Roman"/>
          <w:sz w:val="24"/>
          <w:szCs w:val="24"/>
        </w:rPr>
        <w:t xml:space="preserve">the </w:t>
      </w:r>
      <w:r w:rsidR="004006B3" w:rsidRPr="004F0C2F">
        <w:rPr>
          <w:rFonts w:ascii="Times New Roman" w:hAnsi="Times New Roman" w:cs="Times New Roman"/>
          <w:sz w:val="24"/>
          <w:szCs w:val="24"/>
        </w:rPr>
        <w:t>exposed or unexposed episodes, respectively. The numerator</w:t>
      </w:r>
      <w:r w:rsidR="004413FA" w:rsidRPr="004F0C2F">
        <w:rPr>
          <w:rFonts w:ascii="Times New Roman" w:hAnsi="Times New Roman" w:cs="Times New Roman"/>
          <w:sz w:val="24"/>
          <w:szCs w:val="24"/>
        </w:rPr>
        <w:t xml:space="preserve"> of the weight, which is</w:t>
      </w:r>
      <w:r w:rsidR="0030033C" w:rsidRPr="004F0C2F">
        <w:rPr>
          <w:rFonts w:ascii="Times New Roman" w:hAnsi="Times New Roman" w:cs="Times New Roman"/>
          <w:sz w:val="24"/>
          <w:szCs w:val="24"/>
        </w:rPr>
        <w:t xml:space="preserve"> the</w:t>
      </w:r>
      <w:r w:rsidR="004413FA" w:rsidRPr="004F0C2F">
        <w:rPr>
          <w:rFonts w:ascii="Times New Roman" w:hAnsi="Times New Roman" w:cs="Times New Roman"/>
          <w:sz w:val="24"/>
          <w:szCs w:val="24"/>
        </w:rPr>
        <w:t xml:space="preserve"> stabili</w:t>
      </w:r>
      <w:r w:rsidR="00C03D86" w:rsidRPr="004F0C2F">
        <w:rPr>
          <w:rFonts w:ascii="Times New Roman" w:hAnsi="Times New Roman" w:cs="Times New Roman"/>
          <w:sz w:val="24"/>
          <w:szCs w:val="24"/>
        </w:rPr>
        <w:t>zi</w:t>
      </w:r>
      <w:r w:rsidR="00C4215B" w:rsidRPr="004F0C2F">
        <w:rPr>
          <w:rFonts w:ascii="Times New Roman" w:hAnsi="Times New Roman" w:cs="Times New Roman"/>
          <w:sz w:val="24"/>
          <w:szCs w:val="24"/>
        </w:rPr>
        <w:t>ng</w:t>
      </w:r>
      <w:r w:rsidR="004413FA" w:rsidRPr="004F0C2F">
        <w:rPr>
          <w:rFonts w:ascii="Times New Roman" w:hAnsi="Times New Roman" w:cs="Times New Roman"/>
          <w:sz w:val="24"/>
          <w:szCs w:val="24"/>
        </w:rPr>
        <w:t xml:space="preserve"> term,</w:t>
      </w:r>
      <w:r w:rsidR="00336F5C" w:rsidRPr="004F0C2F">
        <w:rPr>
          <w:rFonts w:ascii="Times New Roman" w:hAnsi="Times New Roman" w:cs="Times New Roman"/>
          <w:sz w:val="24"/>
          <w:szCs w:val="24"/>
        </w:rPr>
        <w:t xml:space="preserve"> </w:t>
      </w:r>
      <w:r w:rsidR="004413FA" w:rsidRPr="004F0C2F">
        <w:rPr>
          <w:rFonts w:ascii="Times New Roman" w:hAnsi="Times New Roman" w:cs="Times New Roman"/>
          <w:sz w:val="24"/>
          <w:szCs w:val="24"/>
        </w:rPr>
        <w:t>is</w:t>
      </w:r>
      <w:r w:rsidR="00576C5F" w:rsidRPr="004F0C2F">
        <w:rPr>
          <w:rFonts w:ascii="Times New Roman" w:hAnsi="Times New Roman" w:cs="Times New Roman"/>
          <w:sz w:val="24"/>
          <w:szCs w:val="24"/>
        </w:rPr>
        <w:t xml:space="preserve"> </w:t>
      </w:r>
      <w:r w:rsidR="004413FA" w:rsidRPr="004F0C2F">
        <w:rPr>
          <w:rFonts w:ascii="Times New Roman" w:hAnsi="Times New Roman" w:cs="Times New Roman"/>
          <w:sz w:val="24"/>
          <w:szCs w:val="24"/>
        </w:rPr>
        <w:t xml:space="preserve">the proportion </w:t>
      </w:r>
      <w:r w:rsidR="00336F5C" w:rsidRPr="004F0C2F">
        <w:rPr>
          <w:rFonts w:ascii="Times New Roman" w:hAnsi="Times New Roman" w:cs="Times New Roman"/>
          <w:sz w:val="24"/>
          <w:szCs w:val="24"/>
        </w:rPr>
        <w:t xml:space="preserve">of exposed or unexposed episodes to all episodes in each </w:t>
      </w:r>
      <w:r w:rsidR="0081634A" w:rsidRPr="004F0C2F">
        <w:rPr>
          <w:rFonts w:ascii="Times New Roman" w:hAnsi="Times New Roman" w:cs="Times New Roman" w:hint="eastAsia"/>
          <w:sz w:val="24"/>
          <w:szCs w:val="24"/>
        </w:rPr>
        <w:t>p</w:t>
      </w:r>
      <w:r w:rsidR="0081634A" w:rsidRPr="004F0C2F">
        <w:rPr>
          <w:rFonts w:ascii="Times New Roman" w:hAnsi="Times New Roman" w:cs="Times New Roman"/>
          <w:sz w:val="24"/>
          <w:szCs w:val="24"/>
        </w:rPr>
        <w:t>ooled</w:t>
      </w:r>
      <w:r w:rsidR="00336F5C" w:rsidRPr="004F0C2F">
        <w:rPr>
          <w:rFonts w:ascii="Times New Roman" w:hAnsi="Times New Roman" w:cs="Times New Roman"/>
          <w:sz w:val="24"/>
          <w:szCs w:val="24"/>
        </w:rPr>
        <w:t xml:space="preserve"> cohort.</w:t>
      </w:r>
      <w:r w:rsidR="00336F5C" w:rsidRPr="004F0C2F">
        <w:rPr>
          <w:rFonts w:ascii="Times New Roman" w:hAnsi="Times New Roman" w:cs="Times New Roman"/>
          <w:sz w:val="24"/>
          <w:szCs w:val="24"/>
        </w:rPr>
        <w:br w:type="page"/>
      </w:r>
    </w:p>
    <w:p w14:paraId="041E9267" w14:textId="15C4228E" w:rsidR="00BF216B" w:rsidRPr="004F0C2F" w:rsidRDefault="000D5A27" w:rsidP="00DE3038">
      <w:pPr>
        <w:pStyle w:val="1"/>
        <w:spacing w:line="480" w:lineRule="auto"/>
        <w:rPr>
          <w:rFonts w:ascii="Times New Roman" w:hAnsi="Times New Roman" w:cs="Times New Roman"/>
          <w:b/>
        </w:rPr>
      </w:pPr>
      <w:r w:rsidRPr="004F0C2F">
        <w:rPr>
          <w:rFonts w:ascii="Times New Roman" w:hAnsi="Times New Roman" w:cs="Times New Roman"/>
          <w:b/>
        </w:rPr>
        <w:lastRenderedPageBreak/>
        <w:t xml:space="preserve">Appendix </w:t>
      </w:r>
      <w:r w:rsidR="00CD062F" w:rsidRPr="004F0C2F">
        <w:rPr>
          <w:rFonts w:ascii="Times New Roman" w:hAnsi="Times New Roman" w:cs="Times New Roman"/>
          <w:b/>
        </w:rPr>
        <w:t>7</w:t>
      </w:r>
      <w:r w:rsidR="00336F5C" w:rsidRPr="004F0C2F">
        <w:rPr>
          <w:rFonts w:ascii="Times New Roman" w:hAnsi="Times New Roman" w:cs="Times New Roman"/>
          <w:b/>
        </w:rPr>
        <w:t>. Stabilized inverse probability of censoring weight</w:t>
      </w:r>
    </w:p>
    <w:p w14:paraId="23E32A20" w14:textId="2D633844" w:rsidR="00336F5C" w:rsidRPr="004F0C2F" w:rsidRDefault="00DE4C5E" w:rsidP="00DE3038">
      <w:pPr>
        <w:spacing w:line="480" w:lineRule="auto"/>
        <w:rPr>
          <w:rFonts w:ascii="Times New Roman" w:hAnsi="Times New Roman" w:cs="Times New Roman"/>
          <w:sz w:val="24"/>
        </w:rPr>
      </w:pPr>
      <w:r w:rsidRPr="004F0C2F">
        <w:rPr>
          <w:rFonts w:ascii="Times New Roman" w:hAnsi="Times New Roman" w:cs="Times New Roman" w:hint="eastAsia"/>
          <w:sz w:val="24"/>
        </w:rPr>
        <w:t xml:space="preserve">The </w:t>
      </w:r>
      <w:r w:rsidRPr="004F0C2F">
        <w:rPr>
          <w:rFonts w:ascii="Times New Roman" w:hAnsi="Times New Roman" w:cs="Times New Roman"/>
          <w:sz w:val="24"/>
        </w:rPr>
        <w:t xml:space="preserve">stabilized </w:t>
      </w:r>
      <w:r w:rsidR="00336F5C" w:rsidRPr="004F0C2F">
        <w:rPr>
          <w:rFonts w:ascii="Times New Roman" w:hAnsi="Times New Roman" w:cs="Times New Roman"/>
          <w:sz w:val="24"/>
        </w:rPr>
        <w:t xml:space="preserve">inverse probability of censoring weight </w:t>
      </w:r>
      <w:proofErr w:type="spellStart"/>
      <w:r w:rsidR="00336F5C" w:rsidRPr="004F0C2F">
        <w:rPr>
          <w:rFonts w:ascii="Times New Roman" w:hAnsi="Times New Roman"/>
          <w:bCs/>
          <w:i/>
          <w:sz w:val="24"/>
          <w:lang w:val="en-GB"/>
        </w:rPr>
        <w:t>SW</w:t>
      </w:r>
      <w:r w:rsidR="00F778DF" w:rsidRPr="004F0C2F">
        <w:rPr>
          <w:rFonts w:ascii="Times New Roman" w:hAnsi="Times New Roman" w:hint="eastAsia"/>
          <w:bCs/>
          <w:i/>
          <w:sz w:val="24"/>
          <w:vertAlign w:val="subscript"/>
          <w:lang w:val="en-GB"/>
        </w:rPr>
        <w:t>t</w:t>
      </w:r>
      <w:r w:rsidR="00336F5C" w:rsidRPr="004F0C2F">
        <w:rPr>
          <w:rFonts w:ascii="Times New Roman" w:hAnsi="Times New Roman"/>
          <w:bCs/>
          <w:i/>
          <w:sz w:val="24"/>
          <w:vertAlign w:val="superscript"/>
          <w:lang w:val="en-GB"/>
        </w:rPr>
        <w:t>C</w:t>
      </w:r>
      <w:proofErr w:type="spellEnd"/>
      <w:r w:rsidR="00336F5C" w:rsidRPr="004F0C2F">
        <w:rPr>
          <w:rFonts w:ascii="Times New Roman" w:hAnsi="Times New Roman" w:cs="Times New Roman"/>
          <w:sz w:val="24"/>
        </w:rPr>
        <w:t xml:space="preserve"> </w:t>
      </w:r>
      <w:r w:rsidR="004E215A" w:rsidRPr="004F0C2F">
        <w:rPr>
          <w:rFonts w:ascii="Times New Roman" w:hAnsi="Times New Roman" w:cs="Times New Roman"/>
          <w:sz w:val="24"/>
        </w:rPr>
        <w:t xml:space="preserve">of follow-up day </w:t>
      </w:r>
      <w:r w:rsidR="00F778DF" w:rsidRPr="004F0C2F">
        <w:rPr>
          <w:rFonts w:ascii="Times New Roman" w:hAnsi="Times New Roman" w:cs="Times New Roman"/>
          <w:i/>
          <w:sz w:val="24"/>
        </w:rPr>
        <w:t>t</w:t>
      </w:r>
      <w:r w:rsidR="004E215A" w:rsidRPr="004F0C2F">
        <w:rPr>
          <w:rFonts w:ascii="Times New Roman" w:hAnsi="Times New Roman" w:cs="Times New Roman"/>
          <w:sz w:val="24"/>
        </w:rPr>
        <w:t xml:space="preserve"> </w:t>
      </w:r>
      <w:r w:rsidR="004E215A" w:rsidRPr="004F0C2F">
        <w:rPr>
          <w:rFonts w:ascii="Times New Roman" w:hAnsi="Times New Roman" w:cs="Times New Roman"/>
          <w:sz w:val="24"/>
          <w:szCs w:val="24"/>
        </w:rPr>
        <w:t>(</w:t>
      </w:r>
      <w:r w:rsidR="00B46FA1" w:rsidRPr="004F0C2F">
        <w:rPr>
          <w:rFonts w:ascii="Times New Roman" w:hAnsi="Times New Roman" w:cs="Times New Roman"/>
          <w:sz w:val="24"/>
          <w:szCs w:val="24"/>
        </w:rPr>
        <w:t xml:space="preserve">ranging </w:t>
      </w:r>
      <w:r w:rsidR="003C554D" w:rsidRPr="004F0C2F">
        <w:rPr>
          <w:rFonts w:ascii="Times New Roman" w:hAnsi="Times New Roman" w:cs="Times New Roman"/>
          <w:sz w:val="24"/>
          <w:szCs w:val="24"/>
        </w:rPr>
        <w:t xml:space="preserve">from </w:t>
      </w:r>
      <w:r w:rsidR="00F778DF" w:rsidRPr="004F0C2F">
        <w:rPr>
          <w:rFonts w:ascii="Times New Roman" w:hAnsi="Times New Roman" w:cs="Times New Roman"/>
          <w:sz w:val="24"/>
          <w:szCs w:val="24"/>
        </w:rPr>
        <w:t>1</w:t>
      </w:r>
      <w:r w:rsidR="003C554D" w:rsidRPr="004F0C2F">
        <w:rPr>
          <w:rFonts w:ascii="Times New Roman" w:hAnsi="Times New Roman" w:cs="Times New Roman"/>
          <w:sz w:val="24"/>
          <w:szCs w:val="24"/>
        </w:rPr>
        <w:t xml:space="preserve"> to </w:t>
      </w:r>
      <w:r w:rsidR="00F778DF" w:rsidRPr="004F0C2F">
        <w:rPr>
          <w:rFonts w:ascii="Times New Roman" w:hAnsi="Times New Roman" w:cs="Times New Roman"/>
          <w:sz w:val="24"/>
          <w:szCs w:val="24"/>
        </w:rPr>
        <w:t>30</w:t>
      </w:r>
      <w:r w:rsidR="004E215A" w:rsidRPr="004F0C2F">
        <w:rPr>
          <w:rFonts w:ascii="Times New Roman" w:hAnsi="Times New Roman" w:cs="Times New Roman"/>
          <w:sz w:val="24"/>
          <w:szCs w:val="24"/>
        </w:rPr>
        <w:t xml:space="preserve">, </w:t>
      </w:r>
      <w:r w:rsidR="00B46FA1" w:rsidRPr="004F0C2F">
        <w:rPr>
          <w:rFonts w:ascii="Times New Roman" w:hAnsi="Times New Roman" w:cs="Times New Roman"/>
          <w:sz w:val="24"/>
          <w:szCs w:val="24"/>
        </w:rPr>
        <w:t xml:space="preserve">where </w:t>
      </w:r>
      <w:r w:rsidR="00F778DF" w:rsidRPr="004F0C2F">
        <w:rPr>
          <w:rFonts w:ascii="Times New Roman" w:hAnsi="Times New Roman" w:cs="Times New Roman"/>
          <w:i/>
          <w:sz w:val="24"/>
          <w:szCs w:val="24"/>
        </w:rPr>
        <w:t>t</w:t>
      </w:r>
      <w:r w:rsidR="004E215A" w:rsidRPr="004F0C2F">
        <w:rPr>
          <w:rFonts w:ascii="Times New Roman" w:hAnsi="Times New Roman" w:cs="Times New Roman"/>
          <w:sz w:val="24"/>
          <w:szCs w:val="24"/>
        </w:rPr>
        <w:t xml:space="preserve"> = 1 </w:t>
      </w:r>
      <w:r w:rsidR="00B46FA1" w:rsidRPr="004F0C2F">
        <w:rPr>
          <w:rFonts w:ascii="Times New Roman" w:hAnsi="Times New Roman" w:cs="Times New Roman"/>
          <w:sz w:val="24"/>
          <w:szCs w:val="24"/>
        </w:rPr>
        <w:t>is the</w:t>
      </w:r>
      <w:r w:rsidR="004E215A" w:rsidRPr="004F0C2F">
        <w:rPr>
          <w:rFonts w:ascii="Times New Roman" w:hAnsi="Times New Roman" w:cs="Times New Roman"/>
          <w:sz w:val="24"/>
          <w:szCs w:val="24"/>
        </w:rPr>
        <w:t xml:space="preserve"> index date) </w:t>
      </w:r>
      <w:r w:rsidR="004E215A" w:rsidRPr="004F0C2F">
        <w:rPr>
          <w:rFonts w:ascii="Times New Roman" w:hAnsi="Times New Roman" w:cs="Times New Roman"/>
          <w:sz w:val="24"/>
        </w:rPr>
        <w:t xml:space="preserve">for each episode </w:t>
      </w:r>
      <w:r w:rsidR="00B46FA1" w:rsidRPr="004F0C2F">
        <w:rPr>
          <w:rFonts w:ascii="Times New Roman" w:hAnsi="Times New Roman" w:cs="Times New Roman"/>
          <w:sz w:val="24"/>
        </w:rPr>
        <w:t xml:space="preserve">was </w:t>
      </w:r>
      <w:r w:rsidR="00336F5C" w:rsidRPr="004F0C2F">
        <w:rPr>
          <w:rFonts w:ascii="Times New Roman" w:hAnsi="Times New Roman" w:cs="Times New Roman"/>
          <w:sz w:val="24"/>
        </w:rPr>
        <w:t>defined as</w:t>
      </w:r>
      <w:r w:rsidR="00B46FA1" w:rsidRPr="004F0C2F">
        <w:rPr>
          <w:rFonts w:ascii="Times New Roman" w:hAnsi="Times New Roman" w:cs="Times New Roman"/>
          <w:sz w:val="24"/>
        </w:rPr>
        <w:t>:</w:t>
      </w:r>
    </w:p>
    <w:p w14:paraId="5CD3C3A6" w14:textId="6AD0C9FA" w:rsidR="00336F5C" w:rsidRPr="004F0C2F" w:rsidRDefault="00336F5C" w:rsidP="00DE3038">
      <w:pPr>
        <w:spacing w:line="480" w:lineRule="auto"/>
        <w:jc w:val="center"/>
      </w:pPr>
      <w:r w:rsidRPr="004F0C2F">
        <w:rPr>
          <w:rFonts w:ascii="Times New Roman" w:hAnsi="Times New Roman" w:cs="Times New Roman"/>
          <w:position w:val="-4"/>
          <w:sz w:val="24"/>
        </w:rPr>
        <w:object w:dxaOrig="180" w:dyaOrig="279" w14:anchorId="68FA369C">
          <v:shape id="_x0000_i1029" type="#_x0000_t75" style="width:9pt;height:14.25pt" o:ole="">
            <v:imagedata r:id="rId11" o:title=""/>
          </v:shape>
          <o:OLEObject Type="Embed" ProgID="Equation.DSMT4" ShapeID="_x0000_i1029" DrawAspect="Content" ObjectID="_1598432278" r:id="rId15"/>
        </w:object>
      </w:r>
      <w:r w:rsidRPr="004F0C2F">
        <w:rPr>
          <w:rFonts w:ascii="Times New Roman" w:hAnsi="Times New Roman" w:cs="Times New Roman"/>
          <w:sz w:val="24"/>
        </w:rPr>
        <w:t xml:space="preserve"> </w:t>
      </w:r>
      <w:r w:rsidR="000A4A5B" w:rsidRPr="004F0C2F">
        <w:rPr>
          <w:position w:val="-52"/>
        </w:rPr>
        <w:object w:dxaOrig="6160" w:dyaOrig="1160" w14:anchorId="620DDEA7">
          <v:shape id="_x0000_i1030" type="#_x0000_t75" style="width:307.5pt;height:58.5pt" o:ole="">
            <v:imagedata r:id="rId16" o:title=""/>
          </v:shape>
          <o:OLEObject Type="Embed" ProgID="Equation.DSMT4" ShapeID="_x0000_i1030" DrawAspect="Content" ObjectID="_1598432279" r:id="rId17"/>
        </w:object>
      </w:r>
      <w:r w:rsidR="005F61B4" w:rsidRPr="004F0C2F">
        <w:t xml:space="preserve">, </w:t>
      </w:r>
    </w:p>
    <w:p w14:paraId="43058FB8" w14:textId="617DCF0C" w:rsidR="005F4528" w:rsidRPr="004F0C2F" w:rsidRDefault="00336F5C" w:rsidP="00DE3038">
      <w:pPr>
        <w:spacing w:line="480" w:lineRule="auto"/>
        <w:jc w:val="left"/>
        <w:rPr>
          <w:rFonts w:ascii="Times New Roman" w:hAnsi="Times New Roman" w:cs="Times New Roman"/>
          <w:sz w:val="24"/>
          <w:szCs w:val="24"/>
        </w:rPr>
      </w:pPr>
      <w:r w:rsidRPr="004F0C2F">
        <w:rPr>
          <w:rFonts w:ascii="Times New Roman" w:hAnsi="Times New Roman" w:cs="Times New Roman"/>
          <w:sz w:val="24"/>
          <w:szCs w:val="24"/>
        </w:rPr>
        <w:t>where</w:t>
      </w:r>
      <w:r w:rsidRPr="004F0C2F">
        <w:rPr>
          <w:rFonts w:ascii="Times New Roman" w:hAnsi="Times New Roman" w:cs="Times New Roman"/>
          <w:i/>
          <w:sz w:val="24"/>
          <w:szCs w:val="24"/>
        </w:rPr>
        <w:t xml:space="preserve"> </w:t>
      </w:r>
      <w:r w:rsidR="00B64BC2" w:rsidRPr="004F0C2F">
        <w:rPr>
          <w:rFonts w:ascii="Times New Roman" w:hAnsi="Times New Roman" w:cs="Times New Roman"/>
          <w:i/>
          <w:sz w:val="24"/>
          <w:szCs w:val="24"/>
        </w:rPr>
        <w:t>C</w:t>
      </w:r>
      <w:r w:rsidR="00F778DF" w:rsidRPr="004F0C2F">
        <w:rPr>
          <w:rFonts w:ascii="Times New Roman" w:hAnsi="Times New Roman" w:cs="Times New Roman"/>
          <w:i/>
          <w:sz w:val="24"/>
          <w:szCs w:val="24"/>
          <w:vertAlign w:val="subscript"/>
        </w:rPr>
        <w:t>t</w:t>
      </w:r>
      <w:r w:rsidR="00B64BC2" w:rsidRPr="004F0C2F">
        <w:rPr>
          <w:rFonts w:ascii="Times New Roman" w:hAnsi="Times New Roman" w:cs="Times New Roman"/>
          <w:i/>
          <w:sz w:val="24"/>
          <w:szCs w:val="24"/>
        </w:rPr>
        <w:t xml:space="preserve"> </w:t>
      </w:r>
      <w:r w:rsidR="00CE68D1" w:rsidRPr="004F0C2F">
        <w:rPr>
          <w:rFonts w:ascii="Times New Roman" w:hAnsi="Times New Roman" w:cs="Times New Roman"/>
          <w:sz w:val="24"/>
          <w:szCs w:val="24"/>
        </w:rPr>
        <w:t>indicates if there is a</w:t>
      </w:r>
      <w:r w:rsidR="00B64BC2" w:rsidRPr="004F0C2F">
        <w:rPr>
          <w:rFonts w:ascii="Times New Roman" w:hAnsi="Times New Roman" w:cs="Times New Roman"/>
          <w:sz w:val="24"/>
          <w:szCs w:val="24"/>
        </w:rPr>
        <w:t xml:space="preserve"> treatment change </w:t>
      </w:r>
      <w:r w:rsidR="002B6F85" w:rsidRPr="004F0C2F">
        <w:rPr>
          <w:rFonts w:ascii="Times New Roman" w:hAnsi="Times New Roman" w:cs="Times New Roman"/>
          <w:sz w:val="24"/>
          <w:szCs w:val="24"/>
        </w:rPr>
        <w:t xml:space="preserve">on </w:t>
      </w:r>
      <w:r w:rsidR="00B64BC2" w:rsidRPr="004F0C2F">
        <w:rPr>
          <w:rFonts w:ascii="Times New Roman" w:hAnsi="Times New Roman" w:cs="Times New Roman"/>
          <w:sz w:val="24"/>
          <w:szCs w:val="24"/>
        </w:rPr>
        <w:t xml:space="preserve">day </w:t>
      </w:r>
      <w:r w:rsidR="00F778DF" w:rsidRPr="004F0C2F">
        <w:rPr>
          <w:rFonts w:ascii="Times New Roman" w:hAnsi="Times New Roman" w:cs="Times New Roman"/>
          <w:i/>
          <w:sz w:val="24"/>
          <w:szCs w:val="24"/>
        </w:rPr>
        <w:t>t</w:t>
      </w:r>
      <w:r w:rsidR="00B64BC2" w:rsidRPr="004F0C2F">
        <w:rPr>
          <w:rFonts w:ascii="Times New Roman" w:hAnsi="Times New Roman" w:cs="Times New Roman"/>
          <w:sz w:val="24"/>
          <w:szCs w:val="24"/>
        </w:rPr>
        <w:t xml:space="preserve"> </w:t>
      </w:r>
      <w:r w:rsidR="00B64BC2" w:rsidRPr="004F0C2F">
        <w:rPr>
          <w:rFonts w:ascii="Times New Roman" w:hAnsi="Times New Roman" w:cs="Times New Roman"/>
          <w:sz w:val="24"/>
          <w:szCs w:val="20"/>
          <w:lang w:val="en-GB"/>
        </w:rPr>
        <w:t>(</w:t>
      </w:r>
      <w:r w:rsidR="00B64BC2" w:rsidRPr="004F0C2F">
        <w:rPr>
          <w:rFonts w:ascii="Times New Roman" w:hAnsi="Times New Roman" w:cs="Times New Roman"/>
          <w:i/>
          <w:sz w:val="24"/>
          <w:szCs w:val="20"/>
          <w:lang w:val="en-GB"/>
        </w:rPr>
        <w:t>C</w:t>
      </w:r>
      <w:r w:rsidR="00F778DF" w:rsidRPr="004F0C2F">
        <w:rPr>
          <w:rFonts w:ascii="Times New Roman" w:hAnsi="Times New Roman" w:cs="Times New Roman"/>
          <w:i/>
          <w:sz w:val="24"/>
          <w:szCs w:val="20"/>
          <w:vertAlign w:val="subscript"/>
          <w:lang w:val="en-GB"/>
        </w:rPr>
        <w:t>t</w:t>
      </w:r>
      <w:r w:rsidR="00B64BC2" w:rsidRPr="004F0C2F">
        <w:rPr>
          <w:rFonts w:ascii="Times New Roman" w:hAnsi="Times New Roman" w:cs="Times New Roman"/>
          <w:sz w:val="24"/>
          <w:szCs w:val="20"/>
          <w:vertAlign w:val="subscript"/>
          <w:lang w:val="en-GB"/>
        </w:rPr>
        <w:t xml:space="preserve"> </w:t>
      </w:r>
      <w:r w:rsidR="00B64BC2" w:rsidRPr="004F0C2F">
        <w:rPr>
          <w:rFonts w:ascii="Times New Roman" w:hAnsi="Times New Roman" w:cs="Times New Roman"/>
          <w:sz w:val="24"/>
          <w:szCs w:val="20"/>
          <w:lang w:val="en-GB"/>
        </w:rPr>
        <w:t xml:space="preserve">= 1 if treatment status changed </w:t>
      </w:r>
      <w:r w:rsidR="00007F9E" w:rsidRPr="004F0C2F">
        <w:rPr>
          <w:rFonts w:ascii="Times New Roman" w:hAnsi="Times New Roman" w:cs="Times New Roman"/>
          <w:sz w:val="24"/>
          <w:szCs w:val="20"/>
          <w:lang w:val="en-GB"/>
        </w:rPr>
        <w:t xml:space="preserve">on </w:t>
      </w:r>
      <w:r w:rsidR="00B64BC2" w:rsidRPr="004F0C2F">
        <w:rPr>
          <w:rFonts w:ascii="Times New Roman" w:hAnsi="Times New Roman" w:cs="Times New Roman"/>
          <w:sz w:val="24"/>
          <w:szCs w:val="20"/>
          <w:lang w:val="en-GB"/>
        </w:rPr>
        <w:t xml:space="preserve">day </w:t>
      </w:r>
      <w:r w:rsidR="00F778DF" w:rsidRPr="004F0C2F">
        <w:rPr>
          <w:rFonts w:ascii="Times New Roman" w:hAnsi="Times New Roman" w:cs="Times New Roman"/>
          <w:i/>
          <w:sz w:val="24"/>
          <w:szCs w:val="20"/>
          <w:lang w:val="en-GB"/>
        </w:rPr>
        <w:t>t</w:t>
      </w:r>
      <w:r w:rsidR="00B64BC2" w:rsidRPr="004F0C2F">
        <w:rPr>
          <w:rFonts w:ascii="Times New Roman" w:hAnsi="Times New Roman" w:cs="Times New Roman"/>
          <w:sz w:val="24"/>
          <w:szCs w:val="20"/>
          <w:lang w:val="en-GB"/>
        </w:rPr>
        <w:t xml:space="preserve">; </w:t>
      </w:r>
      <w:r w:rsidR="002E5B41" w:rsidRPr="004F0C2F">
        <w:rPr>
          <w:rFonts w:ascii="Times New Roman" w:hAnsi="Times New Roman" w:cs="Times New Roman"/>
          <w:i/>
          <w:sz w:val="24"/>
          <w:szCs w:val="20"/>
          <w:lang w:val="en-GB"/>
        </w:rPr>
        <w:t>C</w:t>
      </w:r>
      <w:r w:rsidR="002E5B41" w:rsidRPr="004F0C2F">
        <w:rPr>
          <w:rFonts w:ascii="Times New Roman" w:hAnsi="Times New Roman" w:cs="Times New Roman"/>
          <w:i/>
          <w:sz w:val="24"/>
          <w:szCs w:val="20"/>
          <w:vertAlign w:val="subscript"/>
          <w:lang w:val="en-GB"/>
        </w:rPr>
        <w:t>t</w:t>
      </w:r>
      <w:r w:rsidR="002E5B41" w:rsidRPr="004F0C2F">
        <w:rPr>
          <w:rFonts w:ascii="Times New Roman" w:hAnsi="Times New Roman" w:cs="Times New Roman"/>
          <w:sz w:val="24"/>
          <w:szCs w:val="20"/>
          <w:vertAlign w:val="subscript"/>
          <w:lang w:val="en-GB"/>
        </w:rPr>
        <w:t xml:space="preserve"> </w:t>
      </w:r>
      <w:r w:rsidR="002E5B41" w:rsidRPr="004F0C2F">
        <w:rPr>
          <w:rFonts w:ascii="Times New Roman" w:hAnsi="Times New Roman" w:cs="Times New Roman"/>
          <w:sz w:val="24"/>
          <w:szCs w:val="20"/>
          <w:lang w:val="en-GB"/>
        </w:rPr>
        <w:t xml:space="preserve">= </w:t>
      </w:r>
      <w:r w:rsidR="00B64BC2" w:rsidRPr="004F0C2F">
        <w:rPr>
          <w:rFonts w:ascii="Times New Roman" w:hAnsi="Times New Roman" w:cs="Times New Roman"/>
          <w:sz w:val="24"/>
          <w:szCs w:val="20"/>
          <w:lang w:val="en-GB"/>
        </w:rPr>
        <w:t xml:space="preserve">0 if otherwise), </w:t>
      </w:r>
      <w:proofErr w:type="spellStart"/>
      <w:r w:rsidR="00956626" w:rsidRPr="004F0C2F">
        <w:rPr>
          <w:rFonts w:ascii="Times New Roman" w:hAnsi="Times New Roman" w:cs="Times New Roman"/>
          <w:i/>
          <w:sz w:val="24"/>
          <w:szCs w:val="20"/>
          <w:lang w:val="en-GB"/>
        </w:rPr>
        <w:t>Y</w:t>
      </w:r>
      <w:r w:rsidR="00F778DF" w:rsidRPr="004F0C2F">
        <w:rPr>
          <w:rFonts w:ascii="Times New Roman" w:hAnsi="Times New Roman" w:cs="Times New Roman"/>
          <w:i/>
          <w:sz w:val="24"/>
          <w:szCs w:val="20"/>
          <w:vertAlign w:val="subscript"/>
          <w:lang w:val="en-GB"/>
        </w:rPr>
        <w:t>t</w:t>
      </w:r>
      <w:proofErr w:type="spellEnd"/>
      <w:r w:rsidR="00956626" w:rsidRPr="004F0C2F">
        <w:rPr>
          <w:rFonts w:ascii="Times New Roman" w:hAnsi="Times New Roman" w:cs="Times New Roman"/>
          <w:sz w:val="24"/>
          <w:szCs w:val="20"/>
          <w:lang w:val="en-GB"/>
        </w:rPr>
        <w:t xml:space="preserve"> </w:t>
      </w:r>
      <w:r w:rsidR="00007F9E" w:rsidRPr="004F0C2F">
        <w:rPr>
          <w:rFonts w:ascii="Times New Roman" w:hAnsi="Times New Roman" w:cs="Times New Roman"/>
          <w:sz w:val="24"/>
          <w:szCs w:val="20"/>
          <w:lang w:val="en-GB"/>
        </w:rPr>
        <w:t>indicates if there is an</w:t>
      </w:r>
      <w:r w:rsidR="00956626" w:rsidRPr="004F0C2F">
        <w:rPr>
          <w:rFonts w:ascii="Times New Roman" w:hAnsi="Times New Roman" w:cs="Times New Roman"/>
          <w:sz w:val="24"/>
          <w:szCs w:val="20"/>
          <w:lang w:val="en-GB"/>
        </w:rPr>
        <w:t xml:space="preserve"> event occurrence </w:t>
      </w:r>
      <w:r w:rsidR="003F63D6" w:rsidRPr="004F0C2F">
        <w:rPr>
          <w:rFonts w:ascii="Times New Roman" w:hAnsi="Times New Roman" w:cs="Times New Roman"/>
          <w:sz w:val="24"/>
          <w:szCs w:val="20"/>
          <w:lang w:val="en-GB"/>
        </w:rPr>
        <w:t xml:space="preserve">on </w:t>
      </w:r>
      <w:r w:rsidR="00956626" w:rsidRPr="004F0C2F">
        <w:rPr>
          <w:rFonts w:ascii="Times New Roman" w:hAnsi="Times New Roman" w:cs="Times New Roman"/>
          <w:sz w:val="24"/>
          <w:szCs w:val="20"/>
          <w:lang w:val="en-GB"/>
        </w:rPr>
        <w:t xml:space="preserve">day </w:t>
      </w:r>
      <w:r w:rsidR="00F778DF" w:rsidRPr="004F0C2F">
        <w:rPr>
          <w:rFonts w:ascii="Times New Roman" w:hAnsi="Times New Roman" w:cs="Times New Roman"/>
          <w:i/>
          <w:sz w:val="24"/>
          <w:szCs w:val="24"/>
        </w:rPr>
        <w:t>t</w:t>
      </w:r>
      <w:r w:rsidR="00135BAB" w:rsidRPr="004F0C2F">
        <w:rPr>
          <w:rFonts w:ascii="Times New Roman" w:hAnsi="Times New Roman" w:cs="Times New Roman"/>
          <w:sz w:val="24"/>
          <w:szCs w:val="24"/>
        </w:rPr>
        <w:t xml:space="preserve"> </w:t>
      </w:r>
      <w:r w:rsidR="00135BAB" w:rsidRPr="004F0C2F">
        <w:rPr>
          <w:rFonts w:ascii="Times New Roman" w:hAnsi="Times New Roman" w:cs="Times New Roman"/>
          <w:sz w:val="24"/>
          <w:szCs w:val="20"/>
          <w:lang w:val="en-GB"/>
        </w:rPr>
        <w:t>(</w:t>
      </w:r>
      <w:proofErr w:type="spellStart"/>
      <w:r w:rsidR="00135BAB" w:rsidRPr="004F0C2F">
        <w:rPr>
          <w:rFonts w:ascii="Times New Roman" w:hAnsi="Times New Roman" w:cs="Times New Roman"/>
          <w:i/>
          <w:sz w:val="24"/>
          <w:szCs w:val="20"/>
          <w:lang w:val="en-GB"/>
        </w:rPr>
        <w:t>Y</w:t>
      </w:r>
      <w:r w:rsidR="00F778DF" w:rsidRPr="004F0C2F">
        <w:rPr>
          <w:rFonts w:ascii="Times New Roman" w:hAnsi="Times New Roman" w:cs="Times New Roman"/>
          <w:i/>
          <w:sz w:val="24"/>
          <w:szCs w:val="20"/>
          <w:vertAlign w:val="subscript"/>
          <w:lang w:val="en-GB"/>
        </w:rPr>
        <w:t>t</w:t>
      </w:r>
      <w:proofErr w:type="spellEnd"/>
      <w:r w:rsidR="00135BAB" w:rsidRPr="004F0C2F">
        <w:rPr>
          <w:rFonts w:ascii="Times New Roman" w:hAnsi="Times New Roman" w:cs="Times New Roman"/>
          <w:sz w:val="24"/>
          <w:szCs w:val="20"/>
          <w:vertAlign w:val="subscript"/>
          <w:lang w:val="en-GB"/>
        </w:rPr>
        <w:t xml:space="preserve"> </w:t>
      </w:r>
      <w:r w:rsidR="00135BAB" w:rsidRPr="004F0C2F">
        <w:rPr>
          <w:rFonts w:ascii="Times New Roman" w:hAnsi="Times New Roman" w:cs="Times New Roman"/>
          <w:sz w:val="24"/>
          <w:szCs w:val="20"/>
          <w:lang w:val="en-GB"/>
        </w:rPr>
        <w:t xml:space="preserve">= 1 if LI occurred </w:t>
      </w:r>
      <w:r w:rsidR="002A0990" w:rsidRPr="004F0C2F">
        <w:rPr>
          <w:rFonts w:ascii="Times New Roman" w:hAnsi="Times New Roman" w:cs="Times New Roman"/>
          <w:sz w:val="24"/>
          <w:szCs w:val="20"/>
          <w:lang w:val="en-GB"/>
        </w:rPr>
        <w:t xml:space="preserve">on </w:t>
      </w:r>
      <w:r w:rsidR="00135BAB" w:rsidRPr="004F0C2F">
        <w:rPr>
          <w:rFonts w:ascii="Times New Roman" w:hAnsi="Times New Roman" w:cs="Times New Roman"/>
          <w:sz w:val="24"/>
          <w:szCs w:val="20"/>
          <w:lang w:val="en-GB"/>
        </w:rPr>
        <w:t xml:space="preserve">day </w:t>
      </w:r>
      <w:r w:rsidR="00F778DF" w:rsidRPr="004F0C2F">
        <w:rPr>
          <w:rFonts w:ascii="Times New Roman" w:hAnsi="Times New Roman" w:cs="Times New Roman"/>
          <w:i/>
          <w:sz w:val="24"/>
          <w:szCs w:val="20"/>
          <w:lang w:val="en-GB"/>
        </w:rPr>
        <w:t>t</w:t>
      </w:r>
      <w:r w:rsidR="00135BAB" w:rsidRPr="004F0C2F">
        <w:rPr>
          <w:rFonts w:ascii="Times New Roman" w:hAnsi="Times New Roman" w:cs="Times New Roman"/>
          <w:sz w:val="24"/>
          <w:szCs w:val="20"/>
          <w:lang w:val="en-GB"/>
        </w:rPr>
        <w:t xml:space="preserve">; </w:t>
      </w:r>
      <w:proofErr w:type="spellStart"/>
      <w:r w:rsidR="002E5B41" w:rsidRPr="004F0C2F">
        <w:rPr>
          <w:rFonts w:ascii="Times New Roman" w:hAnsi="Times New Roman" w:cs="Times New Roman"/>
          <w:i/>
          <w:sz w:val="24"/>
          <w:szCs w:val="20"/>
          <w:lang w:val="en-GB"/>
        </w:rPr>
        <w:t>Y</w:t>
      </w:r>
      <w:r w:rsidR="002E5B41" w:rsidRPr="004F0C2F">
        <w:rPr>
          <w:rFonts w:ascii="Times New Roman" w:hAnsi="Times New Roman" w:cs="Times New Roman"/>
          <w:i/>
          <w:sz w:val="24"/>
          <w:szCs w:val="20"/>
          <w:vertAlign w:val="subscript"/>
          <w:lang w:val="en-GB"/>
        </w:rPr>
        <w:t>t</w:t>
      </w:r>
      <w:proofErr w:type="spellEnd"/>
      <w:r w:rsidR="00502041" w:rsidRPr="004F0C2F">
        <w:rPr>
          <w:rFonts w:ascii="Times New Roman" w:hAnsi="Times New Roman" w:cs="Times New Roman"/>
          <w:sz w:val="24"/>
          <w:szCs w:val="20"/>
          <w:vertAlign w:val="subscript"/>
          <w:lang w:val="en-GB"/>
        </w:rPr>
        <w:t xml:space="preserve"> </w:t>
      </w:r>
      <w:r w:rsidR="00502041" w:rsidRPr="004F0C2F">
        <w:rPr>
          <w:rFonts w:ascii="Times New Roman" w:hAnsi="Times New Roman" w:cs="Times New Roman"/>
          <w:sz w:val="24"/>
          <w:szCs w:val="20"/>
          <w:lang w:val="en-GB"/>
        </w:rPr>
        <w:t xml:space="preserve">= </w:t>
      </w:r>
      <w:r w:rsidR="00135BAB" w:rsidRPr="004F0C2F">
        <w:rPr>
          <w:rFonts w:ascii="Times New Roman" w:hAnsi="Times New Roman" w:cs="Times New Roman"/>
          <w:sz w:val="24"/>
          <w:szCs w:val="20"/>
          <w:lang w:val="en-GB"/>
        </w:rPr>
        <w:t xml:space="preserve">0 if otherwise), </w:t>
      </w:r>
      <w:r w:rsidR="00135BAB" w:rsidRPr="004F0C2F">
        <w:rPr>
          <w:rFonts w:ascii="Times New Roman" w:hAnsi="Times New Roman" w:cs="Times New Roman"/>
          <w:i/>
          <w:sz w:val="24"/>
          <w:szCs w:val="24"/>
        </w:rPr>
        <w:t>E</w:t>
      </w:r>
      <w:r w:rsidR="00F778DF" w:rsidRPr="004F0C2F">
        <w:rPr>
          <w:rFonts w:ascii="Times New Roman" w:hAnsi="Times New Roman" w:cs="Times New Roman"/>
          <w:i/>
          <w:sz w:val="24"/>
          <w:szCs w:val="24"/>
          <w:vertAlign w:val="subscript"/>
        </w:rPr>
        <w:t>t</w:t>
      </w:r>
      <w:r w:rsidR="00135BAB" w:rsidRPr="004F0C2F">
        <w:rPr>
          <w:rFonts w:ascii="Times New Roman" w:hAnsi="Times New Roman" w:cs="Times New Roman"/>
          <w:i/>
          <w:sz w:val="24"/>
          <w:szCs w:val="24"/>
        </w:rPr>
        <w:t xml:space="preserve"> </w:t>
      </w:r>
      <w:r w:rsidR="002A0990" w:rsidRPr="004F0C2F">
        <w:rPr>
          <w:rFonts w:ascii="Times New Roman" w:hAnsi="Times New Roman" w:cs="Times New Roman"/>
          <w:sz w:val="24"/>
          <w:szCs w:val="24"/>
        </w:rPr>
        <w:t>indicates if the</w:t>
      </w:r>
      <w:r w:rsidR="00135BAB" w:rsidRPr="004F0C2F">
        <w:rPr>
          <w:rFonts w:ascii="Times New Roman" w:hAnsi="Times New Roman" w:cs="Times New Roman"/>
          <w:sz w:val="24"/>
          <w:szCs w:val="24"/>
        </w:rPr>
        <w:t xml:space="preserve"> observation </w:t>
      </w:r>
      <w:r w:rsidR="00F34955" w:rsidRPr="004F0C2F">
        <w:rPr>
          <w:rFonts w:ascii="Times New Roman" w:hAnsi="Times New Roman" w:cs="Times New Roman"/>
          <w:sz w:val="24"/>
          <w:szCs w:val="24"/>
        </w:rPr>
        <w:t xml:space="preserve">period </w:t>
      </w:r>
      <w:r w:rsidR="00135BAB" w:rsidRPr="004F0C2F">
        <w:rPr>
          <w:rFonts w:ascii="Times New Roman" w:hAnsi="Times New Roman" w:cs="Times New Roman"/>
          <w:sz w:val="24"/>
          <w:szCs w:val="24"/>
        </w:rPr>
        <w:t>end</w:t>
      </w:r>
      <w:r w:rsidR="002A0990" w:rsidRPr="004F0C2F">
        <w:rPr>
          <w:rFonts w:ascii="Times New Roman" w:hAnsi="Times New Roman" w:cs="Times New Roman"/>
          <w:sz w:val="24"/>
          <w:szCs w:val="24"/>
        </w:rPr>
        <w:t>s</w:t>
      </w:r>
      <w:r w:rsidR="00135BAB" w:rsidRPr="004F0C2F">
        <w:rPr>
          <w:rFonts w:ascii="Times New Roman" w:hAnsi="Times New Roman" w:cs="Times New Roman"/>
          <w:sz w:val="24"/>
          <w:szCs w:val="24"/>
        </w:rPr>
        <w:t xml:space="preserve"> </w:t>
      </w:r>
      <w:r w:rsidR="002A0990" w:rsidRPr="004F0C2F">
        <w:rPr>
          <w:rFonts w:ascii="Times New Roman" w:hAnsi="Times New Roman" w:cs="Times New Roman"/>
          <w:sz w:val="24"/>
          <w:szCs w:val="24"/>
        </w:rPr>
        <w:t>on</w:t>
      </w:r>
      <w:r w:rsidR="00135BAB" w:rsidRPr="004F0C2F">
        <w:rPr>
          <w:rFonts w:ascii="Times New Roman" w:hAnsi="Times New Roman" w:cs="Times New Roman"/>
          <w:sz w:val="24"/>
          <w:szCs w:val="24"/>
        </w:rPr>
        <w:t xml:space="preserve"> day </w:t>
      </w:r>
      <w:r w:rsidR="00F778DF" w:rsidRPr="004F0C2F">
        <w:rPr>
          <w:rFonts w:ascii="Times New Roman" w:hAnsi="Times New Roman" w:cs="Times New Roman"/>
          <w:i/>
          <w:sz w:val="24"/>
          <w:szCs w:val="24"/>
        </w:rPr>
        <w:t>t</w:t>
      </w:r>
      <w:r w:rsidR="00135BAB" w:rsidRPr="004F0C2F">
        <w:rPr>
          <w:rFonts w:ascii="Times New Roman" w:hAnsi="Times New Roman" w:cs="Times New Roman"/>
          <w:sz w:val="24"/>
          <w:szCs w:val="24"/>
        </w:rPr>
        <w:t xml:space="preserve"> </w:t>
      </w:r>
      <w:r w:rsidR="00135BAB" w:rsidRPr="004F0C2F">
        <w:rPr>
          <w:rFonts w:ascii="Times New Roman" w:hAnsi="Times New Roman" w:cs="Times New Roman"/>
          <w:sz w:val="24"/>
          <w:szCs w:val="20"/>
          <w:lang w:val="en-GB"/>
        </w:rPr>
        <w:t>(</w:t>
      </w:r>
      <w:r w:rsidR="00135BAB" w:rsidRPr="004F0C2F">
        <w:rPr>
          <w:rFonts w:ascii="Times New Roman" w:hAnsi="Times New Roman" w:cs="Times New Roman"/>
          <w:i/>
          <w:sz w:val="24"/>
          <w:szCs w:val="20"/>
          <w:lang w:val="en-GB"/>
        </w:rPr>
        <w:t>E</w:t>
      </w:r>
      <w:r w:rsidR="00F778DF" w:rsidRPr="004F0C2F">
        <w:rPr>
          <w:rFonts w:ascii="Times New Roman" w:hAnsi="Times New Roman" w:cs="Times New Roman"/>
          <w:i/>
          <w:sz w:val="24"/>
          <w:szCs w:val="20"/>
          <w:vertAlign w:val="subscript"/>
          <w:lang w:val="en-GB"/>
        </w:rPr>
        <w:t>t</w:t>
      </w:r>
      <w:r w:rsidR="00135BAB" w:rsidRPr="004F0C2F">
        <w:rPr>
          <w:rFonts w:ascii="Times New Roman" w:hAnsi="Times New Roman" w:cs="Times New Roman"/>
          <w:sz w:val="24"/>
          <w:szCs w:val="20"/>
          <w:vertAlign w:val="subscript"/>
          <w:lang w:val="en-GB"/>
        </w:rPr>
        <w:t xml:space="preserve"> </w:t>
      </w:r>
      <w:r w:rsidR="00135BAB" w:rsidRPr="004F0C2F">
        <w:rPr>
          <w:rFonts w:ascii="Times New Roman" w:hAnsi="Times New Roman" w:cs="Times New Roman"/>
          <w:sz w:val="24"/>
          <w:szCs w:val="20"/>
          <w:lang w:val="en-GB"/>
        </w:rPr>
        <w:t>= 1 if the observation period</w:t>
      </w:r>
      <w:r w:rsidR="004074F9" w:rsidRPr="004F0C2F">
        <w:rPr>
          <w:rFonts w:ascii="Times New Roman" w:hAnsi="Times New Roman" w:cs="Times New Roman"/>
          <w:sz w:val="24"/>
          <w:szCs w:val="20"/>
          <w:lang w:val="en-GB"/>
        </w:rPr>
        <w:t xml:space="preserve"> </w:t>
      </w:r>
      <w:r w:rsidR="00135BAB" w:rsidRPr="004F0C2F">
        <w:rPr>
          <w:rFonts w:ascii="Times New Roman" w:hAnsi="Times New Roman" w:cs="Times New Roman"/>
          <w:sz w:val="24"/>
          <w:szCs w:val="20"/>
          <w:lang w:val="en-GB"/>
        </w:rPr>
        <w:t xml:space="preserve">ended </w:t>
      </w:r>
      <w:r w:rsidR="00F34955" w:rsidRPr="004F0C2F">
        <w:rPr>
          <w:rFonts w:ascii="Times New Roman" w:hAnsi="Times New Roman" w:cs="Times New Roman"/>
          <w:sz w:val="24"/>
          <w:szCs w:val="20"/>
          <w:lang w:val="en-GB"/>
        </w:rPr>
        <w:t xml:space="preserve">on </w:t>
      </w:r>
      <w:r w:rsidR="00135BAB" w:rsidRPr="004F0C2F">
        <w:rPr>
          <w:rFonts w:ascii="Times New Roman" w:hAnsi="Times New Roman" w:cs="Times New Roman"/>
          <w:sz w:val="24"/>
          <w:szCs w:val="20"/>
          <w:lang w:val="en-GB"/>
        </w:rPr>
        <w:t xml:space="preserve">day </w:t>
      </w:r>
      <w:r w:rsidR="00F778DF" w:rsidRPr="004F0C2F">
        <w:rPr>
          <w:rFonts w:ascii="Times New Roman" w:hAnsi="Times New Roman" w:cs="Times New Roman"/>
          <w:i/>
          <w:sz w:val="24"/>
          <w:szCs w:val="20"/>
          <w:lang w:val="en-GB"/>
        </w:rPr>
        <w:t>t</w:t>
      </w:r>
      <w:r w:rsidR="00135BAB" w:rsidRPr="004F0C2F">
        <w:rPr>
          <w:rFonts w:ascii="Times New Roman" w:hAnsi="Times New Roman" w:cs="Times New Roman"/>
          <w:sz w:val="24"/>
          <w:szCs w:val="20"/>
          <w:lang w:val="en-GB"/>
        </w:rPr>
        <w:t>;</w:t>
      </w:r>
      <w:r w:rsidR="00502041" w:rsidRPr="004F0C2F">
        <w:rPr>
          <w:rFonts w:ascii="Times New Roman" w:hAnsi="Times New Roman" w:cs="Times New Roman"/>
          <w:i/>
          <w:sz w:val="24"/>
          <w:szCs w:val="20"/>
          <w:lang w:val="en-GB"/>
        </w:rPr>
        <w:t xml:space="preserve"> E</w:t>
      </w:r>
      <w:r w:rsidR="00502041" w:rsidRPr="004F0C2F">
        <w:rPr>
          <w:rFonts w:ascii="Times New Roman" w:hAnsi="Times New Roman" w:cs="Times New Roman"/>
          <w:i/>
          <w:sz w:val="24"/>
          <w:szCs w:val="20"/>
          <w:vertAlign w:val="subscript"/>
          <w:lang w:val="en-GB"/>
        </w:rPr>
        <w:t>t</w:t>
      </w:r>
      <w:r w:rsidR="00502041" w:rsidRPr="004F0C2F">
        <w:rPr>
          <w:rFonts w:ascii="Times New Roman" w:hAnsi="Times New Roman" w:cs="Times New Roman"/>
          <w:sz w:val="24"/>
          <w:szCs w:val="20"/>
          <w:vertAlign w:val="subscript"/>
          <w:lang w:val="en-GB"/>
        </w:rPr>
        <w:t xml:space="preserve"> </w:t>
      </w:r>
      <w:r w:rsidR="00502041" w:rsidRPr="004F0C2F">
        <w:rPr>
          <w:rFonts w:ascii="Times New Roman" w:hAnsi="Times New Roman" w:cs="Times New Roman"/>
          <w:sz w:val="24"/>
          <w:szCs w:val="20"/>
          <w:lang w:val="en-GB"/>
        </w:rPr>
        <w:t>=</w:t>
      </w:r>
      <w:r w:rsidR="00135BAB" w:rsidRPr="004F0C2F">
        <w:rPr>
          <w:rFonts w:ascii="Times New Roman" w:hAnsi="Times New Roman" w:cs="Times New Roman"/>
          <w:sz w:val="24"/>
          <w:szCs w:val="20"/>
          <w:lang w:val="en-GB"/>
        </w:rPr>
        <w:t xml:space="preserve"> 0 if otherwise),</w:t>
      </w:r>
      <w:r w:rsidR="004074F9" w:rsidRPr="004F0C2F">
        <w:rPr>
          <w:rFonts w:ascii="Times New Roman" w:hAnsi="Times New Roman" w:cs="Times New Roman"/>
          <w:sz w:val="24"/>
          <w:szCs w:val="20"/>
          <w:lang w:val="en-GB"/>
        </w:rPr>
        <w:t xml:space="preserve"> </w:t>
      </w:r>
      <w:r w:rsidRPr="004F0C2F">
        <w:rPr>
          <w:rFonts w:ascii="Times New Roman" w:hAnsi="Times New Roman" w:cs="Times New Roman"/>
          <w:i/>
          <w:sz w:val="24"/>
          <w:szCs w:val="24"/>
        </w:rPr>
        <w:t>A</w:t>
      </w:r>
      <w:r w:rsidRPr="004F0C2F">
        <w:rPr>
          <w:rFonts w:ascii="Times New Roman" w:hAnsi="Times New Roman" w:cs="Times New Roman"/>
          <w:sz w:val="24"/>
          <w:szCs w:val="24"/>
        </w:rPr>
        <w:t xml:space="preserve"> </w:t>
      </w:r>
      <w:r w:rsidR="00096E47" w:rsidRPr="004F0C2F">
        <w:rPr>
          <w:rFonts w:ascii="Times New Roman" w:hAnsi="Times New Roman" w:cs="Times New Roman"/>
          <w:sz w:val="24"/>
          <w:szCs w:val="24"/>
        </w:rPr>
        <w:t xml:space="preserve">indicates if an episode is </w:t>
      </w:r>
      <w:r w:rsidRPr="004F0C2F">
        <w:rPr>
          <w:rFonts w:ascii="Times New Roman" w:hAnsi="Times New Roman" w:cs="Times New Roman"/>
          <w:sz w:val="24"/>
          <w:szCs w:val="24"/>
        </w:rPr>
        <w:t>exposed (</w:t>
      </w:r>
      <w:r w:rsidRPr="004F0C2F">
        <w:rPr>
          <w:rFonts w:ascii="Times New Roman" w:hAnsi="Times New Roman" w:cs="Times New Roman"/>
          <w:i/>
          <w:sz w:val="24"/>
          <w:szCs w:val="24"/>
        </w:rPr>
        <w:t>A</w:t>
      </w:r>
      <w:r w:rsidRPr="004F0C2F">
        <w:rPr>
          <w:rFonts w:ascii="Times New Roman" w:hAnsi="Times New Roman" w:cs="Times New Roman"/>
          <w:sz w:val="24"/>
          <w:szCs w:val="24"/>
        </w:rPr>
        <w:t xml:space="preserve"> = 1) or unexposed (</w:t>
      </w:r>
      <w:r w:rsidRPr="004F0C2F">
        <w:rPr>
          <w:rFonts w:ascii="Times New Roman" w:hAnsi="Times New Roman" w:cs="Times New Roman"/>
          <w:i/>
          <w:sz w:val="24"/>
          <w:szCs w:val="24"/>
        </w:rPr>
        <w:t>A</w:t>
      </w:r>
      <w:r w:rsidRPr="004F0C2F">
        <w:rPr>
          <w:rFonts w:ascii="Times New Roman" w:hAnsi="Times New Roman" w:cs="Times New Roman"/>
          <w:sz w:val="24"/>
          <w:szCs w:val="24"/>
        </w:rPr>
        <w:t xml:space="preserve"> = 0)</w:t>
      </w:r>
      <w:r w:rsidR="003415F6" w:rsidRPr="004F0C2F">
        <w:rPr>
          <w:rFonts w:ascii="Times New Roman" w:hAnsi="Times New Roman" w:cs="Times New Roman"/>
          <w:sz w:val="24"/>
          <w:szCs w:val="24"/>
        </w:rPr>
        <w:t>,</w:t>
      </w:r>
      <w:r w:rsidRPr="004F0C2F">
        <w:rPr>
          <w:rFonts w:ascii="Times New Roman" w:hAnsi="Times New Roman" w:cs="Times New Roman"/>
          <w:sz w:val="24"/>
          <w:szCs w:val="24"/>
        </w:rPr>
        <w:t xml:space="preserve"> and </w:t>
      </w:r>
      <w:r w:rsidRPr="004F0C2F">
        <w:rPr>
          <w:rFonts w:ascii="Times New Roman" w:hAnsi="Times New Roman" w:cs="Times New Roman"/>
          <w:i/>
          <w:sz w:val="24"/>
          <w:szCs w:val="24"/>
        </w:rPr>
        <w:t>L</w:t>
      </w:r>
      <w:r w:rsidRPr="004F0C2F">
        <w:rPr>
          <w:rFonts w:ascii="Times New Roman" w:hAnsi="Times New Roman" w:cs="Times New Roman"/>
          <w:sz w:val="24"/>
          <w:szCs w:val="24"/>
        </w:rPr>
        <w:t xml:space="preserve"> </w:t>
      </w:r>
      <w:r w:rsidR="005F61B4" w:rsidRPr="004F0C2F">
        <w:rPr>
          <w:rFonts w:ascii="Times New Roman" w:hAnsi="Times New Roman" w:cs="Times New Roman"/>
          <w:sz w:val="24"/>
          <w:szCs w:val="24"/>
        </w:rPr>
        <w:t>represents the</w:t>
      </w:r>
      <w:r w:rsidRPr="004F0C2F">
        <w:rPr>
          <w:rFonts w:ascii="Times New Roman" w:hAnsi="Times New Roman" w:cs="Times New Roman"/>
          <w:sz w:val="24"/>
          <w:szCs w:val="24"/>
        </w:rPr>
        <w:t xml:space="preserve"> baseline covariates for each episode</w:t>
      </w:r>
      <w:r w:rsidR="004266F1" w:rsidRPr="004F0C2F">
        <w:rPr>
          <w:rFonts w:ascii="Times New Roman" w:hAnsi="Times New Roman" w:cs="Times New Roman"/>
          <w:sz w:val="24"/>
          <w:szCs w:val="24"/>
        </w:rPr>
        <w:t xml:space="preserve"> </w:t>
      </w:r>
      <w:r w:rsidR="004266F1" w:rsidRPr="004F0C2F">
        <w:rPr>
          <w:rFonts w:ascii="Times New Roman" w:hAnsi="Times New Roman" w:cs="Times New Roman"/>
          <w:sz w:val="24"/>
          <w:szCs w:val="24"/>
        </w:rPr>
        <w:fldChar w:fldCharType="begin"/>
      </w:r>
      <w:r w:rsidR="005C0420" w:rsidRPr="004F0C2F">
        <w:rPr>
          <w:rFonts w:ascii="Times New Roman" w:hAnsi="Times New Roman" w:cs="Times New Roman"/>
          <w:sz w:val="24"/>
          <w:szCs w:val="24"/>
        </w:rPr>
        <w:instrText xml:space="preserve"> ADDIN EN.CITE &lt;EndNote&gt;&lt;Cite&gt;&lt;Author&gt;Toh&lt;/Author&gt;&lt;Year&gt;2008&lt;/Year&gt;&lt;RecNum&gt;35&lt;/RecNum&gt;&lt;DisplayText&gt;[4]&lt;/DisplayText&gt;&lt;record&gt;&lt;rec-number&gt;35&lt;/rec-number&gt;&lt;foreign-keys&gt;&lt;key app="EN" db-id="fe2vvf22yttp05exe9oxtv0wxtvfsxzra2ps" timestamp="1488776055"&gt;35&lt;/key&gt;&lt;key app="ENWeb" db-id=""&gt;0&lt;/key&gt;&lt;/foreign-keys&gt;&lt;ref-type name="Journal Article"&gt;17&lt;/ref-type&gt;&lt;contributors&gt;&lt;authors&gt;&lt;author&gt;Toh, S.&lt;/author&gt;&lt;author&gt;Hernan, M. A.&lt;/author&gt;&lt;/authors&gt;&lt;/contributors&gt;&lt;titles&gt;&lt;title&gt;Causal inference from longitudinal studies with baseline randomization&lt;/title&gt;&lt;secondary-title&gt;Int J Biostat&lt;/secondary-title&gt;&lt;/titles&gt;&lt;periodical&gt;&lt;full-title&gt;Int J Biostat&lt;/full-title&gt;&lt;/periodical&gt;&lt;pages&gt;Article 22&lt;/pages&gt;&lt;volume&gt;4&lt;/volume&gt;&lt;number&gt;1&lt;/number&gt;&lt;keywords&gt;&lt;keyword&gt;Antipsychotic Agents/therapeutic use&lt;/keyword&gt;&lt;keyword&gt;Biostatistics/*methods&lt;/keyword&gt;&lt;keyword&gt;Female&lt;/keyword&gt;&lt;keyword&gt;Humans&lt;/keyword&gt;&lt;keyword&gt;Longitudinal Studies/*statistics &amp;amp; numerical data&lt;/keyword&gt;&lt;keyword&gt;Male&lt;/keyword&gt;&lt;keyword&gt;Models, Statistical&lt;/keyword&gt;&lt;keyword&gt;Patient Compliance/statistics &amp;amp; numerical data&lt;/keyword&gt;&lt;keyword&gt;Probability&lt;/keyword&gt;&lt;keyword&gt;Random Allocation&lt;/keyword&gt;&lt;keyword&gt;Randomized Controlled Trials as Topic/statistics &amp;amp; numerical data&lt;/keyword&gt;&lt;keyword&gt;Schizophrenia/drug therapy&lt;/keyword&gt;&lt;keyword&gt;Treatment Outcome&lt;/keyword&gt;&lt;/keywords&gt;&lt;dates&gt;&lt;year&gt;2008&lt;/year&gt;&lt;pub-dates&gt;&lt;date&gt;Oct 19&lt;/date&gt;&lt;/pub-dates&gt;&lt;/dates&gt;&lt;isbn&gt;1557-4679 (Electronic)&amp;#xD;1557-4679 (Linking)&lt;/isbn&gt;&lt;accession-num&gt;20231914&lt;/accession-num&gt;&lt;urls&gt;&lt;related-urls&gt;&lt;url&gt;https://www.ncbi.nlm.nih.gov/pubmed/20231914&lt;/url&gt;&lt;/related-urls&gt;&lt;/urls&gt;&lt;custom2&gt;PMC2835458&lt;/custom2&gt;&lt;electronic-resource-num&gt;10.2202/1557-4679.1117&lt;/electronic-resource-num&gt;&lt;/record&gt;&lt;/Cite&gt;&lt;/EndNote&gt;</w:instrText>
      </w:r>
      <w:r w:rsidR="004266F1" w:rsidRPr="004F0C2F">
        <w:rPr>
          <w:rFonts w:ascii="Times New Roman" w:hAnsi="Times New Roman" w:cs="Times New Roman"/>
          <w:sz w:val="24"/>
          <w:szCs w:val="24"/>
        </w:rPr>
        <w:fldChar w:fldCharType="separate"/>
      </w:r>
      <w:r w:rsidR="005C0420" w:rsidRPr="004F0C2F">
        <w:rPr>
          <w:rFonts w:ascii="Times New Roman" w:hAnsi="Times New Roman" w:cs="Times New Roman"/>
          <w:noProof/>
          <w:sz w:val="24"/>
          <w:szCs w:val="24"/>
        </w:rPr>
        <w:t>[4]</w:t>
      </w:r>
      <w:r w:rsidR="004266F1" w:rsidRPr="004F0C2F">
        <w:rPr>
          <w:rFonts w:ascii="Times New Roman" w:hAnsi="Times New Roman" w:cs="Times New Roman"/>
          <w:sz w:val="24"/>
          <w:szCs w:val="24"/>
        </w:rPr>
        <w:fldChar w:fldCharType="end"/>
      </w:r>
      <w:r w:rsidRPr="004F0C2F">
        <w:rPr>
          <w:rFonts w:ascii="Times New Roman" w:hAnsi="Times New Roman" w:cs="Times New Roman"/>
          <w:sz w:val="24"/>
          <w:szCs w:val="24"/>
        </w:rPr>
        <w:t>.</w:t>
      </w:r>
      <w:r w:rsidR="00532F97" w:rsidRPr="004F0C2F">
        <w:rPr>
          <w:rFonts w:ascii="Times New Roman" w:hAnsi="Times New Roman" w:cs="Times New Roman"/>
          <w:sz w:val="24"/>
          <w:szCs w:val="24"/>
        </w:rPr>
        <w:t xml:space="preserve"> </w:t>
      </w:r>
      <w:r w:rsidR="00F778DF" w:rsidRPr="004F0C2F">
        <w:rPr>
          <w:rFonts w:ascii="Times New Roman" w:hAnsi="Times New Roman" w:cs="Times New Roman"/>
          <w:i/>
          <w:sz w:val="24"/>
          <w:szCs w:val="24"/>
        </w:rPr>
        <w:t>C</w:t>
      </w:r>
      <w:r w:rsidR="00F778DF" w:rsidRPr="004F0C2F">
        <w:rPr>
          <w:rFonts w:ascii="Times New Roman" w:hAnsi="Times New Roman" w:cs="Times New Roman"/>
          <w:sz w:val="24"/>
          <w:szCs w:val="24"/>
          <w:vertAlign w:val="subscript"/>
        </w:rPr>
        <w:t>0</w:t>
      </w:r>
      <w:r w:rsidR="00F778DF" w:rsidRPr="004F0C2F">
        <w:rPr>
          <w:rFonts w:ascii="Times New Roman" w:hAnsi="Times New Roman" w:cs="Times New Roman"/>
          <w:sz w:val="24"/>
          <w:szCs w:val="24"/>
        </w:rPr>
        <w:t xml:space="preserve"> </w:t>
      </w:r>
      <w:r w:rsidR="00E95D1D" w:rsidRPr="004F0C2F">
        <w:rPr>
          <w:rFonts w:ascii="Times New Roman" w:hAnsi="Times New Roman" w:cs="Times New Roman"/>
          <w:sz w:val="24"/>
          <w:szCs w:val="24"/>
        </w:rPr>
        <w:t>had a value of</w:t>
      </w:r>
      <w:r w:rsidR="00F778DF" w:rsidRPr="004F0C2F">
        <w:rPr>
          <w:rFonts w:ascii="Times New Roman" w:hAnsi="Times New Roman" w:cs="Times New Roman"/>
          <w:sz w:val="24"/>
          <w:szCs w:val="24"/>
        </w:rPr>
        <w:t xml:space="preserve"> zero for all episodes. </w:t>
      </w:r>
      <w:r w:rsidR="002D586C" w:rsidRPr="004F0C2F">
        <w:rPr>
          <w:rFonts w:ascii="Times New Roman" w:hAnsi="Times New Roman" w:cs="Times New Roman"/>
          <w:sz w:val="24"/>
          <w:szCs w:val="24"/>
        </w:rPr>
        <w:t>Since the mechanism</w:t>
      </w:r>
      <w:r w:rsidR="001400D2" w:rsidRPr="004F0C2F">
        <w:rPr>
          <w:rFonts w:ascii="Times New Roman" w:hAnsi="Times New Roman" w:cs="Times New Roman"/>
          <w:sz w:val="24"/>
          <w:szCs w:val="24"/>
        </w:rPr>
        <w:t xml:space="preserve"> </w:t>
      </w:r>
      <w:r w:rsidR="002D586C" w:rsidRPr="004F0C2F">
        <w:rPr>
          <w:rFonts w:ascii="Times New Roman" w:hAnsi="Times New Roman" w:cs="Times New Roman"/>
          <w:sz w:val="24"/>
          <w:szCs w:val="24"/>
        </w:rPr>
        <w:t xml:space="preserve">of treatment change </w:t>
      </w:r>
      <w:r w:rsidR="00AE793C" w:rsidRPr="004F0C2F">
        <w:rPr>
          <w:rFonts w:ascii="Times New Roman" w:hAnsi="Times New Roman" w:cs="Times New Roman"/>
          <w:sz w:val="24"/>
          <w:szCs w:val="24"/>
        </w:rPr>
        <w:t xml:space="preserve">may </w:t>
      </w:r>
      <w:r w:rsidR="005E7AB9" w:rsidRPr="004F0C2F">
        <w:rPr>
          <w:rFonts w:ascii="Times New Roman" w:hAnsi="Times New Roman" w:cs="Times New Roman"/>
          <w:sz w:val="24"/>
          <w:szCs w:val="24"/>
        </w:rPr>
        <w:t>differ</w:t>
      </w:r>
      <w:r w:rsidR="002D586C" w:rsidRPr="004F0C2F">
        <w:rPr>
          <w:rFonts w:ascii="Times New Roman" w:hAnsi="Times New Roman" w:cs="Times New Roman"/>
          <w:sz w:val="24"/>
          <w:szCs w:val="24"/>
        </w:rPr>
        <w:t xml:space="preserve"> between </w:t>
      </w:r>
      <w:r w:rsidR="00AE793C" w:rsidRPr="004F0C2F">
        <w:rPr>
          <w:rFonts w:ascii="Times New Roman" w:hAnsi="Times New Roman" w:cs="Times New Roman"/>
          <w:sz w:val="24"/>
          <w:szCs w:val="24"/>
        </w:rPr>
        <w:t xml:space="preserve">the </w:t>
      </w:r>
      <w:r w:rsidR="002D586C" w:rsidRPr="004F0C2F">
        <w:rPr>
          <w:rFonts w:ascii="Times New Roman" w:hAnsi="Times New Roman" w:cs="Times New Roman"/>
          <w:sz w:val="24"/>
          <w:szCs w:val="24"/>
        </w:rPr>
        <w:t xml:space="preserve">exposed (change to </w:t>
      </w:r>
      <w:r w:rsidR="005E7AB9" w:rsidRPr="004F0C2F">
        <w:rPr>
          <w:rFonts w:ascii="Times New Roman" w:hAnsi="Times New Roman" w:cs="Times New Roman"/>
          <w:sz w:val="24"/>
          <w:szCs w:val="24"/>
        </w:rPr>
        <w:t>unexposed</w:t>
      </w:r>
      <w:r w:rsidR="002D586C" w:rsidRPr="004F0C2F">
        <w:rPr>
          <w:rFonts w:ascii="Times New Roman" w:hAnsi="Times New Roman" w:cs="Times New Roman"/>
          <w:sz w:val="24"/>
          <w:szCs w:val="24"/>
        </w:rPr>
        <w:t>)</w:t>
      </w:r>
      <w:r w:rsidR="005E7AB9" w:rsidRPr="004F0C2F">
        <w:rPr>
          <w:rFonts w:ascii="Times New Roman" w:hAnsi="Times New Roman" w:cs="Times New Roman"/>
          <w:sz w:val="24"/>
          <w:szCs w:val="24"/>
        </w:rPr>
        <w:t xml:space="preserve"> and unexposed (change to exposed)</w:t>
      </w:r>
      <w:r w:rsidR="00D467FF" w:rsidRPr="004F0C2F">
        <w:rPr>
          <w:rFonts w:ascii="Times New Roman" w:hAnsi="Times New Roman" w:cs="Times New Roman"/>
          <w:sz w:val="24"/>
          <w:szCs w:val="24"/>
        </w:rPr>
        <w:t xml:space="preserve"> episodes</w:t>
      </w:r>
      <w:r w:rsidR="005E7AB9" w:rsidRPr="004F0C2F">
        <w:rPr>
          <w:rFonts w:ascii="Times New Roman" w:hAnsi="Times New Roman" w:cs="Times New Roman"/>
          <w:sz w:val="24"/>
          <w:szCs w:val="24"/>
        </w:rPr>
        <w:t xml:space="preserve">, </w:t>
      </w:r>
      <w:r w:rsidR="005F4528" w:rsidRPr="004F0C2F">
        <w:rPr>
          <w:rFonts w:ascii="Times New Roman" w:hAnsi="Times New Roman" w:cs="Times New Roman"/>
          <w:sz w:val="24"/>
          <w:szCs w:val="24"/>
        </w:rPr>
        <w:t xml:space="preserve">separate models were used </w:t>
      </w:r>
      <w:r w:rsidR="00E9121C" w:rsidRPr="004F0C2F">
        <w:rPr>
          <w:rFonts w:ascii="Times New Roman" w:hAnsi="Times New Roman" w:cs="Times New Roman"/>
          <w:sz w:val="24"/>
          <w:szCs w:val="24"/>
        </w:rPr>
        <w:t>to calculate the</w:t>
      </w:r>
      <w:r w:rsidR="005F4528" w:rsidRPr="004F0C2F">
        <w:rPr>
          <w:rFonts w:ascii="Times New Roman" w:hAnsi="Times New Roman" w:cs="Times New Roman"/>
          <w:sz w:val="24"/>
          <w:szCs w:val="24"/>
        </w:rPr>
        <w:t xml:space="preserve"> weights for each </w:t>
      </w:r>
      <w:r w:rsidR="00E63C77" w:rsidRPr="004F0C2F">
        <w:rPr>
          <w:rFonts w:ascii="Times New Roman" w:hAnsi="Times New Roman" w:cs="Times New Roman"/>
          <w:sz w:val="24"/>
          <w:szCs w:val="24"/>
        </w:rPr>
        <w:t>comparison</w:t>
      </w:r>
      <w:r w:rsidR="005F4528" w:rsidRPr="004F0C2F">
        <w:rPr>
          <w:rFonts w:ascii="Times New Roman" w:hAnsi="Times New Roman" w:cs="Times New Roman"/>
          <w:sz w:val="24"/>
          <w:szCs w:val="24"/>
        </w:rPr>
        <w:t xml:space="preserve"> group. </w:t>
      </w:r>
      <w:r w:rsidR="00E85FB3" w:rsidRPr="004F0C2F">
        <w:rPr>
          <w:rFonts w:ascii="Times New Roman" w:hAnsi="Times New Roman" w:cs="Times New Roman"/>
          <w:sz w:val="24"/>
          <w:szCs w:val="24"/>
        </w:rPr>
        <w:t>Therefore, the condition</w:t>
      </w:r>
      <w:r w:rsidR="00E9121C" w:rsidRPr="004F0C2F">
        <w:rPr>
          <w:rFonts w:ascii="Times New Roman" w:hAnsi="Times New Roman" w:cs="Times New Roman"/>
          <w:sz w:val="24"/>
          <w:szCs w:val="24"/>
        </w:rPr>
        <w:t xml:space="preserve"> stipulated</w:t>
      </w:r>
      <w:r w:rsidR="00E85FB3" w:rsidRPr="004F0C2F">
        <w:rPr>
          <w:rFonts w:ascii="Times New Roman" w:hAnsi="Times New Roman" w:cs="Times New Roman"/>
          <w:sz w:val="24"/>
          <w:szCs w:val="24"/>
        </w:rPr>
        <w:t xml:space="preserve"> by </w:t>
      </w:r>
      <w:r w:rsidR="00E85FB3" w:rsidRPr="004F0C2F">
        <w:rPr>
          <w:rFonts w:ascii="Times New Roman" w:hAnsi="Times New Roman" w:cs="Times New Roman"/>
          <w:i/>
          <w:sz w:val="24"/>
          <w:szCs w:val="24"/>
        </w:rPr>
        <w:t>A</w:t>
      </w:r>
      <w:r w:rsidR="00E85FB3" w:rsidRPr="004F0C2F">
        <w:rPr>
          <w:rFonts w:ascii="Times New Roman" w:hAnsi="Times New Roman" w:cs="Times New Roman"/>
          <w:sz w:val="24"/>
          <w:szCs w:val="24"/>
        </w:rPr>
        <w:t xml:space="preserve"> was not need</w:t>
      </w:r>
      <w:r w:rsidR="00E9121C" w:rsidRPr="004F0C2F">
        <w:rPr>
          <w:rFonts w:ascii="Times New Roman" w:hAnsi="Times New Roman" w:cs="Times New Roman"/>
          <w:sz w:val="24"/>
          <w:szCs w:val="24"/>
        </w:rPr>
        <w:t>ed</w:t>
      </w:r>
      <w:r w:rsidR="00E85FB3" w:rsidRPr="004F0C2F">
        <w:rPr>
          <w:rFonts w:ascii="Times New Roman" w:hAnsi="Times New Roman" w:cs="Times New Roman"/>
          <w:sz w:val="24"/>
          <w:szCs w:val="24"/>
        </w:rPr>
        <w:t xml:space="preserve"> in</w:t>
      </w:r>
      <w:r w:rsidR="00E9121C" w:rsidRPr="004F0C2F">
        <w:rPr>
          <w:rFonts w:ascii="Times New Roman" w:hAnsi="Times New Roman" w:cs="Times New Roman"/>
          <w:sz w:val="24"/>
          <w:szCs w:val="24"/>
        </w:rPr>
        <w:t xml:space="preserve"> all</w:t>
      </w:r>
      <w:r w:rsidR="00E85FB3" w:rsidRPr="004F0C2F">
        <w:rPr>
          <w:rFonts w:ascii="Times New Roman" w:hAnsi="Times New Roman" w:cs="Times New Roman"/>
          <w:sz w:val="24"/>
          <w:szCs w:val="24"/>
        </w:rPr>
        <w:t xml:space="preserve"> model</w:t>
      </w:r>
      <w:r w:rsidR="00E9121C" w:rsidRPr="004F0C2F">
        <w:rPr>
          <w:rFonts w:ascii="Times New Roman" w:hAnsi="Times New Roman" w:cs="Times New Roman"/>
          <w:sz w:val="24"/>
          <w:szCs w:val="24"/>
        </w:rPr>
        <w:t>s</w:t>
      </w:r>
      <w:r w:rsidR="00E85FB3" w:rsidRPr="004F0C2F">
        <w:rPr>
          <w:rFonts w:ascii="Times New Roman" w:hAnsi="Times New Roman" w:cs="Times New Roman"/>
          <w:sz w:val="24"/>
          <w:szCs w:val="24"/>
        </w:rPr>
        <w:t xml:space="preserve">. </w:t>
      </w:r>
      <w:r w:rsidR="006F390D" w:rsidRPr="004F0C2F">
        <w:rPr>
          <w:rFonts w:ascii="Times New Roman" w:hAnsi="Times New Roman" w:cs="Times New Roman"/>
          <w:sz w:val="24"/>
          <w:szCs w:val="24"/>
        </w:rPr>
        <w:t xml:space="preserve">We assumed that the temporal ordering of each measurement was </w:t>
      </w:r>
      <w:proofErr w:type="spellStart"/>
      <w:r w:rsidR="006F390D" w:rsidRPr="004F0C2F">
        <w:rPr>
          <w:rFonts w:ascii="Times New Roman" w:hAnsi="Times New Roman" w:cs="Times New Roman"/>
          <w:i/>
          <w:sz w:val="24"/>
          <w:szCs w:val="24"/>
        </w:rPr>
        <w:t>Y</w:t>
      </w:r>
      <w:r w:rsidR="006F390D" w:rsidRPr="004F0C2F">
        <w:rPr>
          <w:rFonts w:ascii="Times New Roman" w:hAnsi="Times New Roman" w:cs="Times New Roman"/>
          <w:i/>
          <w:sz w:val="24"/>
          <w:szCs w:val="24"/>
          <w:vertAlign w:val="subscript"/>
        </w:rPr>
        <w:t>t</w:t>
      </w:r>
      <w:proofErr w:type="spellEnd"/>
      <w:r w:rsidR="006F390D" w:rsidRPr="004F0C2F">
        <w:rPr>
          <w:rFonts w:ascii="Times New Roman" w:hAnsi="Times New Roman" w:cs="Times New Roman"/>
          <w:sz w:val="24"/>
          <w:szCs w:val="24"/>
        </w:rPr>
        <w:t xml:space="preserve">, </w:t>
      </w:r>
      <w:r w:rsidR="006F390D" w:rsidRPr="004F0C2F">
        <w:rPr>
          <w:rFonts w:ascii="Times New Roman" w:hAnsi="Times New Roman" w:cs="Times New Roman"/>
          <w:i/>
          <w:sz w:val="24"/>
          <w:szCs w:val="24"/>
        </w:rPr>
        <w:t>E</w:t>
      </w:r>
      <w:r w:rsidR="006F390D" w:rsidRPr="004F0C2F">
        <w:rPr>
          <w:rFonts w:ascii="Times New Roman" w:hAnsi="Times New Roman" w:cs="Times New Roman"/>
          <w:i/>
          <w:sz w:val="24"/>
          <w:szCs w:val="24"/>
          <w:vertAlign w:val="subscript"/>
        </w:rPr>
        <w:t>t</w:t>
      </w:r>
      <w:r w:rsidR="006F390D" w:rsidRPr="004F0C2F">
        <w:rPr>
          <w:rFonts w:ascii="Times New Roman" w:hAnsi="Times New Roman" w:cs="Times New Roman"/>
          <w:sz w:val="24"/>
          <w:szCs w:val="24"/>
        </w:rPr>
        <w:t xml:space="preserve">, and </w:t>
      </w:r>
      <w:r w:rsidR="006F390D" w:rsidRPr="004F0C2F">
        <w:rPr>
          <w:rFonts w:ascii="Times New Roman" w:hAnsi="Times New Roman" w:cs="Times New Roman"/>
          <w:i/>
          <w:sz w:val="24"/>
          <w:szCs w:val="24"/>
        </w:rPr>
        <w:t>C</w:t>
      </w:r>
      <w:r w:rsidR="006F390D" w:rsidRPr="004F0C2F">
        <w:rPr>
          <w:rFonts w:ascii="Times New Roman" w:hAnsi="Times New Roman" w:cs="Times New Roman"/>
          <w:i/>
          <w:sz w:val="24"/>
          <w:szCs w:val="24"/>
          <w:vertAlign w:val="subscript"/>
        </w:rPr>
        <w:t>t</w:t>
      </w:r>
      <w:r w:rsidR="006F390D" w:rsidRPr="004F0C2F">
        <w:rPr>
          <w:rFonts w:ascii="Times New Roman" w:hAnsi="Times New Roman" w:cs="Times New Roman"/>
          <w:sz w:val="24"/>
          <w:szCs w:val="24"/>
        </w:rPr>
        <w:t xml:space="preserve"> within each day </w:t>
      </w:r>
      <w:r w:rsidR="006F390D" w:rsidRPr="004F0C2F">
        <w:rPr>
          <w:rFonts w:ascii="Times New Roman" w:hAnsi="Times New Roman" w:cs="Times New Roman"/>
          <w:i/>
          <w:sz w:val="24"/>
          <w:szCs w:val="24"/>
        </w:rPr>
        <w:t>t</w:t>
      </w:r>
      <w:r w:rsidR="006F390D" w:rsidRPr="004F0C2F">
        <w:rPr>
          <w:rFonts w:ascii="Times New Roman" w:hAnsi="Times New Roman" w:cs="Times New Roman"/>
          <w:sz w:val="24"/>
          <w:szCs w:val="24"/>
        </w:rPr>
        <w:t xml:space="preserve"> of observation, and that these indicators never returned to 0 after attaining a value of 1</w:t>
      </w:r>
      <w:r w:rsidR="00DC2252" w:rsidRPr="004F0C2F">
        <w:rPr>
          <w:rFonts w:ascii="Times New Roman" w:hAnsi="Times New Roman" w:cs="Times New Roman"/>
          <w:sz w:val="24"/>
          <w:szCs w:val="24"/>
        </w:rPr>
        <w:t xml:space="preserve">. </w:t>
      </w:r>
      <w:r w:rsidR="006D1225" w:rsidRPr="004F0C2F">
        <w:rPr>
          <w:rFonts w:ascii="Times New Roman" w:hAnsi="Times New Roman" w:cs="Times New Roman"/>
          <w:sz w:val="24"/>
          <w:szCs w:val="24"/>
        </w:rPr>
        <w:t xml:space="preserve">The weight </w:t>
      </w:r>
      <w:proofErr w:type="spellStart"/>
      <w:r w:rsidR="006D1225" w:rsidRPr="004F0C2F">
        <w:rPr>
          <w:rFonts w:ascii="Times New Roman" w:hAnsi="Times New Roman" w:cs="Times New Roman"/>
          <w:i/>
          <w:sz w:val="24"/>
          <w:szCs w:val="24"/>
        </w:rPr>
        <w:t>SW</w:t>
      </w:r>
      <w:r w:rsidR="00F778DF" w:rsidRPr="004F0C2F">
        <w:rPr>
          <w:rFonts w:ascii="Times New Roman" w:hAnsi="Times New Roman" w:cs="Times New Roman"/>
          <w:i/>
          <w:sz w:val="24"/>
          <w:szCs w:val="24"/>
          <w:vertAlign w:val="subscript"/>
        </w:rPr>
        <w:t>t</w:t>
      </w:r>
      <w:r w:rsidR="006D1225" w:rsidRPr="004F0C2F">
        <w:rPr>
          <w:rFonts w:ascii="Times New Roman" w:hAnsi="Times New Roman" w:cs="Times New Roman"/>
          <w:i/>
          <w:sz w:val="24"/>
          <w:szCs w:val="24"/>
          <w:vertAlign w:val="superscript"/>
        </w:rPr>
        <w:t>C</w:t>
      </w:r>
      <w:proofErr w:type="spellEnd"/>
      <w:r w:rsidR="006D1225" w:rsidRPr="004F0C2F">
        <w:rPr>
          <w:rFonts w:ascii="Times New Roman" w:hAnsi="Times New Roman" w:cs="Times New Roman"/>
          <w:i/>
          <w:sz w:val="24"/>
          <w:szCs w:val="24"/>
        </w:rPr>
        <w:t xml:space="preserve"> </w:t>
      </w:r>
      <w:r w:rsidR="007339F6" w:rsidRPr="004F0C2F">
        <w:rPr>
          <w:rFonts w:ascii="Times New Roman" w:hAnsi="Times New Roman" w:cs="Times New Roman"/>
          <w:sz w:val="24"/>
          <w:szCs w:val="24"/>
        </w:rPr>
        <w:t>was</w:t>
      </w:r>
      <w:r w:rsidR="006D1225" w:rsidRPr="004F0C2F">
        <w:rPr>
          <w:rFonts w:ascii="Times New Roman" w:hAnsi="Times New Roman" w:cs="Times New Roman"/>
          <w:sz w:val="24"/>
          <w:szCs w:val="24"/>
        </w:rPr>
        <w:t xml:space="preserve"> constructed as follows:</w:t>
      </w:r>
    </w:p>
    <w:p w14:paraId="47676C92" w14:textId="107D9BE2" w:rsidR="006D1225" w:rsidRPr="004F0C2F" w:rsidRDefault="00AF2FFF" w:rsidP="00DE3038">
      <w:pPr>
        <w:spacing w:line="480" w:lineRule="auto"/>
        <w:jc w:val="left"/>
        <w:rPr>
          <w:rFonts w:ascii="Times New Roman" w:hAnsi="Times New Roman" w:cs="Times New Roman"/>
          <w:sz w:val="24"/>
          <w:szCs w:val="24"/>
        </w:rPr>
      </w:pPr>
      <w:r w:rsidRPr="004F0C2F">
        <w:rPr>
          <w:rFonts w:ascii="Times New Roman" w:hAnsi="Times New Roman" w:cs="Times New Roman"/>
          <w:b/>
          <w:i/>
          <w:sz w:val="24"/>
          <w:szCs w:val="24"/>
        </w:rPr>
        <w:lastRenderedPageBreak/>
        <w:t>Step</w:t>
      </w:r>
      <w:r w:rsidR="00F836F6" w:rsidRPr="004F0C2F">
        <w:rPr>
          <w:rFonts w:ascii="Times New Roman" w:hAnsi="Times New Roman" w:cs="Times New Roman"/>
          <w:b/>
          <w:i/>
          <w:sz w:val="24"/>
          <w:szCs w:val="24"/>
        </w:rPr>
        <w:t xml:space="preserve"> </w:t>
      </w:r>
      <w:r w:rsidRPr="004F0C2F">
        <w:rPr>
          <w:rFonts w:ascii="Times New Roman" w:hAnsi="Times New Roman" w:cs="Times New Roman"/>
          <w:b/>
          <w:i/>
          <w:sz w:val="24"/>
          <w:szCs w:val="24"/>
        </w:rPr>
        <w:t>1:</w:t>
      </w:r>
      <w:r w:rsidR="002210EA" w:rsidRPr="004F0C2F">
        <w:rPr>
          <w:rFonts w:ascii="Times New Roman" w:hAnsi="Times New Roman" w:cs="Times New Roman"/>
          <w:sz w:val="24"/>
          <w:szCs w:val="24"/>
        </w:rPr>
        <w:t xml:space="preserve"> For each </w:t>
      </w:r>
      <w:r w:rsidRPr="004F0C2F">
        <w:rPr>
          <w:rFonts w:ascii="Times New Roman" w:hAnsi="Times New Roman" w:cs="Times New Roman"/>
          <w:sz w:val="24"/>
          <w:szCs w:val="24"/>
        </w:rPr>
        <w:t xml:space="preserve">day </w:t>
      </w:r>
      <w:r w:rsidR="00F778DF" w:rsidRPr="004F0C2F">
        <w:rPr>
          <w:rFonts w:ascii="Times New Roman" w:hAnsi="Times New Roman" w:cs="Times New Roman"/>
          <w:i/>
          <w:sz w:val="24"/>
          <w:szCs w:val="24"/>
        </w:rPr>
        <w:t>t</w:t>
      </w:r>
      <w:r w:rsidR="002210EA" w:rsidRPr="004F0C2F">
        <w:rPr>
          <w:rFonts w:ascii="Times New Roman" w:hAnsi="Times New Roman" w:cs="Times New Roman"/>
          <w:i/>
          <w:sz w:val="24"/>
          <w:szCs w:val="24"/>
        </w:rPr>
        <w:t xml:space="preserve"> </w:t>
      </w:r>
      <w:r w:rsidR="00243EA4" w:rsidRPr="004F0C2F">
        <w:rPr>
          <w:rFonts w:ascii="Times New Roman" w:hAnsi="Times New Roman" w:cs="Times New Roman"/>
          <w:sz w:val="24"/>
          <w:szCs w:val="24"/>
        </w:rPr>
        <w:t>ranging</w:t>
      </w:r>
      <w:r w:rsidR="00243EA4" w:rsidRPr="004F0C2F">
        <w:rPr>
          <w:rFonts w:ascii="Times New Roman" w:hAnsi="Times New Roman" w:cs="Times New Roman"/>
          <w:i/>
          <w:sz w:val="24"/>
          <w:szCs w:val="24"/>
        </w:rPr>
        <w:t xml:space="preserve"> </w:t>
      </w:r>
      <w:r w:rsidR="002210EA" w:rsidRPr="004F0C2F">
        <w:rPr>
          <w:rFonts w:ascii="Times New Roman" w:hAnsi="Times New Roman" w:cs="Times New Roman"/>
          <w:sz w:val="24"/>
          <w:szCs w:val="24"/>
        </w:rPr>
        <w:t>from</w:t>
      </w:r>
      <w:r w:rsidR="00306DCC" w:rsidRPr="004F0C2F">
        <w:rPr>
          <w:rFonts w:ascii="Times New Roman" w:hAnsi="Times New Roman" w:cs="Times New Roman"/>
          <w:sz w:val="24"/>
          <w:szCs w:val="24"/>
        </w:rPr>
        <w:t xml:space="preserve"> </w:t>
      </w:r>
      <w:r w:rsidR="00DA3A0C" w:rsidRPr="004F0C2F">
        <w:rPr>
          <w:rFonts w:ascii="Times New Roman" w:hAnsi="Times New Roman" w:cs="Times New Roman"/>
          <w:sz w:val="24"/>
          <w:szCs w:val="24"/>
        </w:rPr>
        <w:t xml:space="preserve">days </w:t>
      </w:r>
      <w:r w:rsidR="002210EA" w:rsidRPr="004F0C2F">
        <w:rPr>
          <w:rFonts w:ascii="Times New Roman" w:hAnsi="Times New Roman" w:cs="Times New Roman"/>
          <w:sz w:val="24"/>
          <w:szCs w:val="24"/>
        </w:rPr>
        <w:t>2 to 30</w:t>
      </w:r>
      <w:r w:rsidRPr="004F0C2F">
        <w:rPr>
          <w:rFonts w:ascii="Times New Roman" w:hAnsi="Times New Roman" w:cs="Times New Roman"/>
          <w:sz w:val="24"/>
          <w:szCs w:val="24"/>
        </w:rPr>
        <w:t xml:space="preserve">, we extracted episodes </w:t>
      </w:r>
      <w:r w:rsidR="00243EA4" w:rsidRPr="004F0C2F">
        <w:rPr>
          <w:rFonts w:ascii="Times New Roman" w:hAnsi="Times New Roman" w:cs="Times New Roman"/>
          <w:sz w:val="24"/>
          <w:szCs w:val="24"/>
        </w:rPr>
        <w:t xml:space="preserve">that </w:t>
      </w:r>
      <w:r w:rsidRPr="004F0C2F">
        <w:rPr>
          <w:rFonts w:ascii="Times New Roman" w:hAnsi="Times New Roman" w:cs="Times New Roman"/>
          <w:sz w:val="24"/>
          <w:szCs w:val="24"/>
        </w:rPr>
        <w:t>were under observation and had not yet experien</w:t>
      </w:r>
      <w:r w:rsidR="00E07008" w:rsidRPr="004F0C2F">
        <w:rPr>
          <w:rFonts w:ascii="Times New Roman" w:hAnsi="Times New Roman" w:cs="Times New Roman"/>
          <w:sz w:val="24"/>
          <w:szCs w:val="24"/>
        </w:rPr>
        <w:t xml:space="preserve">ced </w:t>
      </w:r>
      <w:r w:rsidR="00243EA4" w:rsidRPr="004F0C2F">
        <w:rPr>
          <w:rFonts w:ascii="Times New Roman" w:hAnsi="Times New Roman" w:cs="Times New Roman"/>
          <w:sz w:val="24"/>
          <w:szCs w:val="24"/>
        </w:rPr>
        <w:t xml:space="preserve">an </w:t>
      </w:r>
      <w:r w:rsidR="00E07008" w:rsidRPr="004F0C2F">
        <w:rPr>
          <w:rFonts w:ascii="Times New Roman" w:hAnsi="Times New Roman" w:cs="Times New Roman"/>
          <w:sz w:val="24"/>
          <w:szCs w:val="24"/>
        </w:rPr>
        <w:t xml:space="preserve">event </w:t>
      </w:r>
      <w:r w:rsidR="005F61B4" w:rsidRPr="004F0C2F">
        <w:rPr>
          <w:rFonts w:ascii="Times New Roman" w:hAnsi="Times New Roman" w:cs="Times New Roman"/>
          <w:sz w:val="24"/>
          <w:szCs w:val="24"/>
        </w:rPr>
        <w:t xml:space="preserve">before day </w:t>
      </w:r>
      <w:r w:rsidR="005F61B4" w:rsidRPr="004F0C2F">
        <w:rPr>
          <w:rFonts w:ascii="Times New Roman" w:hAnsi="Times New Roman" w:cs="Times New Roman"/>
          <w:i/>
          <w:sz w:val="24"/>
          <w:szCs w:val="24"/>
        </w:rPr>
        <w:t>t</w:t>
      </w:r>
      <w:r w:rsidR="00516A87" w:rsidRPr="004F0C2F">
        <w:rPr>
          <w:rFonts w:ascii="Times New Roman" w:hAnsi="Times New Roman" w:cs="Times New Roman"/>
          <w:sz w:val="24"/>
          <w:szCs w:val="24"/>
        </w:rPr>
        <w:t>−</w:t>
      </w:r>
      <w:r w:rsidR="005F61B4" w:rsidRPr="004F0C2F">
        <w:rPr>
          <w:rFonts w:ascii="Times New Roman" w:hAnsi="Times New Roman" w:cs="Times New Roman"/>
          <w:sz w:val="24"/>
          <w:szCs w:val="24"/>
        </w:rPr>
        <w:t>1 (</w:t>
      </w:r>
      <w:r w:rsidR="00FB7D33" w:rsidRPr="004F0C2F">
        <w:rPr>
          <w:rFonts w:ascii="Times New Roman" w:hAnsi="Times New Roman" w:cs="Times New Roman"/>
          <w:sz w:val="24"/>
          <w:szCs w:val="24"/>
        </w:rPr>
        <w:t>i</w:t>
      </w:r>
      <w:r w:rsidR="00BB18C3" w:rsidRPr="004F0C2F">
        <w:rPr>
          <w:rFonts w:ascii="Times New Roman" w:hAnsi="Times New Roman" w:cs="Times New Roman"/>
          <w:sz w:val="24"/>
          <w:szCs w:val="24"/>
        </w:rPr>
        <w:t>.</w:t>
      </w:r>
      <w:r w:rsidR="00FB7D33" w:rsidRPr="004F0C2F">
        <w:rPr>
          <w:rFonts w:ascii="Times New Roman" w:hAnsi="Times New Roman" w:cs="Times New Roman"/>
          <w:sz w:val="24"/>
          <w:szCs w:val="24"/>
        </w:rPr>
        <w:t>e.</w:t>
      </w:r>
      <w:r w:rsidR="00BB18C3" w:rsidRPr="004F0C2F">
        <w:rPr>
          <w:rFonts w:ascii="Times New Roman" w:hAnsi="Times New Roman" w:cs="Times New Roman"/>
          <w:sz w:val="24"/>
          <w:szCs w:val="24"/>
        </w:rPr>
        <w:t xml:space="preserve">, </w:t>
      </w:r>
      <w:r w:rsidR="005F61B4" w:rsidRPr="004F0C2F">
        <w:rPr>
          <w:rFonts w:ascii="Times New Roman" w:hAnsi="Times New Roman" w:cs="Times New Roman"/>
          <w:i/>
          <w:sz w:val="24"/>
          <w:szCs w:val="20"/>
          <w:lang w:val="en-GB"/>
        </w:rPr>
        <w:t>Y</w:t>
      </w:r>
      <w:r w:rsidR="005F61B4" w:rsidRPr="004F0C2F">
        <w:rPr>
          <w:rFonts w:ascii="Times New Roman" w:hAnsi="Times New Roman" w:cs="Times New Roman"/>
          <w:i/>
          <w:sz w:val="24"/>
          <w:szCs w:val="20"/>
          <w:vertAlign w:val="subscript"/>
          <w:lang w:val="en-GB"/>
        </w:rPr>
        <w:t>t</w:t>
      </w:r>
      <w:r w:rsidR="00516A87" w:rsidRPr="004F0C2F">
        <w:rPr>
          <w:rFonts w:ascii="Times New Roman" w:hAnsi="Times New Roman" w:cs="Times New Roman"/>
          <w:sz w:val="24"/>
          <w:szCs w:val="20"/>
          <w:vertAlign w:val="subscript"/>
          <w:lang w:val="en-GB"/>
        </w:rPr>
        <w:t>−</w:t>
      </w:r>
      <w:r w:rsidR="005F61B4" w:rsidRPr="004F0C2F">
        <w:rPr>
          <w:rFonts w:ascii="Times New Roman" w:hAnsi="Times New Roman" w:cs="Times New Roman"/>
          <w:sz w:val="24"/>
          <w:szCs w:val="20"/>
          <w:vertAlign w:val="subscript"/>
          <w:lang w:val="en-GB"/>
        </w:rPr>
        <w:t xml:space="preserve">1 </w:t>
      </w:r>
      <w:r w:rsidR="005F61B4" w:rsidRPr="004F0C2F">
        <w:rPr>
          <w:rFonts w:ascii="Times New Roman" w:hAnsi="Times New Roman" w:cs="Times New Roman"/>
          <w:sz w:val="24"/>
          <w:szCs w:val="20"/>
          <w:lang w:val="en-GB"/>
        </w:rPr>
        <w:t>= 0</w:t>
      </w:r>
      <w:r w:rsidR="005F61B4" w:rsidRPr="004F0C2F">
        <w:rPr>
          <w:rFonts w:ascii="Times New Roman" w:hAnsi="Times New Roman" w:cs="Times New Roman"/>
          <w:sz w:val="24"/>
          <w:szCs w:val="24"/>
        </w:rPr>
        <w:t xml:space="preserve">) </w:t>
      </w:r>
      <w:r w:rsidR="00FB7D33" w:rsidRPr="004F0C2F">
        <w:rPr>
          <w:rFonts w:ascii="Times New Roman" w:hAnsi="Times New Roman" w:cs="Times New Roman"/>
          <w:sz w:val="24"/>
          <w:szCs w:val="24"/>
        </w:rPr>
        <w:t>and</w:t>
      </w:r>
      <w:r w:rsidR="00E07008" w:rsidRPr="004F0C2F">
        <w:rPr>
          <w:rFonts w:ascii="Times New Roman" w:hAnsi="Times New Roman" w:cs="Times New Roman"/>
          <w:sz w:val="24"/>
          <w:szCs w:val="24"/>
        </w:rPr>
        <w:t xml:space="preserve"> treatment change before</w:t>
      </w:r>
      <w:r w:rsidRPr="004F0C2F">
        <w:rPr>
          <w:rFonts w:ascii="Times New Roman" w:hAnsi="Times New Roman" w:cs="Times New Roman"/>
          <w:sz w:val="24"/>
          <w:szCs w:val="24"/>
        </w:rPr>
        <w:t xml:space="preserve"> day </w:t>
      </w:r>
      <w:r w:rsidR="00F778DF" w:rsidRPr="004F0C2F">
        <w:rPr>
          <w:rFonts w:ascii="Times New Roman" w:hAnsi="Times New Roman" w:cs="Times New Roman"/>
          <w:i/>
          <w:sz w:val="24"/>
          <w:szCs w:val="24"/>
        </w:rPr>
        <w:t>t</w:t>
      </w:r>
      <w:r w:rsidR="00516A87" w:rsidRPr="004F0C2F">
        <w:rPr>
          <w:rFonts w:ascii="Times New Roman" w:hAnsi="Times New Roman" w:cs="Times New Roman"/>
          <w:sz w:val="24"/>
          <w:szCs w:val="24"/>
        </w:rPr>
        <w:t>−</w:t>
      </w:r>
      <w:r w:rsidR="005F61B4" w:rsidRPr="004F0C2F">
        <w:rPr>
          <w:rFonts w:ascii="Times New Roman" w:hAnsi="Times New Roman" w:cs="Times New Roman"/>
          <w:sz w:val="24"/>
          <w:szCs w:val="24"/>
        </w:rPr>
        <w:t>2</w:t>
      </w:r>
      <w:r w:rsidR="00676049" w:rsidRPr="004F0C2F">
        <w:rPr>
          <w:rFonts w:ascii="Times New Roman" w:hAnsi="Times New Roman" w:cs="Times New Roman"/>
          <w:sz w:val="24"/>
          <w:szCs w:val="24"/>
        </w:rPr>
        <w:t xml:space="preserve"> (</w:t>
      </w:r>
      <w:r w:rsidR="00FB7D33" w:rsidRPr="004F0C2F">
        <w:rPr>
          <w:rFonts w:ascii="Times New Roman" w:hAnsi="Times New Roman" w:cs="Times New Roman"/>
          <w:sz w:val="24"/>
          <w:szCs w:val="24"/>
        </w:rPr>
        <w:t>i.e</w:t>
      </w:r>
      <w:r w:rsidR="00F87C34" w:rsidRPr="004F0C2F">
        <w:rPr>
          <w:rFonts w:ascii="Times New Roman" w:hAnsi="Times New Roman" w:cs="Times New Roman"/>
          <w:sz w:val="24"/>
          <w:szCs w:val="24"/>
        </w:rPr>
        <w:t>.</w:t>
      </w:r>
      <w:r w:rsidR="00FB7D33" w:rsidRPr="004F0C2F">
        <w:rPr>
          <w:rFonts w:ascii="Times New Roman" w:hAnsi="Times New Roman" w:cs="Times New Roman"/>
          <w:sz w:val="24"/>
          <w:szCs w:val="24"/>
        </w:rPr>
        <w:t>,</w:t>
      </w:r>
      <w:r w:rsidR="00F87C34" w:rsidRPr="004F0C2F">
        <w:rPr>
          <w:rFonts w:ascii="Times New Roman" w:hAnsi="Times New Roman" w:cs="Times New Roman"/>
          <w:sz w:val="24"/>
          <w:szCs w:val="24"/>
        </w:rPr>
        <w:t xml:space="preserve"> </w:t>
      </w:r>
      <w:r w:rsidR="00676049" w:rsidRPr="004F0C2F">
        <w:rPr>
          <w:rFonts w:ascii="Times New Roman" w:hAnsi="Times New Roman" w:cs="Times New Roman"/>
          <w:i/>
          <w:sz w:val="24"/>
          <w:szCs w:val="20"/>
          <w:lang w:val="en-GB"/>
        </w:rPr>
        <w:t>C</w:t>
      </w:r>
      <w:r w:rsidR="00676049" w:rsidRPr="004F0C2F">
        <w:rPr>
          <w:rFonts w:ascii="Times New Roman" w:hAnsi="Times New Roman" w:cs="Times New Roman"/>
          <w:i/>
          <w:sz w:val="24"/>
          <w:szCs w:val="20"/>
          <w:vertAlign w:val="subscript"/>
          <w:lang w:val="en-GB"/>
        </w:rPr>
        <w:t>t</w:t>
      </w:r>
      <w:r w:rsidR="00FB7D33" w:rsidRPr="004F0C2F">
        <w:rPr>
          <w:rFonts w:ascii="Times New Roman" w:hAnsi="Times New Roman" w:cs="Times New Roman"/>
          <w:sz w:val="24"/>
          <w:szCs w:val="20"/>
          <w:vertAlign w:val="subscript"/>
          <w:lang w:val="en-GB"/>
        </w:rPr>
        <w:t>−</w:t>
      </w:r>
      <w:r w:rsidR="00676049" w:rsidRPr="004F0C2F">
        <w:rPr>
          <w:rFonts w:ascii="Times New Roman" w:hAnsi="Times New Roman" w:cs="Times New Roman"/>
          <w:sz w:val="24"/>
          <w:szCs w:val="20"/>
          <w:vertAlign w:val="subscript"/>
          <w:lang w:val="en-GB"/>
        </w:rPr>
        <w:t xml:space="preserve">2 </w:t>
      </w:r>
      <w:r w:rsidR="00676049" w:rsidRPr="004F0C2F">
        <w:rPr>
          <w:rFonts w:ascii="Times New Roman" w:hAnsi="Times New Roman" w:cs="Times New Roman"/>
          <w:sz w:val="24"/>
          <w:szCs w:val="20"/>
          <w:lang w:val="en-GB"/>
        </w:rPr>
        <w:t>= 0</w:t>
      </w:r>
      <w:r w:rsidR="00676049" w:rsidRPr="004F0C2F">
        <w:rPr>
          <w:rFonts w:ascii="Times New Roman" w:hAnsi="Times New Roman" w:cs="Times New Roman"/>
          <w:sz w:val="24"/>
          <w:szCs w:val="24"/>
        </w:rPr>
        <w:t>)</w:t>
      </w:r>
      <w:r w:rsidR="00625464" w:rsidRPr="004F0C2F">
        <w:rPr>
          <w:rFonts w:ascii="Times New Roman" w:hAnsi="Times New Roman" w:cs="Times New Roman"/>
          <w:sz w:val="24"/>
          <w:szCs w:val="24"/>
        </w:rPr>
        <w:t xml:space="preserve">. </w:t>
      </w:r>
      <w:r w:rsidR="00E07008" w:rsidRPr="004F0C2F">
        <w:rPr>
          <w:rFonts w:ascii="Times New Roman" w:hAnsi="Times New Roman" w:cs="Times New Roman"/>
          <w:sz w:val="24"/>
          <w:szCs w:val="24"/>
        </w:rPr>
        <w:t xml:space="preserve">The episodes </w:t>
      </w:r>
      <w:r w:rsidR="00CF751D" w:rsidRPr="004F0C2F">
        <w:rPr>
          <w:rFonts w:ascii="Times New Roman" w:hAnsi="Times New Roman" w:cs="Times New Roman"/>
          <w:sz w:val="24"/>
          <w:szCs w:val="24"/>
        </w:rPr>
        <w:t xml:space="preserve">where the </w:t>
      </w:r>
      <w:r w:rsidR="00E07008" w:rsidRPr="004F0C2F">
        <w:rPr>
          <w:rFonts w:ascii="Times New Roman" w:hAnsi="Times New Roman" w:cs="Times New Roman"/>
          <w:sz w:val="24"/>
          <w:szCs w:val="24"/>
        </w:rPr>
        <w:t xml:space="preserve">observation end date was day </w:t>
      </w:r>
      <w:r w:rsidR="00F778DF" w:rsidRPr="004F0C2F">
        <w:rPr>
          <w:rFonts w:ascii="Times New Roman" w:hAnsi="Times New Roman" w:cs="Times New Roman"/>
          <w:i/>
          <w:sz w:val="24"/>
          <w:szCs w:val="24"/>
        </w:rPr>
        <w:t>t</w:t>
      </w:r>
      <w:r w:rsidR="00FB7D33" w:rsidRPr="004F0C2F">
        <w:rPr>
          <w:rFonts w:ascii="Times New Roman" w:hAnsi="Times New Roman" w:cs="Times New Roman"/>
          <w:sz w:val="24"/>
          <w:szCs w:val="24"/>
        </w:rPr>
        <w:t>−</w:t>
      </w:r>
      <w:r w:rsidR="00E07008" w:rsidRPr="004F0C2F">
        <w:rPr>
          <w:rFonts w:ascii="Times New Roman" w:hAnsi="Times New Roman" w:cs="Times New Roman"/>
          <w:sz w:val="24"/>
          <w:szCs w:val="24"/>
        </w:rPr>
        <w:t xml:space="preserve">1 </w:t>
      </w:r>
      <w:r w:rsidR="0083711C" w:rsidRPr="004F0C2F">
        <w:rPr>
          <w:rFonts w:ascii="Times New Roman" w:hAnsi="Times New Roman" w:cs="Times New Roman"/>
          <w:sz w:val="24"/>
          <w:szCs w:val="24"/>
        </w:rPr>
        <w:t>(</w:t>
      </w:r>
      <w:r w:rsidR="00FB7D33" w:rsidRPr="004F0C2F">
        <w:rPr>
          <w:rFonts w:ascii="Times New Roman" w:hAnsi="Times New Roman" w:cs="Times New Roman"/>
          <w:sz w:val="24"/>
          <w:szCs w:val="24"/>
        </w:rPr>
        <w:t>i.e.,</w:t>
      </w:r>
      <w:r w:rsidR="00F87C34" w:rsidRPr="004F0C2F">
        <w:rPr>
          <w:rFonts w:ascii="Times New Roman" w:hAnsi="Times New Roman" w:cs="Times New Roman"/>
          <w:sz w:val="24"/>
          <w:szCs w:val="24"/>
        </w:rPr>
        <w:t xml:space="preserve"> </w:t>
      </w:r>
      <w:r w:rsidR="0083711C" w:rsidRPr="004F0C2F">
        <w:rPr>
          <w:rFonts w:ascii="Times New Roman" w:hAnsi="Times New Roman" w:cs="Times New Roman"/>
          <w:i/>
          <w:sz w:val="24"/>
          <w:szCs w:val="20"/>
          <w:lang w:val="en-GB"/>
        </w:rPr>
        <w:t>E</w:t>
      </w:r>
      <w:r w:rsidR="0083711C" w:rsidRPr="004F0C2F">
        <w:rPr>
          <w:rFonts w:ascii="Times New Roman" w:hAnsi="Times New Roman" w:cs="Times New Roman"/>
          <w:i/>
          <w:sz w:val="24"/>
          <w:szCs w:val="20"/>
          <w:vertAlign w:val="subscript"/>
          <w:lang w:val="en-GB"/>
        </w:rPr>
        <w:t>t</w:t>
      </w:r>
      <w:r w:rsidR="00FB7D33" w:rsidRPr="004F0C2F">
        <w:rPr>
          <w:rFonts w:ascii="Times New Roman" w:hAnsi="Times New Roman" w:cs="Times New Roman"/>
          <w:sz w:val="24"/>
          <w:szCs w:val="20"/>
          <w:vertAlign w:val="subscript"/>
          <w:lang w:val="en-GB"/>
        </w:rPr>
        <w:t>−</w:t>
      </w:r>
      <w:r w:rsidR="0083711C" w:rsidRPr="004F0C2F">
        <w:rPr>
          <w:rFonts w:ascii="Times New Roman" w:hAnsi="Times New Roman" w:cs="Times New Roman"/>
          <w:sz w:val="24"/>
          <w:szCs w:val="20"/>
          <w:vertAlign w:val="subscript"/>
          <w:lang w:val="en-GB"/>
        </w:rPr>
        <w:t xml:space="preserve">1 </w:t>
      </w:r>
      <w:r w:rsidR="0083711C" w:rsidRPr="004F0C2F">
        <w:rPr>
          <w:rFonts w:ascii="Times New Roman" w:hAnsi="Times New Roman" w:cs="Times New Roman"/>
          <w:sz w:val="24"/>
          <w:szCs w:val="20"/>
          <w:lang w:val="en-GB"/>
        </w:rPr>
        <w:t>= 1</w:t>
      </w:r>
      <w:r w:rsidR="0083711C" w:rsidRPr="004F0C2F">
        <w:rPr>
          <w:rFonts w:ascii="Times New Roman" w:hAnsi="Times New Roman" w:cs="Times New Roman"/>
          <w:sz w:val="24"/>
          <w:szCs w:val="24"/>
        </w:rPr>
        <w:t xml:space="preserve">) </w:t>
      </w:r>
      <w:r w:rsidR="00E07008" w:rsidRPr="004F0C2F">
        <w:rPr>
          <w:rFonts w:ascii="Times New Roman" w:hAnsi="Times New Roman" w:cs="Times New Roman"/>
          <w:sz w:val="24"/>
          <w:szCs w:val="24"/>
        </w:rPr>
        <w:t xml:space="preserve">were then deleted from the datasets of day </w:t>
      </w:r>
      <w:r w:rsidR="00F778DF" w:rsidRPr="004F0C2F">
        <w:rPr>
          <w:rFonts w:ascii="Times New Roman" w:hAnsi="Times New Roman" w:cs="Times New Roman"/>
          <w:i/>
          <w:sz w:val="24"/>
          <w:szCs w:val="24"/>
        </w:rPr>
        <w:t>t</w:t>
      </w:r>
      <w:r w:rsidR="00E07008" w:rsidRPr="004F0C2F">
        <w:rPr>
          <w:rFonts w:ascii="Times New Roman" w:hAnsi="Times New Roman" w:cs="Times New Roman"/>
          <w:sz w:val="24"/>
          <w:szCs w:val="24"/>
        </w:rPr>
        <w:t xml:space="preserve"> </w:t>
      </w:r>
      <w:r w:rsidR="00062EDA" w:rsidRPr="004F0C2F">
        <w:rPr>
          <w:rFonts w:ascii="Times New Roman" w:hAnsi="Times New Roman" w:cs="Times New Roman"/>
          <w:sz w:val="24"/>
          <w:szCs w:val="24"/>
        </w:rPr>
        <w:t>because we</w:t>
      </w:r>
      <w:r w:rsidR="00DB75FD" w:rsidRPr="004F0C2F">
        <w:rPr>
          <w:rFonts w:ascii="Times New Roman" w:hAnsi="Times New Roman" w:cs="Times New Roman"/>
          <w:sz w:val="24"/>
          <w:szCs w:val="24"/>
        </w:rPr>
        <w:t xml:space="preserve"> had</w:t>
      </w:r>
      <w:r w:rsidR="00062EDA" w:rsidRPr="004F0C2F">
        <w:rPr>
          <w:rFonts w:ascii="Times New Roman" w:hAnsi="Times New Roman" w:cs="Times New Roman"/>
          <w:sz w:val="24"/>
          <w:szCs w:val="24"/>
        </w:rPr>
        <w:t xml:space="preserve"> defined </w:t>
      </w:r>
      <w:r w:rsidR="004D7840" w:rsidRPr="004F0C2F">
        <w:rPr>
          <w:rFonts w:ascii="Times New Roman" w:hAnsi="Times New Roman" w:cs="Times New Roman"/>
          <w:sz w:val="24"/>
          <w:szCs w:val="24"/>
        </w:rPr>
        <w:t xml:space="preserve">the </w:t>
      </w:r>
      <w:r w:rsidR="00062EDA" w:rsidRPr="004F0C2F">
        <w:rPr>
          <w:rFonts w:ascii="Times New Roman" w:hAnsi="Times New Roman" w:cs="Times New Roman"/>
          <w:sz w:val="24"/>
          <w:szCs w:val="24"/>
        </w:rPr>
        <w:t xml:space="preserve">change of treatment </w:t>
      </w:r>
      <w:r w:rsidR="004D7840" w:rsidRPr="004F0C2F">
        <w:rPr>
          <w:rFonts w:ascii="Times New Roman" w:hAnsi="Times New Roman" w:cs="Times New Roman"/>
          <w:sz w:val="24"/>
          <w:szCs w:val="24"/>
        </w:rPr>
        <w:t xml:space="preserve">to </w:t>
      </w:r>
      <w:r w:rsidR="00062EDA" w:rsidRPr="004F0C2F">
        <w:rPr>
          <w:rFonts w:ascii="Times New Roman" w:hAnsi="Times New Roman" w:cs="Times New Roman"/>
          <w:sz w:val="24"/>
          <w:szCs w:val="24"/>
        </w:rPr>
        <w:t xml:space="preserve">occur after event onset or end of observation. </w:t>
      </w:r>
      <w:r w:rsidR="00625464" w:rsidRPr="004F0C2F">
        <w:rPr>
          <w:rFonts w:ascii="Times New Roman" w:hAnsi="Times New Roman" w:cs="Times New Roman"/>
          <w:sz w:val="24"/>
          <w:szCs w:val="24"/>
        </w:rPr>
        <w:t xml:space="preserve">Extracted episodes were </w:t>
      </w:r>
      <w:r w:rsidR="00F35F70" w:rsidRPr="004F0C2F">
        <w:rPr>
          <w:rFonts w:ascii="Times New Roman" w:hAnsi="Times New Roman" w:cs="Times New Roman"/>
          <w:sz w:val="24"/>
          <w:szCs w:val="24"/>
        </w:rPr>
        <w:t xml:space="preserve">examined using </w:t>
      </w:r>
      <w:r w:rsidR="00625464" w:rsidRPr="004F0C2F">
        <w:rPr>
          <w:rFonts w:ascii="Times New Roman" w:hAnsi="Times New Roman" w:cs="Times New Roman"/>
          <w:sz w:val="24"/>
          <w:szCs w:val="24"/>
        </w:rPr>
        <w:t xml:space="preserve">the day </w:t>
      </w:r>
      <w:r w:rsidR="00032148" w:rsidRPr="004F0C2F">
        <w:rPr>
          <w:rFonts w:ascii="Times New Roman" w:hAnsi="Times New Roman" w:cs="Times New Roman" w:hint="eastAsia"/>
          <w:sz w:val="24"/>
          <w:szCs w:val="24"/>
        </w:rPr>
        <w:t>v</w:t>
      </w:r>
      <w:r w:rsidR="00032148" w:rsidRPr="004F0C2F">
        <w:rPr>
          <w:rFonts w:ascii="Times New Roman" w:hAnsi="Times New Roman" w:cs="Times New Roman"/>
          <w:sz w:val="24"/>
          <w:szCs w:val="24"/>
        </w:rPr>
        <w:t>ariable</w:t>
      </w:r>
      <w:r w:rsidR="000F7E85" w:rsidRPr="004F0C2F">
        <w:rPr>
          <w:rFonts w:ascii="Times New Roman" w:hAnsi="Times New Roman" w:cs="Times New Roman"/>
          <w:sz w:val="24"/>
          <w:szCs w:val="24"/>
        </w:rPr>
        <w:t xml:space="preserve"> </w:t>
      </w:r>
      <w:r w:rsidR="00F778DF" w:rsidRPr="004F0C2F">
        <w:rPr>
          <w:rFonts w:ascii="Times New Roman" w:hAnsi="Times New Roman" w:cs="Times New Roman"/>
          <w:i/>
          <w:sz w:val="24"/>
          <w:szCs w:val="24"/>
        </w:rPr>
        <w:t>T</w:t>
      </w:r>
      <w:r w:rsidR="00625464" w:rsidRPr="004F0C2F">
        <w:rPr>
          <w:rFonts w:ascii="Times New Roman" w:hAnsi="Times New Roman" w:cs="Times New Roman"/>
          <w:sz w:val="24"/>
          <w:szCs w:val="24"/>
        </w:rPr>
        <w:t xml:space="preserve"> = </w:t>
      </w:r>
      <w:r w:rsidR="00F778DF" w:rsidRPr="004F0C2F">
        <w:rPr>
          <w:rFonts w:ascii="Times New Roman" w:hAnsi="Times New Roman" w:cs="Times New Roman"/>
          <w:i/>
          <w:sz w:val="24"/>
          <w:szCs w:val="24"/>
        </w:rPr>
        <w:t>t</w:t>
      </w:r>
      <w:r w:rsidR="00625464" w:rsidRPr="004F0C2F">
        <w:rPr>
          <w:rFonts w:ascii="Times New Roman" w:hAnsi="Times New Roman" w:cs="Times New Roman"/>
          <w:sz w:val="24"/>
          <w:szCs w:val="24"/>
        </w:rPr>
        <w:t xml:space="preserve"> and</w:t>
      </w:r>
      <w:r w:rsidR="00E309F6" w:rsidRPr="004F0C2F">
        <w:rPr>
          <w:rFonts w:ascii="Times New Roman" w:hAnsi="Times New Roman" w:cs="Times New Roman"/>
          <w:sz w:val="24"/>
          <w:szCs w:val="24"/>
        </w:rPr>
        <w:t xml:space="preserve"> </w:t>
      </w:r>
      <w:r w:rsidR="00E07008" w:rsidRPr="004F0C2F">
        <w:rPr>
          <w:rFonts w:ascii="Times New Roman" w:hAnsi="Times New Roman" w:cs="Times New Roman"/>
          <w:sz w:val="24"/>
          <w:szCs w:val="24"/>
        </w:rPr>
        <w:t xml:space="preserve">the indicator of </w:t>
      </w:r>
      <w:r w:rsidR="00F35F70" w:rsidRPr="004F0C2F">
        <w:rPr>
          <w:rFonts w:ascii="Times New Roman" w:hAnsi="Times New Roman" w:cs="Times New Roman"/>
          <w:sz w:val="24"/>
          <w:szCs w:val="24"/>
        </w:rPr>
        <w:t>treatment changes</w:t>
      </w:r>
      <w:r w:rsidR="000308C2" w:rsidRPr="004F0C2F">
        <w:rPr>
          <w:rFonts w:ascii="Times New Roman" w:hAnsi="Times New Roman" w:cs="Times New Roman"/>
          <w:sz w:val="24"/>
          <w:szCs w:val="24"/>
        </w:rPr>
        <w:t xml:space="preserve">. We </w:t>
      </w:r>
      <w:r w:rsidR="002210EA" w:rsidRPr="004F0C2F">
        <w:rPr>
          <w:rFonts w:ascii="Times New Roman" w:hAnsi="Times New Roman" w:cs="Times New Roman"/>
          <w:sz w:val="24"/>
          <w:szCs w:val="24"/>
        </w:rPr>
        <w:t>aggregated these 29</w:t>
      </w:r>
      <w:r w:rsidR="000308C2" w:rsidRPr="004F0C2F">
        <w:rPr>
          <w:rFonts w:ascii="Times New Roman" w:hAnsi="Times New Roman" w:cs="Times New Roman"/>
          <w:sz w:val="24"/>
          <w:szCs w:val="24"/>
        </w:rPr>
        <w:t xml:space="preserve"> datasets</w:t>
      </w:r>
      <w:r w:rsidR="00306DCC" w:rsidRPr="004F0C2F">
        <w:rPr>
          <w:rFonts w:ascii="Times New Roman" w:hAnsi="Times New Roman" w:cs="Times New Roman"/>
          <w:sz w:val="24"/>
          <w:szCs w:val="24"/>
        </w:rPr>
        <w:t xml:space="preserve"> (one</w:t>
      </w:r>
      <w:r w:rsidR="000308C2" w:rsidRPr="004F0C2F">
        <w:rPr>
          <w:rFonts w:ascii="Times New Roman" w:hAnsi="Times New Roman" w:cs="Times New Roman"/>
          <w:sz w:val="24"/>
          <w:szCs w:val="24"/>
        </w:rPr>
        <w:t xml:space="preserve"> for each day </w:t>
      </w:r>
      <w:r w:rsidR="00DA3A0C" w:rsidRPr="004F0C2F">
        <w:rPr>
          <w:rFonts w:ascii="Times New Roman" w:hAnsi="Times New Roman" w:cs="Times New Roman"/>
          <w:sz w:val="24"/>
          <w:szCs w:val="24"/>
        </w:rPr>
        <w:t xml:space="preserve">from days 2–30) </w:t>
      </w:r>
      <w:r w:rsidR="000308C2" w:rsidRPr="004F0C2F">
        <w:rPr>
          <w:rFonts w:ascii="Times New Roman" w:hAnsi="Times New Roman" w:cs="Times New Roman"/>
          <w:sz w:val="24"/>
          <w:szCs w:val="24"/>
        </w:rPr>
        <w:t xml:space="preserve">as </w:t>
      </w:r>
      <w:r w:rsidR="00DA3A0C" w:rsidRPr="004F0C2F">
        <w:rPr>
          <w:rFonts w:ascii="Times New Roman" w:hAnsi="Times New Roman" w:cs="Times New Roman"/>
          <w:sz w:val="24"/>
          <w:szCs w:val="24"/>
        </w:rPr>
        <w:t xml:space="preserve">a </w:t>
      </w:r>
      <w:r w:rsidR="000308C2" w:rsidRPr="004F0C2F">
        <w:rPr>
          <w:rFonts w:ascii="Times New Roman" w:hAnsi="Times New Roman" w:cs="Times New Roman"/>
          <w:sz w:val="24"/>
          <w:szCs w:val="24"/>
        </w:rPr>
        <w:t xml:space="preserve">pooled dataset for the calculation of </w:t>
      </w:r>
      <w:r w:rsidR="00790517" w:rsidRPr="004F0C2F">
        <w:rPr>
          <w:rFonts w:ascii="Times New Roman" w:hAnsi="Times New Roman" w:cs="Times New Roman"/>
          <w:sz w:val="24"/>
        </w:rPr>
        <w:t>inverse probability of censoring</w:t>
      </w:r>
      <w:r w:rsidR="000308C2" w:rsidRPr="004F0C2F">
        <w:rPr>
          <w:rFonts w:ascii="Times New Roman" w:hAnsi="Times New Roman" w:cs="Times New Roman"/>
          <w:sz w:val="24"/>
          <w:szCs w:val="24"/>
        </w:rPr>
        <w:t xml:space="preserve"> weight. </w:t>
      </w:r>
      <w:r w:rsidR="00951213" w:rsidRPr="004F0C2F">
        <w:rPr>
          <w:rFonts w:ascii="Times New Roman" w:hAnsi="Times New Roman" w:cs="Times New Roman"/>
          <w:sz w:val="24"/>
          <w:szCs w:val="24"/>
        </w:rPr>
        <w:t xml:space="preserve">Note that the dataset for follow-up day 1 (index date) was not included in the pooled dataset because the probability of treatment </w:t>
      </w:r>
      <w:r w:rsidR="00DA3A0C" w:rsidRPr="004F0C2F">
        <w:rPr>
          <w:rFonts w:ascii="Times New Roman" w:hAnsi="Times New Roman" w:cs="Times New Roman"/>
          <w:sz w:val="24"/>
          <w:szCs w:val="24"/>
        </w:rPr>
        <w:t xml:space="preserve">changes </w:t>
      </w:r>
      <w:r w:rsidR="00951213" w:rsidRPr="004F0C2F">
        <w:rPr>
          <w:rFonts w:ascii="Times New Roman" w:hAnsi="Times New Roman" w:cs="Times New Roman"/>
          <w:sz w:val="24"/>
          <w:szCs w:val="24"/>
        </w:rPr>
        <w:t xml:space="preserve">for all episodes </w:t>
      </w:r>
      <w:r w:rsidR="00DA3A0C" w:rsidRPr="004F0C2F">
        <w:rPr>
          <w:rFonts w:ascii="Times New Roman" w:hAnsi="Times New Roman" w:cs="Times New Roman"/>
          <w:sz w:val="24"/>
          <w:szCs w:val="24"/>
        </w:rPr>
        <w:t xml:space="preserve">on the index date </w:t>
      </w:r>
      <w:r w:rsidR="00A91B42" w:rsidRPr="004F0C2F">
        <w:rPr>
          <w:rFonts w:ascii="Times New Roman" w:hAnsi="Times New Roman" w:cs="Times New Roman"/>
          <w:sz w:val="24"/>
          <w:szCs w:val="24"/>
        </w:rPr>
        <w:t>is</w:t>
      </w:r>
      <w:r w:rsidR="0067177A" w:rsidRPr="004F0C2F">
        <w:rPr>
          <w:rFonts w:ascii="Times New Roman" w:hAnsi="Times New Roman" w:cs="Times New Roman"/>
          <w:sz w:val="24"/>
          <w:szCs w:val="24"/>
        </w:rPr>
        <w:t xml:space="preserve"> </w:t>
      </w:r>
      <w:r w:rsidR="00951213" w:rsidRPr="004F0C2F">
        <w:rPr>
          <w:rFonts w:ascii="Times New Roman" w:hAnsi="Times New Roman" w:cs="Times New Roman"/>
          <w:sz w:val="24"/>
          <w:szCs w:val="24"/>
        </w:rPr>
        <w:t xml:space="preserve">zero. </w:t>
      </w:r>
      <w:r w:rsidR="000308C2" w:rsidRPr="004F0C2F">
        <w:rPr>
          <w:rFonts w:ascii="Times New Roman" w:hAnsi="Times New Roman" w:cs="Times New Roman"/>
          <w:sz w:val="24"/>
          <w:szCs w:val="24"/>
        </w:rPr>
        <w:t>These pooled datasets were separately constructed for each group of episodes (exposed or unexposed).</w:t>
      </w:r>
    </w:p>
    <w:p w14:paraId="65BCF800" w14:textId="1E55A02A" w:rsidR="00E85FB3" w:rsidRPr="004F0C2F" w:rsidRDefault="000308C2" w:rsidP="00DE3038">
      <w:pPr>
        <w:spacing w:line="480" w:lineRule="auto"/>
        <w:jc w:val="left"/>
        <w:rPr>
          <w:rFonts w:ascii="Times New Roman" w:hAnsi="Times New Roman" w:cs="Times New Roman"/>
          <w:sz w:val="24"/>
          <w:szCs w:val="24"/>
        </w:rPr>
      </w:pPr>
      <w:r w:rsidRPr="004F0C2F">
        <w:rPr>
          <w:rFonts w:ascii="Times New Roman" w:hAnsi="Times New Roman" w:cs="Times New Roman" w:hint="eastAsia"/>
          <w:b/>
          <w:i/>
          <w:sz w:val="24"/>
          <w:szCs w:val="24"/>
        </w:rPr>
        <w:t>Step</w:t>
      </w:r>
      <w:r w:rsidR="00F836F6" w:rsidRPr="004F0C2F">
        <w:rPr>
          <w:rFonts w:ascii="Times New Roman" w:hAnsi="Times New Roman" w:cs="Times New Roman"/>
          <w:b/>
          <w:i/>
          <w:sz w:val="24"/>
          <w:szCs w:val="24"/>
        </w:rPr>
        <w:t xml:space="preserve"> </w:t>
      </w:r>
      <w:r w:rsidRPr="004F0C2F">
        <w:rPr>
          <w:rFonts w:ascii="Times New Roman" w:hAnsi="Times New Roman" w:cs="Times New Roman" w:hint="eastAsia"/>
          <w:b/>
          <w:i/>
          <w:sz w:val="24"/>
          <w:szCs w:val="24"/>
        </w:rPr>
        <w:t>2:</w:t>
      </w:r>
      <w:r w:rsidR="00062EDA" w:rsidRPr="004F0C2F">
        <w:rPr>
          <w:rFonts w:ascii="Times New Roman" w:hAnsi="Times New Roman" w:cs="Times New Roman"/>
          <w:sz w:val="24"/>
          <w:szCs w:val="24"/>
        </w:rPr>
        <w:t xml:space="preserve"> For each pooled dataset, the </w:t>
      </w:r>
      <w:r w:rsidR="002210EA" w:rsidRPr="004F0C2F">
        <w:rPr>
          <w:rFonts w:ascii="Times New Roman" w:hAnsi="Times New Roman" w:cs="Times New Roman"/>
          <w:sz w:val="24"/>
          <w:szCs w:val="24"/>
        </w:rPr>
        <w:t xml:space="preserve">denominator of </w:t>
      </w:r>
      <w:proofErr w:type="spellStart"/>
      <w:r w:rsidR="002210EA" w:rsidRPr="004F0C2F">
        <w:rPr>
          <w:rFonts w:ascii="Times New Roman" w:hAnsi="Times New Roman" w:cs="Times New Roman"/>
          <w:i/>
          <w:sz w:val="24"/>
          <w:szCs w:val="24"/>
        </w:rPr>
        <w:t>SW</w:t>
      </w:r>
      <w:r w:rsidR="00F778DF" w:rsidRPr="004F0C2F">
        <w:rPr>
          <w:rFonts w:ascii="Times New Roman" w:hAnsi="Times New Roman" w:cs="Times New Roman"/>
          <w:i/>
          <w:sz w:val="24"/>
          <w:szCs w:val="24"/>
          <w:vertAlign w:val="subscript"/>
        </w:rPr>
        <w:t>t</w:t>
      </w:r>
      <w:r w:rsidR="002210EA" w:rsidRPr="004F0C2F">
        <w:rPr>
          <w:rFonts w:ascii="Times New Roman" w:hAnsi="Times New Roman" w:cs="Times New Roman"/>
          <w:i/>
          <w:sz w:val="24"/>
          <w:szCs w:val="24"/>
          <w:vertAlign w:val="superscript"/>
        </w:rPr>
        <w:t>C</w:t>
      </w:r>
      <w:proofErr w:type="spellEnd"/>
      <w:r w:rsidR="00062EDA" w:rsidRPr="004F0C2F">
        <w:rPr>
          <w:rFonts w:ascii="Times New Roman" w:hAnsi="Times New Roman" w:cs="Times New Roman"/>
          <w:i/>
          <w:sz w:val="24"/>
          <w:szCs w:val="24"/>
        </w:rPr>
        <w:t xml:space="preserve"> </w:t>
      </w:r>
      <w:r w:rsidR="00BB4703" w:rsidRPr="004F0C2F">
        <w:rPr>
          <w:rFonts w:ascii="Times New Roman" w:hAnsi="Times New Roman" w:cs="Times New Roman"/>
          <w:sz w:val="24"/>
          <w:szCs w:val="24"/>
        </w:rPr>
        <w:t xml:space="preserve">for each follow-up </w:t>
      </w:r>
      <w:r w:rsidR="00062EDA" w:rsidRPr="004F0C2F">
        <w:rPr>
          <w:rFonts w:ascii="Times New Roman" w:hAnsi="Times New Roman" w:cs="Times New Roman"/>
          <w:sz w:val="24"/>
          <w:szCs w:val="24"/>
        </w:rPr>
        <w:t xml:space="preserve">day of each episode </w:t>
      </w:r>
      <w:r w:rsidR="00F839A5" w:rsidRPr="004F0C2F">
        <w:rPr>
          <w:rFonts w:ascii="Times New Roman" w:hAnsi="Times New Roman" w:cs="Times New Roman"/>
          <w:sz w:val="24"/>
          <w:szCs w:val="24"/>
        </w:rPr>
        <w:t xml:space="preserve">was </w:t>
      </w:r>
      <w:r w:rsidR="00062EDA" w:rsidRPr="004F0C2F">
        <w:rPr>
          <w:rFonts w:ascii="Times New Roman" w:hAnsi="Times New Roman" w:cs="Times New Roman"/>
          <w:sz w:val="24"/>
          <w:szCs w:val="24"/>
        </w:rPr>
        <w:t>calculated using</w:t>
      </w:r>
      <w:r w:rsidR="00D110C5" w:rsidRPr="004F0C2F">
        <w:rPr>
          <w:rFonts w:ascii="Times New Roman" w:hAnsi="Times New Roman" w:cs="Times New Roman"/>
          <w:sz w:val="24"/>
          <w:szCs w:val="24"/>
        </w:rPr>
        <w:t xml:space="preserve"> a</w:t>
      </w:r>
      <w:r w:rsidR="00062EDA" w:rsidRPr="004F0C2F">
        <w:rPr>
          <w:rFonts w:ascii="Times New Roman" w:hAnsi="Times New Roman" w:cs="Times New Roman"/>
          <w:sz w:val="24"/>
          <w:szCs w:val="24"/>
        </w:rPr>
        <w:t xml:space="preserve"> </w:t>
      </w:r>
      <w:r w:rsidR="008D20D6" w:rsidRPr="004F0C2F">
        <w:rPr>
          <w:rFonts w:ascii="Times New Roman" w:hAnsi="Times New Roman" w:cs="Times New Roman"/>
          <w:sz w:val="24"/>
          <w:szCs w:val="24"/>
          <w:lang w:val="en-GB"/>
        </w:rPr>
        <w:t>Firth’s penalized likelihood</w:t>
      </w:r>
      <w:r w:rsidR="008D20D6" w:rsidRPr="004F0C2F">
        <w:rPr>
          <w:rFonts w:ascii="Times New Roman" w:hAnsi="Times New Roman" w:cs="Times New Roman"/>
          <w:sz w:val="24"/>
          <w:szCs w:val="24"/>
        </w:rPr>
        <w:t xml:space="preserve"> </w:t>
      </w:r>
      <w:r w:rsidR="00062EDA" w:rsidRPr="004F0C2F">
        <w:rPr>
          <w:rFonts w:ascii="Times New Roman" w:hAnsi="Times New Roman" w:cs="Times New Roman"/>
          <w:sz w:val="24"/>
          <w:szCs w:val="24"/>
        </w:rPr>
        <w:t xml:space="preserve">logistic </w:t>
      </w:r>
      <w:r w:rsidR="00062EDA" w:rsidRPr="004F0C2F">
        <w:rPr>
          <w:rFonts w:ascii="Times New Roman" w:hAnsi="Times New Roman"/>
          <w:bCs/>
          <w:sz w:val="24"/>
          <w:lang w:val="en-GB"/>
        </w:rPr>
        <w:t xml:space="preserve">regression </w:t>
      </w:r>
      <w:r w:rsidR="00062EDA" w:rsidRPr="004F0C2F">
        <w:rPr>
          <w:rFonts w:ascii="Times New Roman" w:hAnsi="Times New Roman" w:hint="eastAsia"/>
          <w:bCs/>
          <w:sz w:val="24"/>
          <w:lang w:val="en-GB"/>
        </w:rPr>
        <w:t>model</w:t>
      </w:r>
      <w:r w:rsidR="00062EDA" w:rsidRPr="004F0C2F">
        <w:rPr>
          <w:rFonts w:ascii="Times New Roman" w:hAnsi="Times New Roman"/>
          <w:bCs/>
          <w:sz w:val="24"/>
          <w:lang w:val="en-GB"/>
        </w:rPr>
        <w:t xml:space="preserve"> </w:t>
      </w:r>
      <w:r w:rsidR="0046453F" w:rsidRPr="004F0C2F">
        <w:rPr>
          <w:rFonts w:ascii="Times New Roman" w:hAnsi="Times New Roman"/>
          <w:bCs/>
          <w:sz w:val="24"/>
          <w:lang w:val="en-GB"/>
        </w:rPr>
        <w:t xml:space="preserve">to </w:t>
      </w:r>
      <w:r w:rsidR="000C2031" w:rsidRPr="004F0C2F">
        <w:rPr>
          <w:rFonts w:ascii="Times New Roman" w:hAnsi="Times New Roman"/>
          <w:bCs/>
          <w:sz w:val="24"/>
          <w:lang w:val="en-GB"/>
        </w:rPr>
        <w:t>estimat</w:t>
      </w:r>
      <w:r w:rsidR="0046453F" w:rsidRPr="004F0C2F">
        <w:rPr>
          <w:rFonts w:ascii="Times New Roman" w:hAnsi="Times New Roman"/>
          <w:bCs/>
          <w:sz w:val="24"/>
          <w:lang w:val="en-GB"/>
        </w:rPr>
        <w:t>e</w:t>
      </w:r>
      <w:r w:rsidR="00B82D56" w:rsidRPr="004F0C2F">
        <w:rPr>
          <w:rFonts w:ascii="Times New Roman" w:hAnsi="Times New Roman"/>
          <w:bCs/>
          <w:sz w:val="24"/>
          <w:lang w:val="en-GB"/>
        </w:rPr>
        <w:t xml:space="preserve"> the probability that </w:t>
      </w:r>
      <w:r w:rsidR="00AC2E67" w:rsidRPr="004F0C2F">
        <w:rPr>
          <w:rFonts w:ascii="Times New Roman" w:hAnsi="Times New Roman"/>
          <w:bCs/>
          <w:sz w:val="24"/>
          <w:lang w:val="en-GB"/>
        </w:rPr>
        <w:t xml:space="preserve">there was no change in </w:t>
      </w:r>
      <w:r w:rsidR="00062EDA" w:rsidRPr="004F0C2F">
        <w:rPr>
          <w:rFonts w:ascii="Times New Roman" w:hAnsi="Times New Roman"/>
          <w:bCs/>
          <w:sz w:val="24"/>
          <w:lang w:val="en-GB"/>
        </w:rPr>
        <w:t xml:space="preserve">treatment </w:t>
      </w:r>
      <w:r w:rsidR="00B82D56" w:rsidRPr="004F0C2F">
        <w:rPr>
          <w:rFonts w:ascii="Times New Roman" w:hAnsi="Times New Roman"/>
          <w:bCs/>
          <w:sz w:val="24"/>
          <w:lang w:val="en-GB"/>
        </w:rPr>
        <w:t>status</w:t>
      </w:r>
      <w:r w:rsidR="00311F86" w:rsidRPr="004F0C2F">
        <w:rPr>
          <w:rFonts w:ascii="Times New Roman" w:hAnsi="Times New Roman"/>
          <w:bCs/>
          <w:sz w:val="24"/>
          <w:lang w:val="en-GB"/>
        </w:rPr>
        <w:t>. This model included</w:t>
      </w:r>
      <w:r w:rsidR="00062EDA" w:rsidRPr="004F0C2F">
        <w:rPr>
          <w:rFonts w:ascii="Times New Roman" w:hAnsi="Times New Roman" w:hint="eastAsia"/>
          <w:bCs/>
          <w:sz w:val="24"/>
          <w:lang w:val="en-GB"/>
        </w:rPr>
        <w:t xml:space="preserve"> 100 </w:t>
      </w:r>
      <w:r w:rsidR="00EB3DD5" w:rsidRPr="004F0C2F">
        <w:rPr>
          <w:rFonts w:ascii="Times New Roman" w:hAnsi="Times New Roman"/>
          <w:bCs/>
          <w:sz w:val="24"/>
          <w:lang w:val="en-GB"/>
        </w:rPr>
        <w:t>covariates</w:t>
      </w:r>
      <w:r w:rsidR="00EB3DD5" w:rsidRPr="004F0C2F">
        <w:rPr>
          <w:rFonts w:ascii="Times New Roman" w:hAnsi="Times New Roman" w:hint="eastAsia"/>
          <w:bCs/>
          <w:sz w:val="24"/>
          <w:lang w:val="en-GB"/>
        </w:rPr>
        <w:t xml:space="preserve"> </w:t>
      </w:r>
      <w:r w:rsidR="00062EDA" w:rsidRPr="004F0C2F">
        <w:rPr>
          <w:rFonts w:ascii="Times New Roman" w:hAnsi="Times New Roman"/>
          <w:bCs/>
          <w:sz w:val="24"/>
          <w:lang w:val="en-GB"/>
        </w:rPr>
        <w:t xml:space="preserve">selected for </w:t>
      </w:r>
      <w:r w:rsidR="001568E0" w:rsidRPr="004F0C2F">
        <w:rPr>
          <w:rFonts w:ascii="Times New Roman" w:hAnsi="Times New Roman"/>
          <w:bCs/>
          <w:sz w:val="24"/>
          <w:lang w:val="en-GB"/>
        </w:rPr>
        <w:t xml:space="preserve">the </w:t>
      </w:r>
      <w:r w:rsidR="00062EDA" w:rsidRPr="004F0C2F">
        <w:rPr>
          <w:rFonts w:ascii="Times New Roman" w:hAnsi="Times New Roman"/>
          <w:bCs/>
          <w:sz w:val="24"/>
          <w:lang w:val="en-GB"/>
        </w:rPr>
        <w:t>calculation of PS</w:t>
      </w:r>
      <w:r w:rsidR="003815A0" w:rsidRPr="004F0C2F">
        <w:rPr>
          <w:rFonts w:ascii="Times New Roman" w:hAnsi="Times New Roman"/>
          <w:bCs/>
          <w:sz w:val="24"/>
          <w:lang w:val="en-GB"/>
        </w:rPr>
        <w:t xml:space="preserve">, </w:t>
      </w:r>
      <w:r w:rsidR="00062EDA" w:rsidRPr="004F0C2F">
        <w:rPr>
          <w:rFonts w:ascii="Times New Roman" w:hAnsi="Times New Roman" w:hint="eastAsia"/>
          <w:bCs/>
          <w:sz w:val="24"/>
          <w:lang w:val="en-GB"/>
        </w:rPr>
        <w:t>patient age, sex</w:t>
      </w:r>
      <w:r w:rsidR="00062EDA" w:rsidRPr="004F0C2F">
        <w:rPr>
          <w:rFonts w:ascii="Times New Roman" w:hAnsi="Times New Roman"/>
          <w:bCs/>
          <w:sz w:val="24"/>
          <w:lang w:val="en-GB"/>
        </w:rPr>
        <w:t xml:space="preserve">, </w:t>
      </w:r>
      <w:r w:rsidR="00062EDA" w:rsidRPr="004F0C2F">
        <w:rPr>
          <w:rFonts w:ascii="Times New Roman" w:hAnsi="Times New Roman" w:hint="eastAsia"/>
          <w:bCs/>
          <w:sz w:val="24"/>
          <w:lang w:val="en-GB"/>
        </w:rPr>
        <w:t xml:space="preserve">year, </w:t>
      </w:r>
      <w:r w:rsidR="00062EDA" w:rsidRPr="004F0C2F">
        <w:rPr>
          <w:rFonts w:ascii="Times New Roman" w:hAnsi="Times New Roman"/>
          <w:bCs/>
          <w:sz w:val="24"/>
          <w:lang w:val="en-GB"/>
        </w:rPr>
        <w:t xml:space="preserve">hospitalization status </w:t>
      </w:r>
      <w:r w:rsidR="003C09FE" w:rsidRPr="004F0C2F">
        <w:rPr>
          <w:rFonts w:ascii="Times New Roman" w:hAnsi="Times New Roman"/>
          <w:bCs/>
          <w:sz w:val="24"/>
          <w:lang w:val="en-GB"/>
        </w:rPr>
        <w:t>on the</w:t>
      </w:r>
      <w:r w:rsidR="00062EDA" w:rsidRPr="004F0C2F">
        <w:rPr>
          <w:rFonts w:ascii="Times New Roman" w:hAnsi="Times New Roman" w:hint="eastAsia"/>
          <w:bCs/>
          <w:sz w:val="24"/>
          <w:lang w:val="en-GB"/>
        </w:rPr>
        <w:t xml:space="preserve"> </w:t>
      </w:r>
      <w:r w:rsidR="00062EDA" w:rsidRPr="004F0C2F">
        <w:rPr>
          <w:rFonts w:ascii="Times New Roman" w:hAnsi="Times New Roman"/>
          <w:bCs/>
          <w:sz w:val="24"/>
          <w:lang w:val="en-GB"/>
        </w:rPr>
        <w:t>index</w:t>
      </w:r>
      <w:r w:rsidR="00062EDA" w:rsidRPr="004F0C2F">
        <w:rPr>
          <w:rFonts w:ascii="Times New Roman" w:hAnsi="Times New Roman" w:hint="eastAsia"/>
          <w:bCs/>
          <w:sz w:val="24"/>
          <w:lang w:val="en-GB"/>
        </w:rPr>
        <w:t xml:space="preserve"> date</w:t>
      </w:r>
      <w:r w:rsidR="003C09FE" w:rsidRPr="004F0C2F">
        <w:rPr>
          <w:rFonts w:ascii="Times New Roman" w:hAnsi="Times New Roman"/>
          <w:bCs/>
          <w:sz w:val="24"/>
          <w:lang w:val="en-GB"/>
        </w:rPr>
        <w:t>,</w:t>
      </w:r>
      <w:r w:rsidR="00062EDA" w:rsidRPr="004F0C2F">
        <w:rPr>
          <w:rFonts w:ascii="Times New Roman" w:hAnsi="Times New Roman" w:hint="eastAsia"/>
          <w:bCs/>
          <w:sz w:val="24"/>
          <w:lang w:val="en-GB"/>
        </w:rPr>
        <w:t xml:space="preserve"> and day </w:t>
      </w:r>
      <w:r w:rsidR="00AA4E0D" w:rsidRPr="004F0C2F">
        <w:rPr>
          <w:rFonts w:ascii="Times New Roman" w:hAnsi="Times New Roman"/>
          <w:bCs/>
          <w:sz w:val="24"/>
          <w:lang w:val="en-GB"/>
        </w:rPr>
        <w:t>variable</w:t>
      </w:r>
      <w:r w:rsidR="00032148" w:rsidRPr="004F0C2F">
        <w:rPr>
          <w:rFonts w:ascii="Times New Roman" w:hAnsi="Times New Roman" w:hint="eastAsia"/>
          <w:bCs/>
          <w:sz w:val="24"/>
          <w:lang w:val="en-GB"/>
        </w:rPr>
        <w:t xml:space="preserve"> </w:t>
      </w:r>
      <w:r w:rsidR="00F778DF" w:rsidRPr="004F0C2F">
        <w:rPr>
          <w:rFonts w:ascii="Times New Roman" w:hAnsi="Times New Roman"/>
          <w:bCs/>
          <w:i/>
          <w:sz w:val="24"/>
          <w:lang w:val="en-GB"/>
        </w:rPr>
        <w:t>T</w:t>
      </w:r>
      <w:r w:rsidR="00062EDA" w:rsidRPr="004F0C2F">
        <w:rPr>
          <w:rFonts w:ascii="Times New Roman" w:hAnsi="Times New Roman" w:hint="eastAsia"/>
          <w:bCs/>
          <w:sz w:val="24"/>
          <w:lang w:val="en-GB"/>
        </w:rPr>
        <w:t xml:space="preserve">. </w:t>
      </w:r>
      <w:r w:rsidR="00E85FB3" w:rsidRPr="004F0C2F">
        <w:rPr>
          <w:rFonts w:ascii="Times New Roman" w:hAnsi="Times New Roman" w:cs="Times New Roman"/>
          <w:sz w:val="24"/>
          <w:szCs w:val="24"/>
        </w:rPr>
        <w:t xml:space="preserve">The numerator of </w:t>
      </w:r>
      <w:proofErr w:type="spellStart"/>
      <w:r w:rsidR="00E85FB3" w:rsidRPr="004F0C2F">
        <w:rPr>
          <w:rFonts w:ascii="Times New Roman" w:hAnsi="Times New Roman" w:cs="Times New Roman"/>
          <w:i/>
          <w:sz w:val="24"/>
          <w:szCs w:val="24"/>
        </w:rPr>
        <w:t>SW</w:t>
      </w:r>
      <w:r w:rsidR="00F778DF" w:rsidRPr="004F0C2F">
        <w:rPr>
          <w:rFonts w:ascii="Times New Roman" w:hAnsi="Times New Roman" w:cs="Times New Roman"/>
          <w:i/>
          <w:sz w:val="24"/>
          <w:szCs w:val="24"/>
          <w:vertAlign w:val="subscript"/>
        </w:rPr>
        <w:t>t</w:t>
      </w:r>
      <w:r w:rsidR="00E85FB3" w:rsidRPr="004F0C2F">
        <w:rPr>
          <w:rFonts w:ascii="Times New Roman" w:hAnsi="Times New Roman" w:cs="Times New Roman"/>
          <w:i/>
          <w:sz w:val="24"/>
          <w:szCs w:val="24"/>
          <w:vertAlign w:val="superscript"/>
        </w:rPr>
        <w:t>C</w:t>
      </w:r>
      <w:proofErr w:type="spellEnd"/>
      <w:r w:rsidR="00E85FB3" w:rsidRPr="004F0C2F">
        <w:rPr>
          <w:rFonts w:ascii="Times New Roman" w:hAnsi="Times New Roman" w:cs="Times New Roman"/>
          <w:i/>
          <w:sz w:val="24"/>
          <w:szCs w:val="24"/>
        </w:rPr>
        <w:t xml:space="preserve"> </w:t>
      </w:r>
      <w:r w:rsidR="00E85FB3" w:rsidRPr="004F0C2F">
        <w:rPr>
          <w:rFonts w:ascii="Times New Roman" w:hAnsi="Times New Roman" w:cs="Times New Roman"/>
          <w:sz w:val="24"/>
          <w:szCs w:val="24"/>
        </w:rPr>
        <w:t xml:space="preserve">(stabilized term) for each </w:t>
      </w:r>
      <w:r w:rsidR="00BB4703" w:rsidRPr="004F0C2F">
        <w:rPr>
          <w:rFonts w:ascii="Times New Roman" w:hAnsi="Times New Roman" w:cs="Times New Roman"/>
          <w:sz w:val="24"/>
          <w:szCs w:val="24"/>
        </w:rPr>
        <w:t xml:space="preserve">follow-up </w:t>
      </w:r>
      <w:r w:rsidR="00E85FB3" w:rsidRPr="004F0C2F">
        <w:rPr>
          <w:rFonts w:ascii="Times New Roman" w:hAnsi="Times New Roman" w:cs="Times New Roman"/>
          <w:sz w:val="24"/>
          <w:szCs w:val="24"/>
        </w:rPr>
        <w:t xml:space="preserve">day of each episode </w:t>
      </w:r>
      <w:r w:rsidR="00E22CD8" w:rsidRPr="004F0C2F">
        <w:rPr>
          <w:rFonts w:ascii="Times New Roman" w:hAnsi="Times New Roman" w:cs="Times New Roman"/>
          <w:sz w:val="24"/>
          <w:szCs w:val="24"/>
        </w:rPr>
        <w:t xml:space="preserve">was </w:t>
      </w:r>
      <w:r w:rsidR="00E85FB3" w:rsidRPr="004F0C2F">
        <w:rPr>
          <w:rFonts w:ascii="Times New Roman" w:hAnsi="Times New Roman" w:cs="Times New Roman"/>
          <w:sz w:val="24"/>
          <w:szCs w:val="24"/>
        </w:rPr>
        <w:t xml:space="preserve">also calculated using </w:t>
      </w:r>
      <w:r w:rsidR="00E22CD8" w:rsidRPr="004F0C2F">
        <w:rPr>
          <w:rFonts w:ascii="Times New Roman" w:hAnsi="Times New Roman" w:cs="Times New Roman"/>
          <w:sz w:val="24"/>
          <w:szCs w:val="24"/>
        </w:rPr>
        <w:t xml:space="preserve">a </w:t>
      </w:r>
      <w:r w:rsidR="0071742B" w:rsidRPr="004F0C2F">
        <w:rPr>
          <w:rFonts w:ascii="Times New Roman" w:hAnsi="Times New Roman" w:cs="Times New Roman"/>
          <w:sz w:val="24"/>
          <w:szCs w:val="24"/>
          <w:lang w:val="en-GB"/>
        </w:rPr>
        <w:lastRenderedPageBreak/>
        <w:t>Firth’s penalized likelihood</w:t>
      </w:r>
      <w:r w:rsidR="0071742B" w:rsidRPr="004F0C2F">
        <w:rPr>
          <w:rFonts w:ascii="Times New Roman" w:hAnsi="Times New Roman" w:cs="Times New Roman"/>
          <w:sz w:val="24"/>
          <w:szCs w:val="24"/>
        </w:rPr>
        <w:t xml:space="preserve"> </w:t>
      </w:r>
      <w:r w:rsidR="00E85FB3" w:rsidRPr="004F0C2F">
        <w:rPr>
          <w:rFonts w:ascii="Times New Roman" w:hAnsi="Times New Roman" w:cs="Times New Roman"/>
          <w:sz w:val="24"/>
          <w:szCs w:val="24"/>
        </w:rPr>
        <w:t xml:space="preserve">logistic </w:t>
      </w:r>
      <w:r w:rsidR="004A725A" w:rsidRPr="004F0C2F">
        <w:rPr>
          <w:rFonts w:ascii="Times New Roman" w:hAnsi="Times New Roman" w:cs="Times New Roman"/>
          <w:sz w:val="24"/>
          <w:szCs w:val="24"/>
        </w:rPr>
        <w:t xml:space="preserve">regression </w:t>
      </w:r>
      <w:r w:rsidR="00E85FB3" w:rsidRPr="004F0C2F">
        <w:rPr>
          <w:rFonts w:ascii="Times New Roman" w:hAnsi="Times New Roman"/>
          <w:bCs/>
          <w:sz w:val="24"/>
          <w:lang w:val="en-GB"/>
        </w:rPr>
        <w:t xml:space="preserve">model for </w:t>
      </w:r>
      <w:r w:rsidR="00E22CD8" w:rsidRPr="004F0C2F">
        <w:rPr>
          <w:rFonts w:ascii="Times New Roman" w:hAnsi="Times New Roman"/>
          <w:bCs/>
          <w:sz w:val="24"/>
          <w:lang w:val="en-GB"/>
        </w:rPr>
        <w:t>estimating</w:t>
      </w:r>
      <w:r w:rsidR="00E85FB3" w:rsidRPr="004F0C2F">
        <w:rPr>
          <w:rFonts w:ascii="Times New Roman" w:hAnsi="Times New Roman"/>
          <w:bCs/>
          <w:sz w:val="24"/>
          <w:lang w:val="en-GB"/>
        </w:rPr>
        <w:t xml:space="preserve"> the probability that </w:t>
      </w:r>
      <w:r w:rsidR="00F138F8" w:rsidRPr="004F0C2F">
        <w:rPr>
          <w:rFonts w:ascii="Times New Roman" w:hAnsi="Times New Roman"/>
          <w:bCs/>
          <w:sz w:val="24"/>
          <w:lang w:val="en-GB"/>
        </w:rPr>
        <w:t>there was no change in treatment status</w:t>
      </w:r>
      <w:r w:rsidR="00765492" w:rsidRPr="004F0C2F">
        <w:rPr>
          <w:rFonts w:ascii="Times New Roman" w:hAnsi="Times New Roman"/>
          <w:bCs/>
          <w:sz w:val="24"/>
          <w:lang w:val="en-GB"/>
        </w:rPr>
        <w:t>; this model only included the</w:t>
      </w:r>
      <w:r w:rsidR="00E85FB3" w:rsidRPr="004F0C2F">
        <w:rPr>
          <w:rFonts w:ascii="Times New Roman" w:hAnsi="Times New Roman"/>
          <w:bCs/>
          <w:sz w:val="24"/>
          <w:lang w:val="en-GB"/>
        </w:rPr>
        <w:t xml:space="preserve"> day </w:t>
      </w:r>
      <w:r w:rsidR="00AA4E0D" w:rsidRPr="004F0C2F">
        <w:rPr>
          <w:rFonts w:ascii="Times New Roman" w:hAnsi="Times New Roman"/>
          <w:bCs/>
          <w:sz w:val="24"/>
          <w:lang w:val="en-GB"/>
        </w:rPr>
        <w:t>variable</w:t>
      </w:r>
      <w:r w:rsidR="00032148" w:rsidRPr="004F0C2F">
        <w:rPr>
          <w:rFonts w:ascii="Times New Roman" w:hAnsi="Times New Roman"/>
          <w:bCs/>
          <w:sz w:val="24"/>
          <w:lang w:val="en-GB"/>
        </w:rPr>
        <w:t xml:space="preserve"> </w:t>
      </w:r>
      <w:r w:rsidR="00F778DF" w:rsidRPr="004F0C2F">
        <w:rPr>
          <w:rFonts w:ascii="Times New Roman" w:hAnsi="Times New Roman"/>
          <w:bCs/>
          <w:i/>
          <w:sz w:val="24"/>
          <w:lang w:val="en-GB"/>
        </w:rPr>
        <w:t>T</w:t>
      </w:r>
      <w:r w:rsidR="00765492" w:rsidRPr="004F0C2F">
        <w:rPr>
          <w:rFonts w:ascii="Times New Roman" w:hAnsi="Times New Roman"/>
          <w:bCs/>
          <w:sz w:val="24"/>
          <w:lang w:val="en-GB"/>
        </w:rPr>
        <w:t xml:space="preserve"> as a covariate</w:t>
      </w:r>
      <w:r w:rsidR="00E85FB3" w:rsidRPr="004F0C2F">
        <w:rPr>
          <w:rFonts w:ascii="Times New Roman" w:hAnsi="Times New Roman"/>
          <w:bCs/>
          <w:sz w:val="24"/>
          <w:lang w:val="en-GB"/>
        </w:rPr>
        <w:t>.</w:t>
      </w:r>
    </w:p>
    <w:p w14:paraId="3A473110" w14:textId="0C9E0275" w:rsidR="00A86360" w:rsidRPr="004F0C2F" w:rsidRDefault="00E85FB3" w:rsidP="00A86360">
      <w:pPr>
        <w:spacing w:line="480" w:lineRule="auto"/>
        <w:jc w:val="left"/>
        <w:rPr>
          <w:rFonts w:ascii="Times New Roman" w:hAnsi="Times New Roman" w:cs="Times New Roman"/>
          <w:sz w:val="24"/>
          <w:szCs w:val="24"/>
        </w:rPr>
      </w:pPr>
      <w:r w:rsidRPr="004F0C2F">
        <w:rPr>
          <w:rFonts w:ascii="Times New Roman" w:hAnsi="Times New Roman" w:cs="Times New Roman" w:hint="eastAsia"/>
          <w:b/>
          <w:i/>
          <w:sz w:val="24"/>
          <w:szCs w:val="24"/>
        </w:rPr>
        <w:t>Step</w:t>
      </w:r>
      <w:r w:rsidR="00F836F6" w:rsidRPr="004F0C2F">
        <w:rPr>
          <w:rFonts w:ascii="Times New Roman" w:hAnsi="Times New Roman" w:cs="Times New Roman"/>
          <w:b/>
          <w:i/>
          <w:sz w:val="24"/>
          <w:szCs w:val="24"/>
        </w:rPr>
        <w:t xml:space="preserve"> </w:t>
      </w:r>
      <w:r w:rsidRPr="004F0C2F">
        <w:rPr>
          <w:rFonts w:ascii="Times New Roman" w:hAnsi="Times New Roman" w:cs="Times New Roman" w:hint="eastAsia"/>
          <w:b/>
          <w:i/>
          <w:sz w:val="24"/>
          <w:szCs w:val="24"/>
        </w:rPr>
        <w:t>3</w:t>
      </w:r>
      <w:r w:rsidRPr="004F0C2F">
        <w:rPr>
          <w:rFonts w:ascii="Times New Roman" w:hAnsi="Times New Roman" w:cs="Times New Roman" w:hint="eastAsia"/>
          <w:b/>
          <w:sz w:val="24"/>
          <w:szCs w:val="24"/>
        </w:rPr>
        <w:t>:</w:t>
      </w:r>
      <w:r w:rsidRPr="004F0C2F">
        <w:rPr>
          <w:rFonts w:ascii="Times New Roman" w:hAnsi="Times New Roman" w:cs="Times New Roman" w:hint="eastAsia"/>
          <w:sz w:val="24"/>
          <w:szCs w:val="24"/>
        </w:rPr>
        <w:t xml:space="preserve"> </w:t>
      </w:r>
      <w:r w:rsidR="00F861FD" w:rsidRPr="004F0C2F">
        <w:rPr>
          <w:rFonts w:ascii="Times New Roman" w:hAnsi="Times New Roman" w:cs="Times New Roman"/>
          <w:sz w:val="24"/>
          <w:szCs w:val="24"/>
        </w:rPr>
        <w:t>The weight</w:t>
      </w:r>
      <w:r w:rsidR="005F08FD" w:rsidRPr="004F0C2F">
        <w:rPr>
          <w:rFonts w:ascii="Times New Roman" w:hAnsi="Times New Roman" w:cs="Times New Roman"/>
          <w:sz w:val="24"/>
          <w:szCs w:val="24"/>
        </w:rPr>
        <w:t xml:space="preserve"> </w:t>
      </w:r>
      <w:proofErr w:type="spellStart"/>
      <w:r w:rsidR="005F08FD" w:rsidRPr="004F0C2F">
        <w:rPr>
          <w:rFonts w:ascii="Times New Roman" w:hAnsi="Times New Roman" w:cs="Times New Roman"/>
          <w:i/>
          <w:sz w:val="24"/>
          <w:szCs w:val="24"/>
        </w:rPr>
        <w:t>SW</w:t>
      </w:r>
      <w:r w:rsidR="00F778DF" w:rsidRPr="004F0C2F">
        <w:rPr>
          <w:rFonts w:ascii="Times New Roman" w:hAnsi="Times New Roman" w:cs="Times New Roman"/>
          <w:i/>
          <w:sz w:val="24"/>
          <w:szCs w:val="24"/>
          <w:vertAlign w:val="subscript"/>
        </w:rPr>
        <w:t>t</w:t>
      </w:r>
      <w:r w:rsidR="005F08FD" w:rsidRPr="004F0C2F">
        <w:rPr>
          <w:rFonts w:ascii="Times New Roman" w:hAnsi="Times New Roman" w:cs="Times New Roman"/>
          <w:i/>
          <w:sz w:val="24"/>
          <w:szCs w:val="24"/>
          <w:vertAlign w:val="superscript"/>
        </w:rPr>
        <w:t>C</w:t>
      </w:r>
      <w:proofErr w:type="spellEnd"/>
      <w:r w:rsidR="005F08FD" w:rsidRPr="004F0C2F">
        <w:rPr>
          <w:rFonts w:ascii="Times New Roman" w:hAnsi="Times New Roman" w:cs="Times New Roman"/>
          <w:sz w:val="24"/>
          <w:szCs w:val="24"/>
        </w:rPr>
        <w:t xml:space="preserve"> for each follow-up day </w:t>
      </w:r>
      <w:r w:rsidR="00F778DF" w:rsidRPr="004F0C2F">
        <w:rPr>
          <w:rFonts w:ascii="Times New Roman" w:hAnsi="Times New Roman" w:cs="Times New Roman"/>
          <w:i/>
          <w:sz w:val="24"/>
          <w:szCs w:val="24"/>
        </w:rPr>
        <w:t>t</w:t>
      </w:r>
      <w:r w:rsidR="00F861FD" w:rsidRPr="004F0C2F">
        <w:rPr>
          <w:rFonts w:ascii="Times New Roman" w:hAnsi="Times New Roman" w:cs="Times New Roman"/>
          <w:sz w:val="24"/>
          <w:szCs w:val="24"/>
        </w:rPr>
        <w:t xml:space="preserve"> of each episode </w:t>
      </w:r>
      <w:r w:rsidR="0031549D" w:rsidRPr="004F0C2F">
        <w:rPr>
          <w:rFonts w:ascii="Times New Roman" w:hAnsi="Times New Roman" w:cs="Times New Roman"/>
          <w:sz w:val="24"/>
          <w:szCs w:val="24"/>
        </w:rPr>
        <w:t xml:space="preserve">was </w:t>
      </w:r>
      <w:r w:rsidR="00F861FD" w:rsidRPr="004F0C2F">
        <w:rPr>
          <w:rFonts w:ascii="Times New Roman" w:hAnsi="Times New Roman" w:cs="Times New Roman"/>
          <w:sz w:val="24"/>
          <w:szCs w:val="24"/>
        </w:rPr>
        <w:t xml:space="preserve">calculated based on the terms </w:t>
      </w:r>
      <w:r w:rsidR="003A784D" w:rsidRPr="004F0C2F">
        <w:rPr>
          <w:rFonts w:ascii="Times New Roman" w:hAnsi="Times New Roman" w:cs="Times New Roman"/>
          <w:sz w:val="24"/>
          <w:szCs w:val="24"/>
        </w:rPr>
        <w:t xml:space="preserve">described </w:t>
      </w:r>
      <w:r w:rsidR="00F861FD" w:rsidRPr="004F0C2F">
        <w:rPr>
          <w:rFonts w:ascii="Times New Roman" w:hAnsi="Times New Roman" w:cs="Times New Roman"/>
          <w:sz w:val="24"/>
          <w:szCs w:val="24"/>
        </w:rPr>
        <w:t xml:space="preserve">in </w:t>
      </w:r>
      <w:r w:rsidR="00F861FD" w:rsidRPr="004F0C2F">
        <w:rPr>
          <w:rFonts w:ascii="Times New Roman" w:hAnsi="Times New Roman" w:cs="Times New Roman"/>
          <w:i/>
          <w:sz w:val="24"/>
          <w:szCs w:val="24"/>
        </w:rPr>
        <w:t>Step</w:t>
      </w:r>
      <w:r w:rsidR="009D2180" w:rsidRPr="004F0C2F">
        <w:rPr>
          <w:rFonts w:ascii="Times New Roman" w:hAnsi="Times New Roman" w:cs="Times New Roman"/>
          <w:i/>
          <w:sz w:val="24"/>
          <w:szCs w:val="24"/>
        </w:rPr>
        <w:t xml:space="preserve"> </w:t>
      </w:r>
      <w:r w:rsidR="00F861FD" w:rsidRPr="004F0C2F">
        <w:rPr>
          <w:rFonts w:ascii="Times New Roman" w:hAnsi="Times New Roman" w:cs="Times New Roman"/>
          <w:i/>
          <w:sz w:val="24"/>
          <w:szCs w:val="24"/>
        </w:rPr>
        <w:t>2</w:t>
      </w:r>
      <w:r w:rsidR="00F861FD" w:rsidRPr="004F0C2F">
        <w:rPr>
          <w:rFonts w:ascii="Times New Roman" w:hAnsi="Times New Roman" w:cs="Times New Roman"/>
          <w:sz w:val="24"/>
          <w:szCs w:val="24"/>
        </w:rPr>
        <w:t>.</w:t>
      </w:r>
      <w:r w:rsidR="00A86360" w:rsidRPr="004F0C2F">
        <w:rPr>
          <w:rFonts w:ascii="Times New Roman" w:hAnsi="Times New Roman" w:cs="Times New Roman"/>
          <w:sz w:val="24"/>
          <w:szCs w:val="24"/>
        </w:rPr>
        <w:t xml:space="preserve"> </w:t>
      </w:r>
    </w:p>
    <w:p w14:paraId="24D0FC93" w14:textId="77777777" w:rsidR="00A86360" w:rsidRPr="004F0C2F" w:rsidRDefault="00A86360">
      <w:pPr>
        <w:widowControl/>
        <w:jc w:val="left"/>
        <w:rPr>
          <w:rFonts w:ascii="Times New Roman" w:hAnsi="Times New Roman" w:cs="Times New Roman"/>
          <w:sz w:val="24"/>
          <w:szCs w:val="24"/>
        </w:rPr>
      </w:pPr>
      <w:r w:rsidRPr="004F0C2F">
        <w:rPr>
          <w:rFonts w:ascii="Times New Roman" w:hAnsi="Times New Roman" w:cs="Times New Roman"/>
          <w:sz w:val="24"/>
          <w:szCs w:val="24"/>
        </w:rPr>
        <w:br w:type="page"/>
      </w:r>
    </w:p>
    <w:p w14:paraId="58321378" w14:textId="77777777" w:rsidR="00A86360" w:rsidRPr="004F0C2F" w:rsidRDefault="00A86360" w:rsidP="00A86360">
      <w:pPr>
        <w:pStyle w:val="1"/>
        <w:spacing w:line="480" w:lineRule="auto"/>
      </w:pPr>
      <w:r w:rsidRPr="004F0C2F">
        <w:rPr>
          <w:rFonts w:ascii="Times New Roman" w:hAnsi="Times New Roman" w:cs="Times New Roman"/>
          <w:b/>
        </w:rPr>
        <w:lastRenderedPageBreak/>
        <w:t>References</w:t>
      </w:r>
    </w:p>
    <w:p w14:paraId="3C2F3DC0" w14:textId="77777777" w:rsidR="002A2D75" w:rsidRPr="004F0C2F" w:rsidRDefault="00A86360" w:rsidP="002A2D75">
      <w:pPr>
        <w:pStyle w:val="EndNoteBibliography"/>
        <w:ind w:left="720" w:hanging="720"/>
        <w:jc w:val="left"/>
      </w:pPr>
      <w:r w:rsidRPr="004F0C2F">
        <w:rPr>
          <w:rFonts w:ascii="Century" w:hAnsi="Century"/>
          <w:sz w:val="20"/>
        </w:rPr>
        <w:fldChar w:fldCharType="begin"/>
      </w:r>
      <w:r w:rsidRPr="004F0C2F">
        <w:instrText xml:space="preserve"> ADDIN EN.REFLIST </w:instrText>
      </w:r>
      <w:r w:rsidRPr="004F0C2F">
        <w:rPr>
          <w:rFonts w:ascii="Century" w:hAnsi="Century"/>
          <w:sz w:val="20"/>
        </w:rPr>
        <w:fldChar w:fldCharType="separate"/>
      </w:r>
      <w:r w:rsidR="002A2D75" w:rsidRPr="004F0C2F">
        <w:t>1.</w:t>
      </w:r>
      <w:r w:rsidR="002A2D75" w:rsidRPr="004F0C2F">
        <w:tab/>
        <w:t>Benichou C. Criteria of drug-induced liver disorders. Report of an international consensus meeting. J Hepatol. 1990 Sep;11(2):272-6. PubMed PMID: 2254635.</w:t>
      </w:r>
    </w:p>
    <w:p w14:paraId="6E36D345" w14:textId="3020B25A" w:rsidR="002A2D75" w:rsidRPr="004F0C2F" w:rsidRDefault="002A2D75" w:rsidP="002A2D75">
      <w:pPr>
        <w:pStyle w:val="EndNoteBibliography"/>
        <w:ind w:left="720" w:hanging="720"/>
        <w:jc w:val="left"/>
      </w:pPr>
      <w:r w:rsidRPr="004F0C2F">
        <w:t>2.</w:t>
      </w:r>
      <w:r w:rsidRPr="004F0C2F">
        <w:tab/>
        <w:t>Schneeweiss S, Rassen JA, Glynn RJ, et al. High-dimensional propensity score adjustment in studies of treatment effects using health care claims data. Epidemiology. 2009 Jul;20(4):512-22. doi: 10.1097/EDE.0b013e3181a663cc. PubMed PMID: 19487948; PubMed Central PMCID: PMC3077219.</w:t>
      </w:r>
    </w:p>
    <w:p w14:paraId="49680CF2" w14:textId="77777777" w:rsidR="002A2D75" w:rsidRPr="004F0C2F" w:rsidRDefault="002A2D75" w:rsidP="002A2D75">
      <w:pPr>
        <w:pStyle w:val="EndNoteBibliography"/>
        <w:ind w:left="720" w:hanging="720"/>
        <w:jc w:val="left"/>
      </w:pPr>
      <w:r w:rsidRPr="004F0C2F">
        <w:t>3.</w:t>
      </w:r>
      <w:r w:rsidRPr="004F0C2F">
        <w:tab/>
        <w:t>Bross ID. Spurious effects from an extraneous variable. J Chronic Dis. 1966 Jun;19(6):637-47. PubMed PMID: 5966011.</w:t>
      </w:r>
    </w:p>
    <w:p w14:paraId="1A06C544" w14:textId="45BBB9CD" w:rsidR="002A2D75" w:rsidRPr="004F0C2F" w:rsidRDefault="002A2D75" w:rsidP="002A2D75">
      <w:pPr>
        <w:pStyle w:val="EndNoteBibliography"/>
        <w:ind w:left="720" w:hanging="720"/>
        <w:jc w:val="left"/>
      </w:pPr>
      <w:r w:rsidRPr="004F0C2F">
        <w:t>4.</w:t>
      </w:r>
      <w:r w:rsidRPr="004F0C2F">
        <w:tab/>
        <w:t>Toh S, Hernan MA. Causal inference from longitudinal studies with baseline randomization. Int J Biostat. 2008 Oct 19;4(1):Article 22. doi: 10.2202/1557-4679.1117. PubMed PMID: 20231914; PubMed Central PMCID: PMC2835458.</w:t>
      </w:r>
    </w:p>
    <w:p w14:paraId="1D830579" w14:textId="3071D50B" w:rsidR="003B7EBC" w:rsidRPr="004F0C2F" w:rsidRDefault="00A86360" w:rsidP="002A2D75">
      <w:pPr>
        <w:pStyle w:val="EndNoteBibliography"/>
        <w:ind w:leftChars="1" w:left="340" w:hangingChars="141" w:hanging="338"/>
        <w:jc w:val="left"/>
      </w:pPr>
      <w:r w:rsidRPr="004F0C2F">
        <w:fldChar w:fldCharType="end"/>
      </w:r>
    </w:p>
    <w:p w14:paraId="4CEF14F0" w14:textId="77777777" w:rsidR="003B7EBC" w:rsidRPr="004F0C2F" w:rsidRDefault="003B7EBC">
      <w:pPr>
        <w:widowControl/>
        <w:jc w:val="left"/>
        <w:rPr>
          <w:rFonts w:ascii="Times New Roman" w:hAnsi="Times New Roman" w:cs="Times New Roman"/>
          <w:noProof/>
          <w:sz w:val="24"/>
        </w:rPr>
      </w:pPr>
      <w:r w:rsidRPr="004F0C2F">
        <w:br w:type="page"/>
      </w:r>
    </w:p>
    <w:p w14:paraId="09BA934F" w14:textId="66685F37" w:rsidR="009D3A3D" w:rsidRPr="004F0C2F" w:rsidRDefault="000A240C" w:rsidP="000A240C">
      <w:pPr>
        <w:widowControl/>
        <w:spacing w:line="480" w:lineRule="auto"/>
        <w:jc w:val="left"/>
        <w:rPr>
          <w:rFonts w:ascii="Times New Roman" w:eastAsia="ＭＳ ゴシック" w:hAnsi="Times New Roman"/>
          <w:bCs/>
          <w:sz w:val="24"/>
        </w:rPr>
        <w:sectPr w:rsidR="009D3A3D" w:rsidRPr="004F0C2F" w:rsidSect="00B45583">
          <w:footerReference w:type="default" r:id="rId18"/>
          <w:pgSz w:w="11906" w:h="16838"/>
          <w:pgMar w:top="1985" w:right="1701" w:bottom="1701" w:left="1701" w:header="851" w:footer="992" w:gutter="0"/>
          <w:cols w:space="425"/>
          <w:docGrid w:type="lines" w:linePitch="360"/>
        </w:sectPr>
      </w:pPr>
      <w:r w:rsidRPr="004F0C2F">
        <w:rPr>
          <w:rFonts w:ascii="Times New Roman" w:hAnsi="Times New Roman" w:cs="Times New Roman"/>
          <w:b/>
          <w:sz w:val="24"/>
          <w:szCs w:val="24"/>
        </w:rPr>
        <w:lastRenderedPageBreak/>
        <w:t xml:space="preserve">Supplementary Figure 1. </w:t>
      </w:r>
      <w:r w:rsidRPr="004F0C2F">
        <w:rPr>
          <w:rFonts w:ascii="Times New Roman" w:eastAsia="ＭＳ ゴシック" w:hAnsi="Times New Roman"/>
          <w:bCs/>
          <w:sz w:val="24"/>
        </w:rPr>
        <w:t xml:space="preserve">Schematic example </w:t>
      </w:r>
      <w:r w:rsidRPr="004F0C2F">
        <w:rPr>
          <w:rFonts w:ascii="Times New Roman" w:eastAsia="ＭＳ ゴシック" w:hAnsi="Times New Roman" w:hint="eastAsia"/>
          <w:bCs/>
          <w:sz w:val="24"/>
        </w:rPr>
        <w:t>o</w:t>
      </w:r>
      <w:r w:rsidRPr="004F0C2F">
        <w:rPr>
          <w:rFonts w:ascii="Times New Roman" w:eastAsia="ＭＳ ゴシック" w:hAnsi="Times New Roman"/>
          <w:bCs/>
          <w:sz w:val="24"/>
        </w:rPr>
        <w:t>f the definitions of observation periods in a hypothetical patient. The triangles, bar, and double-headed arrows represent outpatient visits, duration of hospitalization, and observation periods, respectively. The patient visited the hospital as an outpatient on Jan 1, Mar 25, May 25, Sep 12 and Nov 19; and was hospitalized from Jan 8 to Mar 18. In this case, the first observation period was from Jan 1 to May 25 because there were no intervals between outpatient visits and hospitalization that exceeded 100 days during this period. However, the interval between May 25 and the next outpatient visit (Sep 12) was more than 100 days, and the patient was considered to be unobserved during this period. The second observation period, which covered two outpatient visits, began from Sep 12 and ended on Nov 19.</w:t>
      </w:r>
    </w:p>
    <w:p w14:paraId="3B99AF78" w14:textId="72278185" w:rsidR="000A240C" w:rsidRPr="004F0C2F" w:rsidRDefault="00E56E47" w:rsidP="000A240C">
      <w:pPr>
        <w:widowControl/>
        <w:spacing w:line="480" w:lineRule="auto"/>
        <w:jc w:val="left"/>
        <w:rPr>
          <w:rFonts w:ascii="Times New Roman" w:eastAsia="ＭＳ ゴシック" w:hAnsi="Times New Roman"/>
          <w:bCs/>
          <w:sz w:val="24"/>
        </w:rPr>
      </w:pPr>
      <w:r w:rsidRPr="004F0C2F">
        <w:rPr>
          <w:rFonts w:ascii="Times New Roman" w:eastAsia="ＭＳ ゴシック" w:hAnsi="Times New Roman"/>
          <w:bCs/>
          <w:noProof/>
          <w:sz w:val="24"/>
        </w:rPr>
        <w:lastRenderedPageBreak/>
        <w:drawing>
          <wp:inline distT="0" distB="0" distL="0" distR="0" wp14:anchorId="66B5B323" wp14:editId="232233BC">
            <wp:extent cx="8321040" cy="219456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21040" cy="2194560"/>
                    </a:xfrm>
                    <a:prstGeom prst="rect">
                      <a:avLst/>
                    </a:prstGeom>
                    <a:noFill/>
                    <a:ln>
                      <a:noFill/>
                    </a:ln>
                  </pic:spPr>
                </pic:pic>
              </a:graphicData>
            </a:graphic>
          </wp:inline>
        </w:drawing>
      </w:r>
    </w:p>
    <w:p w14:paraId="04118A28" w14:textId="0224AF50" w:rsidR="00E56E47" w:rsidRPr="004F0C2F" w:rsidRDefault="000A240C" w:rsidP="00881584">
      <w:pPr>
        <w:widowControl/>
        <w:jc w:val="left"/>
        <w:rPr>
          <w:rFonts w:ascii="Times New Roman" w:eastAsia="ＭＳ ゴシック" w:hAnsi="Times New Roman"/>
          <w:bCs/>
          <w:sz w:val="24"/>
        </w:rPr>
        <w:sectPr w:rsidR="00E56E47" w:rsidRPr="004F0C2F" w:rsidSect="00882468">
          <w:pgSz w:w="16838" w:h="11906" w:orient="landscape"/>
          <w:pgMar w:top="1701" w:right="1985" w:bottom="1701" w:left="1701" w:header="851" w:footer="992" w:gutter="0"/>
          <w:cols w:space="425"/>
          <w:docGrid w:linePitch="360"/>
        </w:sectPr>
      </w:pPr>
      <w:r w:rsidRPr="004F0C2F">
        <w:rPr>
          <w:rFonts w:ascii="Times New Roman" w:eastAsia="ＭＳ ゴシック" w:hAnsi="Times New Roman"/>
          <w:bCs/>
          <w:sz w:val="24"/>
        </w:rPr>
        <w:br w:type="page"/>
      </w:r>
    </w:p>
    <w:p w14:paraId="2A17F6FD" w14:textId="4D19C040" w:rsidR="00BF5BB2" w:rsidRPr="004F0C2F" w:rsidRDefault="002E3A07" w:rsidP="003B7EBC">
      <w:pPr>
        <w:pStyle w:val="EndNoteBibliography"/>
        <w:ind w:left="2" w:hanging="2"/>
        <w:jc w:val="left"/>
        <w:rPr>
          <w:szCs w:val="24"/>
        </w:rPr>
      </w:pPr>
      <w:r w:rsidRPr="004F0C2F">
        <w:rPr>
          <w:b/>
          <w:szCs w:val="24"/>
        </w:rPr>
        <w:lastRenderedPageBreak/>
        <w:t xml:space="preserve">Supplementary </w:t>
      </w:r>
      <w:r w:rsidR="003B7EBC" w:rsidRPr="004F0C2F">
        <w:rPr>
          <w:b/>
          <w:szCs w:val="24"/>
        </w:rPr>
        <w:t>Fig</w:t>
      </w:r>
      <w:r w:rsidR="003822E7" w:rsidRPr="004F0C2F">
        <w:rPr>
          <w:rFonts w:hint="eastAsia"/>
          <w:b/>
          <w:szCs w:val="24"/>
        </w:rPr>
        <w:t>u</w:t>
      </w:r>
      <w:r w:rsidR="003822E7" w:rsidRPr="004F0C2F">
        <w:rPr>
          <w:b/>
          <w:szCs w:val="24"/>
        </w:rPr>
        <w:t>re</w:t>
      </w:r>
      <w:r w:rsidR="003B7EBC" w:rsidRPr="004F0C2F">
        <w:rPr>
          <w:b/>
          <w:szCs w:val="24"/>
        </w:rPr>
        <w:t xml:space="preserve"> </w:t>
      </w:r>
      <w:r w:rsidR="00CD062F" w:rsidRPr="004F0C2F">
        <w:rPr>
          <w:b/>
          <w:szCs w:val="24"/>
        </w:rPr>
        <w:t>2</w:t>
      </w:r>
      <w:r w:rsidR="003B7EBC" w:rsidRPr="004F0C2F">
        <w:rPr>
          <w:b/>
          <w:szCs w:val="24"/>
        </w:rPr>
        <w:t>.</w:t>
      </w:r>
      <w:r w:rsidR="003B7EBC" w:rsidRPr="004F0C2F">
        <w:rPr>
          <w:szCs w:val="24"/>
        </w:rPr>
        <w:t xml:space="preserve"> The distribution of the estimated high-dimensional propensity scores for the treated and untreated episodes in the pooled cohorts for (A) macrolides, (B) penicillin-based antibiotics, and (C) fluoroquinolones.</w:t>
      </w:r>
    </w:p>
    <w:p w14:paraId="6062F4D6" w14:textId="75E74A15" w:rsidR="001F06F8" w:rsidRPr="004F0C2F" w:rsidRDefault="001F06F8">
      <w:pPr>
        <w:widowControl/>
        <w:jc w:val="left"/>
        <w:rPr>
          <w:rFonts w:ascii="Times New Roman" w:hAnsi="Times New Roman" w:cs="Times New Roman"/>
          <w:noProof/>
          <w:sz w:val="24"/>
          <w:szCs w:val="24"/>
        </w:rPr>
      </w:pPr>
      <w:r w:rsidRPr="004F0C2F">
        <w:rPr>
          <w:rFonts w:hint="eastAsia"/>
          <w:noProof/>
          <w:szCs w:val="24"/>
        </w:rPr>
        <w:drawing>
          <wp:anchor distT="0" distB="0" distL="114300" distR="114300" simplePos="0" relativeHeight="251658240" behindDoc="0" locked="0" layoutInCell="1" allowOverlap="1" wp14:anchorId="6FDFE4E5" wp14:editId="2DFAED09">
            <wp:simplePos x="0" y="0"/>
            <wp:positionH relativeFrom="margin">
              <wp:posOffset>318770</wp:posOffset>
            </wp:positionH>
            <wp:positionV relativeFrom="paragraph">
              <wp:posOffset>23495</wp:posOffset>
            </wp:positionV>
            <wp:extent cx="4505325" cy="69437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694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C2F">
        <w:rPr>
          <w:szCs w:val="24"/>
        </w:rPr>
        <w:br w:type="page"/>
      </w:r>
    </w:p>
    <w:p w14:paraId="053510C4" w14:textId="2A299260" w:rsidR="001F06F8" w:rsidRPr="004F0C2F" w:rsidRDefault="002E3A07" w:rsidP="003B7EBC">
      <w:pPr>
        <w:pStyle w:val="EndNoteBibliography"/>
        <w:ind w:left="2" w:hanging="2"/>
        <w:jc w:val="left"/>
        <w:rPr>
          <w:szCs w:val="24"/>
        </w:rPr>
      </w:pPr>
      <w:r w:rsidRPr="004F0C2F">
        <w:rPr>
          <w:b/>
          <w:szCs w:val="24"/>
        </w:rPr>
        <w:lastRenderedPageBreak/>
        <w:t xml:space="preserve">Supplementary </w:t>
      </w:r>
      <w:r w:rsidR="001F06F8" w:rsidRPr="004F0C2F">
        <w:rPr>
          <w:b/>
          <w:szCs w:val="24"/>
        </w:rPr>
        <w:t>Fig</w:t>
      </w:r>
      <w:r w:rsidR="003822E7" w:rsidRPr="004F0C2F">
        <w:rPr>
          <w:b/>
          <w:szCs w:val="24"/>
        </w:rPr>
        <w:t>ure</w:t>
      </w:r>
      <w:r w:rsidR="001F06F8" w:rsidRPr="004F0C2F">
        <w:rPr>
          <w:b/>
          <w:szCs w:val="24"/>
        </w:rPr>
        <w:t xml:space="preserve"> </w:t>
      </w:r>
      <w:r w:rsidR="00CD062F" w:rsidRPr="004F0C2F">
        <w:rPr>
          <w:b/>
          <w:szCs w:val="24"/>
        </w:rPr>
        <w:t>3</w:t>
      </w:r>
      <w:r w:rsidR="001F06F8" w:rsidRPr="004F0C2F">
        <w:rPr>
          <w:b/>
          <w:szCs w:val="24"/>
        </w:rPr>
        <w:t xml:space="preserve">. </w:t>
      </w:r>
      <w:r w:rsidR="001F06F8" w:rsidRPr="004F0C2F">
        <w:rPr>
          <w:szCs w:val="24"/>
        </w:rPr>
        <w:t>The cumulative incidence of liver injury per 1,000 treated (black lines) and untreated episodes (gray lines) during the 30-day follow-up period after antibiotic prescription. The cumulative incidence curves in (A) macrolides, (C) penicillin-based antibiotics, and (E) fluoroquinolones are represented by dashed lines (inverse probability of censoring [</w:t>
      </w:r>
      <w:r w:rsidR="001F06F8" w:rsidRPr="004F0C2F">
        <w:rPr>
          <w:i/>
          <w:szCs w:val="24"/>
        </w:rPr>
        <w:t>SW</w:t>
      </w:r>
      <w:r w:rsidR="001F06F8" w:rsidRPr="004F0C2F">
        <w:rPr>
          <w:i/>
          <w:szCs w:val="24"/>
          <w:vertAlign w:val="subscript"/>
        </w:rPr>
        <w:t>t</w:t>
      </w:r>
      <w:r w:rsidR="001F06F8" w:rsidRPr="004F0C2F">
        <w:rPr>
          <w:i/>
          <w:szCs w:val="24"/>
          <w:vertAlign w:val="superscript"/>
        </w:rPr>
        <w:t>C</w:t>
      </w:r>
      <w:r w:rsidR="001F06F8" w:rsidRPr="004F0C2F">
        <w:rPr>
          <w:szCs w:val="24"/>
        </w:rPr>
        <w:t>] weighted) and solid lines (inverse probability of treatment and censoring [</w:t>
      </w:r>
      <w:r w:rsidR="001F06F8" w:rsidRPr="004F0C2F">
        <w:rPr>
          <w:i/>
          <w:szCs w:val="24"/>
        </w:rPr>
        <w:t>SW</w:t>
      </w:r>
      <w:r w:rsidR="001F06F8" w:rsidRPr="004F0C2F">
        <w:rPr>
          <w:i/>
          <w:szCs w:val="24"/>
          <w:vertAlign w:val="superscript"/>
        </w:rPr>
        <w:t>A</w:t>
      </w:r>
      <w:r w:rsidR="001F06F8" w:rsidRPr="004F0C2F">
        <w:rPr>
          <w:szCs w:val="24"/>
        </w:rPr>
        <w:t xml:space="preserve"> × </w:t>
      </w:r>
      <w:r w:rsidR="001F06F8" w:rsidRPr="004F0C2F">
        <w:rPr>
          <w:i/>
          <w:szCs w:val="24"/>
        </w:rPr>
        <w:t>SW</w:t>
      </w:r>
      <w:r w:rsidR="001F06F8" w:rsidRPr="004F0C2F">
        <w:rPr>
          <w:i/>
          <w:szCs w:val="24"/>
          <w:vertAlign w:val="subscript"/>
        </w:rPr>
        <w:t>t</w:t>
      </w:r>
      <w:r w:rsidR="001F06F8" w:rsidRPr="004F0C2F">
        <w:rPr>
          <w:i/>
          <w:szCs w:val="24"/>
          <w:vertAlign w:val="superscript"/>
        </w:rPr>
        <w:t>C</w:t>
      </w:r>
      <w:r w:rsidR="001F06F8" w:rsidRPr="004F0C2F">
        <w:rPr>
          <w:szCs w:val="24"/>
        </w:rPr>
        <w:t>] weighted). The cumulative incidence curves in (B) macrolides, (D) penicillin-based antibiotics, and (F) fluoroquinolones are represented by dashed lines (unweighted) and solid lines (inverse probability of treatment and censoring [</w:t>
      </w:r>
      <w:r w:rsidR="004D4EB4" w:rsidRPr="004F0C2F">
        <w:rPr>
          <w:i/>
          <w:szCs w:val="24"/>
        </w:rPr>
        <w:t>SW</w:t>
      </w:r>
      <w:r w:rsidR="004D4EB4" w:rsidRPr="004F0C2F">
        <w:rPr>
          <w:i/>
          <w:szCs w:val="24"/>
          <w:vertAlign w:val="subscript"/>
        </w:rPr>
        <w:t>t</w:t>
      </w:r>
      <w:r w:rsidR="004D4EB4" w:rsidRPr="004F0C2F">
        <w:rPr>
          <w:i/>
          <w:szCs w:val="24"/>
          <w:vertAlign w:val="superscript"/>
        </w:rPr>
        <w:t>C</w:t>
      </w:r>
      <w:r w:rsidR="001F06F8" w:rsidRPr="004F0C2F">
        <w:rPr>
          <w:szCs w:val="24"/>
        </w:rPr>
        <w:t>] weighted).</w:t>
      </w:r>
    </w:p>
    <w:p w14:paraId="721B56CC" w14:textId="77777777" w:rsidR="001F06F8" w:rsidRPr="004F0C2F" w:rsidRDefault="001F06F8">
      <w:pPr>
        <w:widowControl/>
        <w:jc w:val="left"/>
        <w:rPr>
          <w:rFonts w:ascii="Times New Roman" w:hAnsi="Times New Roman" w:cs="Times New Roman"/>
          <w:noProof/>
          <w:sz w:val="24"/>
          <w:szCs w:val="24"/>
        </w:rPr>
      </w:pPr>
      <w:r w:rsidRPr="004F0C2F">
        <w:rPr>
          <w:szCs w:val="24"/>
        </w:rPr>
        <w:br w:type="page"/>
      </w:r>
    </w:p>
    <w:p w14:paraId="5809C5A3" w14:textId="73CEF3AF" w:rsidR="001F06F8" w:rsidRPr="004F0C2F" w:rsidRDefault="001F06F8">
      <w:pPr>
        <w:widowControl/>
        <w:jc w:val="left"/>
        <w:rPr>
          <w:rFonts w:ascii="Times New Roman" w:hAnsi="Times New Roman" w:cs="Times New Roman"/>
          <w:noProof/>
          <w:sz w:val="24"/>
          <w:szCs w:val="24"/>
        </w:rPr>
      </w:pPr>
      <w:r w:rsidRPr="004F0C2F">
        <w:rPr>
          <w:rFonts w:hint="eastAsia"/>
          <w:noProof/>
          <w:szCs w:val="24"/>
        </w:rPr>
        <w:lastRenderedPageBreak/>
        <w:drawing>
          <wp:anchor distT="0" distB="0" distL="114300" distR="114300" simplePos="0" relativeHeight="251659264" behindDoc="0" locked="0" layoutInCell="1" allowOverlap="1" wp14:anchorId="5CD61881" wp14:editId="76851C35">
            <wp:simplePos x="0" y="0"/>
            <wp:positionH relativeFrom="margin">
              <wp:align>left</wp:align>
            </wp:positionH>
            <wp:positionV relativeFrom="paragraph">
              <wp:posOffset>501650</wp:posOffset>
            </wp:positionV>
            <wp:extent cx="5400675" cy="622935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6229350"/>
                    </a:xfrm>
                    <a:prstGeom prst="rect">
                      <a:avLst/>
                    </a:prstGeom>
                    <a:noFill/>
                    <a:ln>
                      <a:noFill/>
                    </a:ln>
                  </pic:spPr>
                </pic:pic>
              </a:graphicData>
            </a:graphic>
          </wp:anchor>
        </w:drawing>
      </w:r>
      <w:r w:rsidRPr="004F0C2F">
        <w:rPr>
          <w:szCs w:val="24"/>
        </w:rPr>
        <w:br w:type="page"/>
      </w:r>
    </w:p>
    <w:tbl>
      <w:tblPr>
        <w:tblpPr w:leftFromText="142" w:rightFromText="142" w:vertAnchor="text" w:tblpY="1"/>
        <w:tblOverlap w:val="never"/>
        <w:tblW w:w="8420" w:type="dxa"/>
        <w:tblCellMar>
          <w:left w:w="99" w:type="dxa"/>
          <w:right w:w="99" w:type="dxa"/>
        </w:tblCellMar>
        <w:tblLook w:val="04A0" w:firstRow="1" w:lastRow="0" w:firstColumn="1" w:lastColumn="0" w:noHBand="0" w:noVBand="1"/>
      </w:tblPr>
      <w:tblGrid>
        <w:gridCol w:w="1981"/>
        <w:gridCol w:w="1244"/>
        <w:gridCol w:w="2148"/>
        <w:gridCol w:w="1006"/>
        <w:gridCol w:w="751"/>
        <w:gridCol w:w="1210"/>
        <w:gridCol w:w="80"/>
      </w:tblGrid>
      <w:tr w:rsidR="001F06F8" w:rsidRPr="004F0C2F" w14:paraId="1407FC8D" w14:textId="77777777" w:rsidTr="00AB6C01">
        <w:trPr>
          <w:trHeight w:val="390"/>
        </w:trPr>
        <w:tc>
          <w:tcPr>
            <w:tcW w:w="8420" w:type="dxa"/>
            <w:gridSpan w:val="7"/>
            <w:tcBorders>
              <w:top w:val="nil"/>
              <w:left w:val="nil"/>
              <w:bottom w:val="single" w:sz="8" w:space="0" w:color="auto"/>
              <w:right w:val="nil"/>
            </w:tcBorders>
            <w:shd w:val="clear" w:color="auto" w:fill="auto"/>
            <w:noWrap/>
            <w:vAlign w:val="center"/>
            <w:hideMark/>
          </w:tcPr>
          <w:p w14:paraId="20AFD195" w14:textId="23A52D7B" w:rsidR="001F06F8" w:rsidRPr="004F0C2F" w:rsidRDefault="002E3A07"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b/>
                <w:bCs/>
                <w:color w:val="000000"/>
                <w:kern w:val="0"/>
                <w:sz w:val="24"/>
                <w:szCs w:val="24"/>
              </w:rPr>
              <w:lastRenderedPageBreak/>
              <w:t xml:space="preserve">Supplementary </w:t>
            </w:r>
            <w:r w:rsidR="001F06F8" w:rsidRPr="004F0C2F">
              <w:rPr>
                <w:rFonts w:ascii="Times New Roman" w:eastAsia="游ゴシック" w:hAnsi="Times New Roman" w:cs="Times New Roman"/>
                <w:b/>
                <w:bCs/>
                <w:color w:val="000000"/>
                <w:kern w:val="0"/>
                <w:sz w:val="24"/>
                <w:szCs w:val="24"/>
              </w:rPr>
              <w:t>Table 1.</w:t>
            </w:r>
            <w:r w:rsidR="001F06F8" w:rsidRPr="004F0C2F">
              <w:rPr>
                <w:rFonts w:ascii="Times New Roman" w:eastAsia="游ゴシック" w:hAnsi="Times New Roman" w:cs="Times New Roman"/>
                <w:color w:val="000000"/>
                <w:kern w:val="0"/>
                <w:sz w:val="24"/>
                <w:szCs w:val="24"/>
              </w:rPr>
              <w:t xml:space="preserve"> Number of users for each target antibiotic</w:t>
            </w:r>
          </w:p>
        </w:tc>
      </w:tr>
      <w:tr w:rsidR="001F06F8" w:rsidRPr="004F0C2F" w14:paraId="55B68B5A" w14:textId="77777777" w:rsidTr="00AB6C01">
        <w:trPr>
          <w:trHeight w:val="390"/>
        </w:trPr>
        <w:tc>
          <w:tcPr>
            <w:tcW w:w="1981" w:type="dxa"/>
            <w:tcBorders>
              <w:top w:val="nil"/>
              <w:left w:val="nil"/>
              <w:bottom w:val="single" w:sz="4" w:space="0" w:color="auto"/>
              <w:right w:val="nil"/>
            </w:tcBorders>
            <w:shd w:val="clear" w:color="auto" w:fill="auto"/>
            <w:noWrap/>
            <w:vAlign w:val="center"/>
            <w:hideMark/>
          </w:tcPr>
          <w:p w14:paraId="11706246"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Antibiotic Class</w:t>
            </w:r>
          </w:p>
        </w:tc>
        <w:tc>
          <w:tcPr>
            <w:tcW w:w="4398" w:type="dxa"/>
            <w:gridSpan w:val="3"/>
            <w:tcBorders>
              <w:top w:val="nil"/>
              <w:left w:val="nil"/>
              <w:bottom w:val="single" w:sz="4" w:space="0" w:color="auto"/>
              <w:right w:val="nil"/>
            </w:tcBorders>
            <w:shd w:val="clear" w:color="auto" w:fill="auto"/>
            <w:noWrap/>
            <w:vAlign w:val="center"/>
            <w:hideMark/>
          </w:tcPr>
          <w:p w14:paraId="1F76E1FC"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Antibiotic</w:t>
            </w:r>
          </w:p>
        </w:tc>
        <w:tc>
          <w:tcPr>
            <w:tcW w:w="2041" w:type="dxa"/>
            <w:gridSpan w:val="3"/>
            <w:tcBorders>
              <w:top w:val="nil"/>
              <w:left w:val="nil"/>
              <w:bottom w:val="single" w:sz="4" w:space="0" w:color="auto"/>
              <w:right w:val="nil"/>
            </w:tcBorders>
            <w:shd w:val="clear" w:color="auto" w:fill="auto"/>
            <w:noWrap/>
            <w:vAlign w:val="center"/>
            <w:hideMark/>
          </w:tcPr>
          <w:p w14:paraId="2EC8501F" w14:textId="77777777" w:rsidR="001F06F8" w:rsidRPr="004F0C2F" w:rsidRDefault="001F06F8" w:rsidP="001F06F8">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Number of users*</w:t>
            </w:r>
          </w:p>
        </w:tc>
      </w:tr>
      <w:tr w:rsidR="001F06F8" w:rsidRPr="004F0C2F" w14:paraId="22C8887A" w14:textId="77777777" w:rsidTr="00AB6C01">
        <w:trPr>
          <w:trHeight w:val="390"/>
        </w:trPr>
        <w:tc>
          <w:tcPr>
            <w:tcW w:w="1981" w:type="dxa"/>
            <w:tcBorders>
              <w:top w:val="nil"/>
              <w:left w:val="nil"/>
              <w:bottom w:val="nil"/>
              <w:right w:val="nil"/>
            </w:tcBorders>
            <w:shd w:val="clear" w:color="auto" w:fill="auto"/>
            <w:noWrap/>
            <w:vAlign w:val="center"/>
            <w:hideMark/>
          </w:tcPr>
          <w:p w14:paraId="570CF095"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Macrolides</w:t>
            </w:r>
          </w:p>
        </w:tc>
        <w:tc>
          <w:tcPr>
            <w:tcW w:w="4398" w:type="dxa"/>
            <w:gridSpan w:val="3"/>
            <w:tcBorders>
              <w:top w:val="nil"/>
              <w:left w:val="nil"/>
              <w:bottom w:val="nil"/>
              <w:right w:val="nil"/>
            </w:tcBorders>
            <w:shd w:val="clear" w:color="auto" w:fill="auto"/>
            <w:noWrap/>
            <w:vAlign w:val="center"/>
            <w:hideMark/>
          </w:tcPr>
          <w:p w14:paraId="26766BC2"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Erythromycin </w:t>
            </w:r>
            <w:proofErr w:type="spellStart"/>
            <w:r w:rsidRPr="004F0C2F">
              <w:rPr>
                <w:rFonts w:ascii="Times New Roman" w:eastAsia="游ゴシック" w:hAnsi="Times New Roman" w:cs="Times New Roman"/>
                <w:kern w:val="0"/>
                <w:sz w:val="24"/>
                <w:szCs w:val="24"/>
              </w:rPr>
              <w:t>ethylsuccinate</w:t>
            </w:r>
            <w:proofErr w:type="spellEnd"/>
          </w:p>
        </w:tc>
        <w:tc>
          <w:tcPr>
            <w:tcW w:w="2041" w:type="dxa"/>
            <w:gridSpan w:val="3"/>
            <w:tcBorders>
              <w:top w:val="nil"/>
              <w:left w:val="nil"/>
              <w:bottom w:val="nil"/>
              <w:right w:val="nil"/>
            </w:tcBorders>
            <w:shd w:val="clear" w:color="auto" w:fill="auto"/>
            <w:noWrap/>
            <w:vAlign w:val="center"/>
            <w:hideMark/>
          </w:tcPr>
          <w:p w14:paraId="2810ACF9"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127</w:t>
            </w:r>
          </w:p>
        </w:tc>
      </w:tr>
      <w:tr w:rsidR="001F06F8" w:rsidRPr="004F0C2F" w14:paraId="027DE8E4" w14:textId="77777777" w:rsidTr="00AB6C01">
        <w:trPr>
          <w:trHeight w:val="390"/>
        </w:trPr>
        <w:tc>
          <w:tcPr>
            <w:tcW w:w="1981" w:type="dxa"/>
            <w:tcBorders>
              <w:top w:val="nil"/>
              <w:left w:val="nil"/>
              <w:bottom w:val="nil"/>
              <w:right w:val="nil"/>
            </w:tcBorders>
            <w:shd w:val="clear" w:color="auto" w:fill="auto"/>
            <w:noWrap/>
            <w:vAlign w:val="center"/>
            <w:hideMark/>
          </w:tcPr>
          <w:p w14:paraId="022876C2"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65609A0F"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Erythromycin stearate</w:t>
            </w:r>
          </w:p>
        </w:tc>
        <w:tc>
          <w:tcPr>
            <w:tcW w:w="2041" w:type="dxa"/>
            <w:gridSpan w:val="3"/>
            <w:tcBorders>
              <w:top w:val="nil"/>
              <w:left w:val="nil"/>
              <w:bottom w:val="nil"/>
              <w:right w:val="nil"/>
            </w:tcBorders>
            <w:shd w:val="clear" w:color="auto" w:fill="auto"/>
            <w:noWrap/>
            <w:vAlign w:val="center"/>
            <w:hideMark/>
          </w:tcPr>
          <w:p w14:paraId="46032A63"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295</w:t>
            </w:r>
          </w:p>
        </w:tc>
      </w:tr>
      <w:tr w:rsidR="001F06F8" w:rsidRPr="004F0C2F" w14:paraId="34DEF544" w14:textId="77777777" w:rsidTr="00AB6C01">
        <w:trPr>
          <w:trHeight w:val="390"/>
        </w:trPr>
        <w:tc>
          <w:tcPr>
            <w:tcW w:w="1981" w:type="dxa"/>
            <w:tcBorders>
              <w:top w:val="nil"/>
              <w:left w:val="nil"/>
              <w:bottom w:val="nil"/>
              <w:right w:val="nil"/>
            </w:tcBorders>
            <w:shd w:val="clear" w:color="auto" w:fill="auto"/>
            <w:noWrap/>
            <w:vAlign w:val="center"/>
            <w:hideMark/>
          </w:tcPr>
          <w:p w14:paraId="335C2CE6"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723344A0"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Erythromycin </w:t>
            </w:r>
            <w:proofErr w:type="spellStart"/>
            <w:r w:rsidRPr="004F0C2F">
              <w:rPr>
                <w:rFonts w:ascii="Times New Roman" w:eastAsia="游ゴシック" w:hAnsi="Times New Roman" w:cs="Times New Roman"/>
                <w:kern w:val="0"/>
                <w:sz w:val="24"/>
                <w:szCs w:val="24"/>
              </w:rPr>
              <w:t>lactobionate</w:t>
            </w:r>
            <w:proofErr w:type="spellEnd"/>
          </w:p>
        </w:tc>
        <w:tc>
          <w:tcPr>
            <w:tcW w:w="2041" w:type="dxa"/>
            <w:gridSpan w:val="3"/>
            <w:tcBorders>
              <w:top w:val="nil"/>
              <w:left w:val="nil"/>
              <w:bottom w:val="nil"/>
              <w:right w:val="nil"/>
            </w:tcBorders>
            <w:shd w:val="clear" w:color="auto" w:fill="auto"/>
            <w:noWrap/>
            <w:vAlign w:val="center"/>
            <w:hideMark/>
          </w:tcPr>
          <w:p w14:paraId="33DCB380"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30</w:t>
            </w:r>
          </w:p>
        </w:tc>
      </w:tr>
      <w:tr w:rsidR="001F06F8" w:rsidRPr="004F0C2F" w14:paraId="45571151" w14:textId="77777777" w:rsidTr="00AB6C01">
        <w:trPr>
          <w:trHeight w:val="390"/>
        </w:trPr>
        <w:tc>
          <w:tcPr>
            <w:tcW w:w="1981" w:type="dxa"/>
            <w:tcBorders>
              <w:top w:val="nil"/>
              <w:left w:val="nil"/>
              <w:bottom w:val="nil"/>
              <w:right w:val="nil"/>
            </w:tcBorders>
            <w:shd w:val="clear" w:color="auto" w:fill="auto"/>
            <w:noWrap/>
            <w:vAlign w:val="center"/>
            <w:hideMark/>
          </w:tcPr>
          <w:p w14:paraId="6873FB48"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47BE13B"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Roxithromycin</w:t>
            </w:r>
          </w:p>
        </w:tc>
        <w:tc>
          <w:tcPr>
            <w:tcW w:w="2041" w:type="dxa"/>
            <w:gridSpan w:val="3"/>
            <w:tcBorders>
              <w:top w:val="nil"/>
              <w:left w:val="nil"/>
              <w:bottom w:val="nil"/>
              <w:right w:val="nil"/>
            </w:tcBorders>
            <w:shd w:val="clear" w:color="auto" w:fill="auto"/>
            <w:noWrap/>
            <w:vAlign w:val="center"/>
            <w:hideMark/>
          </w:tcPr>
          <w:p w14:paraId="5F7C79BC"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501</w:t>
            </w:r>
          </w:p>
        </w:tc>
      </w:tr>
      <w:tr w:rsidR="001F06F8" w:rsidRPr="004F0C2F" w14:paraId="233B707F" w14:textId="77777777" w:rsidTr="00AB6C01">
        <w:trPr>
          <w:trHeight w:val="390"/>
        </w:trPr>
        <w:tc>
          <w:tcPr>
            <w:tcW w:w="1981" w:type="dxa"/>
            <w:tcBorders>
              <w:top w:val="nil"/>
              <w:left w:val="nil"/>
              <w:bottom w:val="nil"/>
              <w:right w:val="nil"/>
            </w:tcBorders>
            <w:shd w:val="clear" w:color="auto" w:fill="auto"/>
            <w:noWrap/>
            <w:vAlign w:val="center"/>
            <w:hideMark/>
          </w:tcPr>
          <w:p w14:paraId="3840191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0E1001FE"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Clarithromycin</w:t>
            </w:r>
          </w:p>
        </w:tc>
        <w:tc>
          <w:tcPr>
            <w:tcW w:w="2041" w:type="dxa"/>
            <w:gridSpan w:val="3"/>
            <w:tcBorders>
              <w:top w:val="nil"/>
              <w:left w:val="nil"/>
              <w:bottom w:val="nil"/>
              <w:right w:val="nil"/>
            </w:tcBorders>
            <w:shd w:val="clear" w:color="auto" w:fill="auto"/>
            <w:noWrap/>
            <w:vAlign w:val="center"/>
            <w:hideMark/>
          </w:tcPr>
          <w:p w14:paraId="1729374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6,147</w:t>
            </w:r>
          </w:p>
        </w:tc>
      </w:tr>
      <w:tr w:rsidR="001F06F8" w:rsidRPr="004F0C2F" w14:paraId="2538F198" w14:textId="77777777" w:rsidTr="00AB6C01">
        <w:trPr>
          <w:trHeight w:val="390"/>
        </w:trPr>
        <w:tc>
          <w:tcPr>
            <w:tcW w:w="1981" w:type="dxa"/>
            <w:tcBorders>
              <w:top w:val="nil"/>
              <w:left w:val="nil"/>
              <w:bottom w:val="nil"/>
              <w:right w:val="nil"/>
            </w:tcBorders>
            <w:shd w:val="clear" w:color="auto" w:fill="auto"/>
            <w:noWrap/>
            <w:vAlign w:val="center"/>
            <w:hideMark/>
          </w:tcPr>
          <w:p w14:paraId="3A5784B7"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A8B2C62"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Azithromycin hydrate</w:t>
            </w:r>
          </w:p>
        </w:tc>
        <w:tc>
          <w:tcPr>
            <w:tcW w:w="2041" w:type="dxa"/>
            <w:gridSpan w:val="3"/>
            <w:tcBorders>
              <w:top w:val="nil"/>
              <w:left w:val="nil"/>
              <w:bottom w:val="nil"/>
              <w:right w:val="nil"/>
            </w:tcBorders>
            <w:shd w:val="clear" w:color="auto" w:fill="auto"/>
            <w:noWrap/>
            <w:vAlign w:val="center"/>
            <w:hideMark/>
          </w:tcPr>
          <w:p w14:paraId="58328584"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3,628</w:t>
            </w:r>
          </w:p>
        </w:tc>
      </w:tr>
      <w:tr w:rsidR="001F06F8" w:rsidRPr="004F0C2F" w14:paraId="4A54BD86" w14:textId="77777777" w:rsidTr="00AB6C01">
        <w:trPr>
          <w:trHeight w:val="390"/>
        </w:trPr>
        <w:tc>
          <w:tcPr>
            <w:tcW w:w="1981" w:type="dxa"/>
            <w:tcBorders>
              <w:top w:val="nil"/>
              <w:left w:val="nil"/>
              <w:bottom w:val="nil"/>
              <w:right w:val="nil"/>
            </w:tcBorders>
            <w:shd w:val="clear" w:color="auto" w:fill="auto"/>
            <w:noWrap/>
            <w:vAlign w:val="center"/>
            <w:hideMark/>
          </w:tcPr>
          <w:p w14:paraId="1499297D"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52D96F02" w14:textId="77777777" w:rsidR="001F06F8" w:rsidRPr="004F0C2F" w:rsidRDefault="001F06F8" w:rsidP="001F06F8">
            <w:pPr>
              <w:widowControl/>
              <w:jc w:val="left"/>
              <w:rPr>
                <w:rFonts w:ascii="Times New Roman" w:eastAsia="游ゴシック" w:hAnsi="Times New Roman" w:cs="Times New Roman"/>
                <w:kern w:val="0"/>
                <w:sz w:val="24"/>
                <w:szCs w:val="24"/>
              </w:rPr>
            </w:pPr>
            <w:proofErr w:type="spellStart"/>
            <w:r w:rsidRPr="004F0C2F">
              <w:rPr>
                <w:rFonts w:ascii="Times New Roman" w:eastAsia="游ゴシック" w:hAnsi="Times New Roman" w:cs="Times New Roman"/>
                <w:kern w:val="0"/>
                <w:sz w:val="24"/>
                <w:szCs w:val="24"/>
              </w:rPr>
              <w:t>Spiramycin</w:t>
            </w:r>
            <w:proofErr w:type="spellEnd"/>
            <w:r w:rsidRPr="004F0C2F">
              <w:rPr>
                <w:rFonts w:ascii="Times New Roman" w:eastAsia="游ゴシック" w:hAnsi="Times New Roman" w:cs="Times New Roman"/>
                <w:kern w:val="0"/>
                <w:sz w:val="24"/>
                <w:szCs w:val="24"/>
              </w:rPr>
              <w:t xml:space="preserve"> acetate</w:t>
            </w:r>
          </w:p>
        </w:tc>
        <w:tc>
          <w:tcPr>
            <w:tcW w:w="2041" w:type="dxa"/>
            <w:gridSpan w:val="3"/>
            <w:tcBorders>
              <w:top w:val="nil"/>
              <w:left w:val="nil"/>
              <w:bottom w:val="nil"/>
              <w:right w:val="nil"/>
            </w:tcBorders>
            <w:shd w:val="clear" w:color="auto" w:fill="auto"/>
            <w:noWrap/>
            <w:vAlign w:val="center"/>
            <w:hideMark/>
          </w:tcPr>
          <w:p w14:paraId="7A848E51"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&lt;10</w:t>
            </w:r>
            <w:r w:rsidRPr="004F0C2F">
              <w:rPr>
                <w:rFonts w:ascii="Times New Roman" w:eastAsia="游ゴシック" w:hAnsi="Times New Roman" w:cs="Times New Roman"/>
                <w:color w:val="000000"/>
                <w:kern w:val="0"/>
                <w:sz w:val="24"/>
                <w:szCs w:val="24"/>
                <w:vertAlign w:val="superscript"/>
              </w:rPr>
              <w:t>†</w:t>
            </w:r>
          </w:p>
        </w:tc>
      </w:tr>
      <w:tr w:rsidR="001F06F8" w:rsidRPr="004F0C2F" w14:paraId="5EC7B187" w14:textId="77777777" w:rsidTr="00AB6C01">
        <w:trPr>
          <w:trHeight w:val="390"/>
        </w:trPr>
        <w:tc>
          <w:tcPr>
            <w:tcW w:w="1981" w:type="dxa"/>
            <w:tcBorders>
              <w:top w:val="nil"/>
              <w:left w:val="nil"/>
              <w:bottom w:val="nil"/>
              <w:right w:val="nil"/>
            </w:tcBorders>
            <w:shd w:val="clear" w:color="auto" w:fill="auto"/>
            <w:noWrap/>
            <w:vAlign w:val="center"/>
            <w:hideMark/>
          </w:tcPr>
          <w:p w14:paraId="2FF7A083"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9D58B78" w14:textId="77777777" w:rsidR="001F06F8" w:rsidRPr="004F0C2F" w:rsidRDefault="001F06F8" w:rsidP="001F06F8">
            <w:pPr>
              <w:widowControl/>
              <w:jc w:val="left"/>
              <w:rPr>
                <w:rFonts w:ascii="Times New Roman" w:eastAsia="游ゴシック" w:hAnsi="Times New Roman" w:cs="Times New Roman"/>
                <w:kern w:val="0"/>
                <w:sz w:val="24"/>
                <w:szCs w:val="24"/>
              </w:rPr>
            </w:pPr>
            <w:proofErr w:type="spellStart"/>
            <w:r w:rsidRPr="004F0C2F">
              <w:rPr>
                <w:rFonts w:ascii="Times New Roman" w:eastAsia="游ゴシック" w:hAnsi="Times New Roman" w:cs="Times New Roman"/>
                <w:kern w:val="0"/>
                <w:sz w:val="24"/>
                <w:szCs w:val="24"/>
              </w:rPr>
              <w:t>Josamycin</w:t>
            </w:r>
            <w:proofErr w:type="spellEnd"/>
          </w:p>
        </w:tc>
        <w:tc>
          <w:tcPr>
            <w:tcW w:w="2041" w:type="dxa"/>
            <w:gridSpan w:val="3"/>
            <w:tcBorders>
              <w:top w:val="nil"/>
              <w:left w:val="nil"/>
              <w:bottom w:val="nil"/>
              <w:right w:val="nil"/>
            </w:tcBorders>
            <w:shd w:val="clear" w:color="auto" w:fill="auto"/>
            <w:noWrap/>
            <w:vAlign w:val="center"/>
            <w:hideMark/>
          </w:tcPr>
          <w:p w14:paraId="2054582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&lt;10</w:t>
            </w:r>
            <w:r w:rsidRPr="004F0C2F">
              <w:rPr>
                <w:rFonts w:ascii="Times New Roman" w:eastAsia="游ゴシック" w:hAnsi="Times New Roman" w:cs="Times New Roman"/>
                <w:color w:val="000000"/>
                <w:kern w:val="0"/>
                <w:sz w:val="24"/>
                <w:szCs w:val="24"/>
                <w:vertAlign w:val="superscript"/>
              </w:rPr>
              <w:t>†</w:t>
            </w:r>
          </w:p>
        </w:tc>
      </w:tr>
      <w:tr w:rsidR="001F06F8" w:rsidRPr="004F0C2F" w14:paraId="6FDAB516" w14:textId="77777777" w:rsidTr="00AB6C01">
        <w:trPr>
          <w:trHeight w:val="390"/>
        </w:trPr>
        <w:tc>
          <w:tcPr>
            <w:tcW w:w="1981" w:type="dxa"/>
            <w:tcBorders>
              <w:top w:val="nil"/>
              <w:left w:val="nil"/>
              <w:bottom w:val="nil"/>
              <w:right w:val="nil"/>
            </w:tcBorders>
            <w:shd w:val="clear" w:color="auto" w:fill="auto"/>
            <w:noWrap/>
            <w:vAlign w:val="center"/>
            <w:hideMark/>
          </w:tcPr>
          <w:p w14:paraId="2DF27990"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A2E43E8" w14:textId="77777777" w:rsidR="001F06F8" w:rsidRPr="004F0C2F" w:rsidRDefault="001F06F8" w:rsidP="001F06F8">
            <w:pPr>
              <w:widowControl/>
              <w:jc w:val="left"/>
              <w:rPr>
                <w:rFonts w:ascii="Times New Roman" w:eastAsia="Times New Roman" w:hAnsi="Times New Roman" w:cs="Times New Roman"/>
                <w:kern w:val="0"/>
                <w:sz w:val="20"/>
                <w:szCs w:val="20"/>
              </w:rPr>
            </w:pPr>
          </w:p>
        </w:tc>
        <w:tc>
          <w:tcPr>
            <w:tcW w:w="2041" w:type="dxa"/>
            <w:gridSpan w:val="3"/>
            <w:tcBorders>
              <w:top w:val="nil"/>
              <w:left w:val="nil"/>
              <w:bottom w:val="nil"/>
              <w:right w:val="nil"/>
            </w:tcBorders>
            <w:shd w:val="clear" w:color="auto" w:fill="auto"/>
            <w:noWrap/>
            <w:vAlign w:val="center"/>
            <w:hideMark/>
          </w:tcPr>
          <w:p w14:paraId="6BEFF6C4" w14:textId="77777777" w:rsidR="001F06F8" w:rsidRPr="004F0C2F" w:rsidRDefault="001F06F8" w:rsidP="001F06F8">
            <w:pPr>
              <w:widowControl/>
              <w:jc w:val="left"/>
              <w:rPr>
                <w:rFonts w:ascii="Times New Roman" w:eastAsia="Times New Roman" w:hAnsi="Times New Roman" w:cs="Times New Roman"/>
                <w:kern w:val="0"/>
                <w:sz w:val="20"/>
                <w:szCs w:val="20"/>
              </w:rPr>
            </w:pPr>
          </w:p>
        </w:tc>
      </w:tr>
      <w:tr w:rsidR="001F06F8" w:rsidRPr="004F0C2F" w14:paraId="23A6D08A" w14:textId="77777777" w:rsidTr="00AB6C01">
        <w:trPr>
          <w:trHeight w:val="390"/>
        </w:trPr>
        <w:tc>
          <w:tcPr>
            <w:tcW w:w="1981" w:type="dxa"/>
            <w:vMerge w:val="restart"/>
            <w:tcBorders>
              <w:top w:val="nil"/>
              <w:left w:val="nil"/>
              <w:bottom w:val="nil"/>
              <w:right w:val="nil"/>
            </w:tcBorders>
            <w:shd w:val="clear" w:color="auto" w:fill="auto"/>
            <w:vAlign w:val="center"/>
            <w:hideMark/>
          </w:tcPr>
          <w:p w14:paraId="3461FECF"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Penicillin-based antibiotics</w:t>
            </w:r>
          </w:p>
        </w:tc>
        <w:tc>
          <w:tcPr>
            <w:tcW w:w="4398" w:type="dxa"/>
            <w:gridSpan w:val="3"/>
            <w:tcBorders>
              <w:top w:val="nil"/>
              <w:left w:val="nil"/>
              <w:bottom w:val="nil"/>
              <w:right w:val="nil"/>
            </w:tcBorders>
            <w:shd w:val="clear" w:color="auto" w:fill="auto"/>
            <w:noWrap/>
            <w:vAlign w:val="center"/>
            <w:hideMark/>
          </w:tcPr>
          <w:p w14:paraId="2E7921BE"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Benzylpenicillin potassium</w:t>
            </w:r>
          </w:p>
        </w:tc>
        <w:tc>
          <w:tcPr>
            <w:tcW w:w="2041" w:type="dxa"/>
            <w:gridSpan w:val="3"/>
            <w:tcBorders>
              <w:top w:val="nil"/>
              <w:left w:val="nil"/>
              <w:bottom w:val="nil"/>
              <w:right w:val="nil"/>
            </w:tcBorders>
            <w:shd w:val="clear" w:color="auto" w:fill="auto"/>
            <w:noWrap/>
            <w:vAlign w:val="center"/>
            <w:hideMark/>
          </w:tcPr>
          <w:p w14:paraId="781047F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57</w:t>
            </w:r>
          </w:p>
        </w:tc>
      </w:tr>
      <w:tr w:rsidR="001F06F8" w:rsidRPr="004F0C2F" w14:paraId="35AD0FA1" w14:textId="77777777" w:rsidTr="00AB6C01">
        <w:trPr>
          <w:trHeight w:val="390"/>
        </w:trPr>
        <w:tc>
          <w:tcPr>
            <w:tcW w:w="1981" w:type="dxa"/>
            <w:vMerge/>
            <w:tcBorders>
              <w:top w:val="nil"/>
              <w:left w:val="nil"/>
              <w:bottom w:val="nil"/>
              <w:right w:val="nil"/>
            </w:tcBorders>
            <w:vAlign w:val="center"/>
            <w:hideMark/>
          </w:tcPr>
          <w:p w14:paraId="519AFBF3"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1C06D7F"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Ampicillin hydrate</w:t>
            </w:r>
          </w:p>
        </w:tc>
        <w:tc>
          <w:tcPr>
            <w:tcW w:w="2041" w:type="dxa"/>
            <w:gridSpan w:val="3"/>
            <w:tcBorders>
              <w:top w:val="nil"/>
              <w:left w:val="nil"/>
              <w:bottom w:val="nil"/>
              <w:right w:val="nil"/>
            </w:tcBorders>
            <w:shd w:val="clear" w:color="auto" w:fill="auto"/>
            <w:noWrap/>
            <w:vAlign w:val="center"/>
            <w:hideMark/>
          </w:tcPr>
          <w:p w14:paraId="0E358146"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155</w:t>
            </w:r>
          </w:p>
        </w:tc>
      </w:tr>
      <w:tr w:rsidR="001F06F8" w:rsidRPr="004F0C2F" w14:paraId="1CA85A98" w14:textId="77777777" w:rsidTr="00AB6C01">
        <w:trPr>
          <w:trHeight w:val="390"/>
        </w:trPr>
        <w:tc>
          <w:tcPr>
            <w:tcW w:w="1981" w:type="dxa"/>
            <w:tcBorders>
              <w:top w:val="nil"/>
              <w:left w:val="nil"/>
              <w:bottom w:val="nil"/>
              <w:right w:val="nil"/>
            </w:tcBorders>
            <w:shd w:val="clear" w:color="auto" w:fill="auto"/>
            <w:noWrap/>
            <w:vAlign w:val="center"/>
            <w:hideMark/>
          </w:tcPr>
          <w:p w14:paraId="4B3D6BFA"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0E644385"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Ampicillin sodium</w:t>
            </w:r>
          </w:p>
        </w:tc>
        <w:tc>
          <w:tcPr>
            <w:tcW w:w="2041" w:type="dxa"/>
            <w:gridSpan w:val="3"/>
            <w:tcBorders>
              <w:top w:val="nil"/>
              <w:left w:val="nil"/>
              <w:bottom w:val="nil"/>
              <w:right w:val="nil"/>
            </w:tcBorders>
            <w:shd w:val="clear" w:color="auto" w:fill="auto"/>
            <w:noWrap/>
            <w:vAlign w:val="center"/>
            <w:hideMark/>
          </w:tcPr>
          <w:p w14:paraId="377EF5CC"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1,844</w:t>
            </w:r>
          </w:p>
        </w:tc>
      </w:tr>
      <w:tr w:rsidR="001F06F8" w:rsidRPr="004F0C2F" w14:paraId="519CF42E" w14:textId="77777777" w:rsidTr="00AB6C01">
        <w:trPr>
          <w:trHeight w:val="390"/>
        </w:trPr>
        <w:tc>
          <w:tcPr>
            <w:tcW w:w="1981" w:type="dxa"/>
            <w:tcBorders>
              <w:top w:val="nil"/>
              <w:left w:val="nil"/>
              <w:bottom w:val="nil"/>
              <w:right w:val="nil"/>
            </w:tcBorders>
            <w:shd w:val="clear" w:color="auto" w:fill="auto"/>
            <w:noWrap/>
            <w:vAlign w:val="center"/>
            <w:hideMark/>
          </w:tcPr>
          <w:p w14:paraId="01A837A3"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2D6B2775"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Ampicillin sodium/sulbactam sodium</w:t>
            </w:r>
          </w:p>
        </w:tc>
        <w:tc>
          <w:tcPr>
            <w:tcW w:w="2041" w:type="dxa"/>
            <w:gridSpan w:val="3"/>
            <w:tcBorders>
              <w:top w:val="nil"/>
              <w:left w:val="nil"/>
              <w:bottom w:val="nil"/>
              <w:right w:val="nil"/>
            </w:tcBorders>
            <w:shd w:val="clear" w:color="auto" w:fill="auto"/>
            <w:noWrap/>
            <w:vAlign w:val="center"/>
            <w:hideMark/>
          </w:tcPr>
          <w:p w14:paraId="02D572AC"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6,899</w:t>
            </w:r>
          </w:p>
        </w:tc>
      </w:tr>
      <w:tr w:rsidR="001F06F8" w:rsidRPr="004F0C2F" w14:paraId="0D364F6A" w14:textId="77777777" w:rsidTr="00AB6C01">
        <w:trPr>
          <w:trHeight w:val="375"/>
        </w:trPr>
        <w:tc>
          <w:tcPr>
            <w:tcW w:w="1981" w:type="dxa"/>
            <w:tcBorders>
              <w:top w:val="nil"/>
              <w:left w:val="nil"/>
              <w:bottom w:val="nil"/>
              <w:right w:val="nil"/>
            </w:tcBorders>
            <w:shd w:val="clear" w:color="auto" w:fill="auto"/>
            <w:noWrap/>
            <w:vAlign w:val="center"/>
            <w:hideMark/>
          </w:tcPr>
          <w:p w14:paraId="0D507A0C"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6366CB51"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Ampicillin hydrate/cloxacillin sodium</w:t>
            </w:r>
          </w:p>
        </w:tc>
        <w:tc>
          <w:tcPr>
            <w:tcW w:w="2041" w:type="dxa"/>
            <w:gridSpan w:val="3"/>
            <w:tcBorders>
              <w:top w:val="nil"/>
              <w:left w:val="nil"/>
              <w:bottom w:val="nil"/>
              <w:right w:val="nil"/>
            </w:tcBorders>
            <w:shd w:val="clear" w:color="auto" w:fill="auto"/>
            <w:noWrap/>
            <w:vAlign w:val="center"/>
            <w:hideMark/>
          </w:tcPr>
          <w:p w14:paraId="7992BBAA"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33</w:t>
            </w:r>
          </w:p>
        </w:tc>
      </w:tr>
      <w:tr w:rsidR="001F06F8" w:rsidRPr="004F0C2F" w14:paraId="2A1A78DB" w14:textId="77777777" w:rsidTr="00AB6C01">
        <w:trPr>
          <w:trHeight w:val="375"/>
        </w:trPr>
        <w:tc>
          <w:tcPr>
            <w:tcW w:w="1981" w:type="dxa"/>
            <w:tcBorders>
              <w:top w:val="nil"/>
              <w:left w:val="nil"/>
              <w:bottom w:val="nil"/>
              <w:right w:val="nil"/>
            </w:tcBorders>
            <w:shd w:val="clear" w:color="auto" w:fill="auto"/>
            <w:noWrap/>
            <w:vAlign w:val="center"/>
            <w:hideMark/>
          </w:tcPr>
          <w:p w14:paraId="77914349"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1ACF470D"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Ampicillin sodium/cloxacillin sodium hydrate</w:t>
            </w:r>
          </w:p>
        </w:tc>
        <w:tc>
          <w:tcPr>
            <w:tcW w:w="2041" w:type="dxa"/>
            <w:gridSpan w:val="3"/>
            <w:tcBorders>
              <w:top w:val="nil"/>
              <w:left w:val="nil"/>
              <w:bottom w:val="nil"/>
              <w:right w:val="nil"/>
            </w:tcBorders>
            <w:shd w:val="clear" w:color="auto" w:fill="auto"/>
            <w:noWrap/>
            <w:vAlign w:val="center"/>
            <w:hideMark/>
          </w:tcPr>
          <w:p w14:paraId="1CE57732"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77</w:t>
            </w:r>
          </w:p>
        </w:tc>
      </w:tr>
      <w:tr w:rsidR="001F06F8" w:rsidRPr="004F0C2F" w14:paraId="20861DBD" w14:textId="77777777" w:rsidTr="00AB6C01">
        <w:trPr>
          <w:trHeight w:val="375"/>
        </w:trPr>
        <w:tc>
          <w:tcPr>
            <w:tcW w:w="1981" w:type="dxa"/>
            <w:tcBorders>
              <w:top w:val="nil"/>
              <w:left w:val="nil"/>
              <w:bottom w:val="nil"/>
              <w:right w:val="nil"/>
            </w:tcBorders>
            <w:shd w:val="clear" w:color="auto" w:fill="auto"/>
            <w:noWrap/>
            <w:vAlign w:val="center"/>
            <w:hideMark/>
          </w:tcPr>
          <w:p w14:paraId="549B2C2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5FFA59D1"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Amoxicillin hydrate</w:t>
            </w:r>
          </w:p>
        </w:tc>
        <w:tc>
          <w:tcPr>
            <w:tcW w:w="2041" w:type="dxa"/>
            <w:gridSpan w:val="3"/>
            <w:tcBorders>
              <w:top w:val="nil"/>
              <w:left w:val="nil"/>
              <w:bottom w:val="nil"/>
              <w:right w:val="nil"/>
            </w:tcBorders>
            <w:shd w:val="clear" w:color="auto" w:fill="auto"/>
            <w:noWrap/>
            <w:vAlign w:val="center"/>
            <w:hideMark/>
          </w:tcPr>
          <w:p w14:paraId="22548BD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7,556</w:t>
            </w:r>
          </w:p>
        </w:tc>
      </w:tr>
      <w:tr w:rsidR="001F06F8" w:rsidRPr="004F0C2F" w14:paraId="587DC89C" w14:textId="77777777" w:rsidTr="00AB6C01">
        <w:trPr>
          <w:trHeight w:val="375"/>
        </w:trPr>
        <w:tc>
          <w:tcPr>
            <w:tcW w:w="1981" w:type="dxa"/>
            <w:tcBorders>
              <w:top w:val="nil"/>
              <w:left w:val="nil"/>
              <w:bottom w:val="nil"/>
              <w:right w:val="nil"/>
            </w:tcBorders>
            <w:shd w:val="clear" w:color="auto" w:fill="auto"/>
            <w:noWrap/>
            <w:vAlign w:val="center"/>
            <w:hideMark/>
          </w:tcPr>
          <w:p w14:paraId="542F9295"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0173D70"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Amoxicillin hydrate/potassium clavulanate</w:t>
            </w:r>
          </w:p>
        </w:tc>
        <w:tc>
          <w:tcPr>
            <w:tcW w:w="2041" w:type="dxa"/>
            <w:gridSpan w:val="3"/>
            <w:tcBorders>
              <w:top w:val="nil"/>
              <w:left w:val="nil"/>
              <w:bottom w:val="nil"/>
              <w:right w:val="nil"/>
            </w:tcBorders>
            <w:shd w:val="clear" w:color="auto" w:fill="auto"/>
            <w:noWrap/>
            <w:vAlign w:val="center"/>
            <w:hideMark/>
          </w:tcPr>
          <w:p w14:paraId="569CCD53"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1,948</w:t>
            </w:r>
          </w:p>
        </w:tc>
      </w:tr>
      <w:tr w:rsidR="001F06F8" w:rsidRPr="004F0C2F" w14:paraId="1853CABE" w14:textId="77777777" w:rsidTr="00AB6C01">
        <w:trPr>
          <w:trHeight w:val="375"/>
        </w:trPr>
        <w:tc>
          <w:tcPr>
            <w:tcW w:w="1981" w:type="dxa"/>
            <w:tcBorders>
              <w:top w:val="nil"/>
              <w:left w:val="nil"/>
              <w:bottom w:val="nil"/>
              <w:right w:val="nil"/>
            </w:tcBorders>
            <w:shd w:val="clear" w:color="auto" w:fill="auto"/>
            <w:noWrap/>
            <w:vAlign w:val="center"/>
            <w:hideMark/>
          </w:tcPr>
          <w:p w14:paraId="6C85F23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69AB321A"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Piperacillin sodium</w:t>
            </w:r>
          </w:p>
        </w:tc>
        <w:tc>
          <w:tcPr>
            <w:tcW w:w="2041" w:type="dxa"/>
            <w:gridSpan w:val="3"/>
            <w:tcBorders>
              <w:top w:val="nil"/>
              <w:left w:val="nil"/>
              <w:bottom w:val="nil"/>
              <w:right w:val="nil"/>
            </w:tcBorders>
            <w:shd w:val="clear" w:color="auto" w:fill="auto"/>
            <w:noWrap/>
            <w:vAlign w:val="center"/>
            <w:hideMark/>
          </w:tcPr>
          <w:p w14:paraId="67ADF9C4"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422</w:t>
            </w:r>
          </w:p>
        </w:tc>
      </w:tr>
      <w:tr w:rsidR="001F06F8" w:rsidRPr="004F0C2F" w14:paraId="612E0900" w14:textId="77777777" w:rsidTr="00AB6C01">
        <w:trPr>
          <w:trHeight w:val="375"/>
        </w:trPr>
        <w:tc>
          <w:tcPr>
            <w:tcW w:w="1981" w:type="dxa"/>
            <w:tcBorders>
              <w:top w:val="nil"/>
              <w:left w:val="nil"/>
              <w:bottom w:val="nil"/>
              <w:right w:val="nil"/>
            </w:tcBorders>
            <w:shd w:val="clear" w:color="auto" w:fill="auto"/>
            <w:noWrap/>
            <w:vAlign w:val="center"/>
            <w:hideMark/>
          </w:tcPr>
          <w:p w14:paraId="61959C22"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4393BEA2" w14:textId="77777777" w:rsidR="001F06F8" w:rsidRPr="004F0C2F" w:rsidRDefault="001F06F8" w:rsidP="001F06F8">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Tazobactam/piperacillin</w:t>
            </w:r>
          </w:p>
        </w:tc>
        <w:tc>
          <w:tcPr>
            <w:tcW w:w="2041" w:type="dxa"/>
            <w:gridSpan w:val="3"/>
            <w:tcBorders>
              <w:top w:val="nil"/>
              <w:left w:val="nil"/>
              <w:bottom w:val="nil"/>
              <w:right w:val="nil"/>
            </w:tcBorders>
            <w:shd w:val="clear" w:color="auto" w:fill="auto"/>
            <w:noWrap/>
            <w:vAlign w:val="center"/>
            <w:hideMark/>
          </w:tcPr>
          <w:p w14:paraId="1605377A"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5,606</w:t>
            </w:r>
          </w:p>
        </w:tc>
      </w:tr>
      <w:tr w:rsidR="001F06F8" w:rsidRPr="004F0C2F" w14:paraId="1F534DEA" w14:textId="77777777" w:rsidTr="00AB6C01">
        <w:trPr>
          <w:trHeight w:val="375"/>
        </w:trPr>
        <w:tc>
          <w:tcPr>
            <w:tcW w:w="1981" w:type="dxa"/>
            <w:tcBorders>
              <w:top w:val="nil"/>
              <w:left w:val="nil"/>
              <w:bottom w:val="nil"/>
              <w:right w:val="nil"/>
            </w:tcBorders>
            <w:shd w:val="clear" w:color="auto" w:fill="auto"/>
            <w:noWrap/>
            <w:vAlign w:val="center"/>
            <w:hideMark/>
          </w:tcPr>
          <w:p w14:paraId="3E1C425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5D2A727A" w14:textId="77777777" w:rsidR="001F06F8" w:rsidRPr="004F0C2F" w:rsidRDefault="001F06F8" w:rsidP="001F06F8">
            <w:pPr>
              <w:widowControl/>
              <w:jc w:val="left"/>
              <w:rPr>
                <w:rFonts w:ascii="Times New Roman" w:eastAsia="游ゴシック" w:hAnsi="Times New Roman" w:cs="Times New Roman"/>
                <w:kern w:val="0"/>
                <w:sz w:val="24"/>
                <w:szCs w:val="24"/>
              </w:rPr>
            </w:pPr>
            <w:proofErr w:type="spellStart"/>
            <w:r w:rsidRPr="004F0C2F">
              <w:rPr>
                <w:rFonts w:ascii="Times New Roman" w:eastAsia="游ゴシック" w:hAnsi="Times New Roman" w:cs="Times New Roman"/>
                <w:kern w:val="0"/>
                <w:sz w:val="24"/>
                <w:szCs w:val="24"/>
              </w:rPr>
              <w:t>Sultamicillin</w:t>
            </w:r>
            <w:proofErr w:type="spellEnd"/>
            <w:r w:rsidRPr="004F0C2F">
              <w:rPr>
                <w:rFonts w:ascii="Times New Roman" w:eastAsia="游ゴシック" w:hAnsi="Times New Roman" w:cs="Times New Roman"/>
                <w:kern w:val="0"/>
                <w:sz w:val="24"/>
                <w:szCs w:val="24"/>
              </w:rPr>
              <w:t xml:space="preserve"> </w:t>
            </w:r>
            <w:proofErr w:type="spellStart"/>
            <w:r w:rsidRPr="004F0C2F">
              <w:rPr>
                <w:rFonts w:ascii="Times New Roman" w:eastAsia="游ゴシック" w:hAnsi="Times New Roman" w:cs="Times New Roman"/>
                <w:kern w:val="0"/>
                <w:sz w:val="24"/>
                <w:szCs w:val="24"/>
              </w:rPr>
              <w:t>tosylate</w:t>
            </w:r>
            <w:proofErr w:type="spellEnd"/>
            <w:r w:rsidRPr="004F0C2F">
              <w:rPr>
                <w:rFonts w:ascii="Times New Roman" w:eastAsia="游ゴシック" w:hAnsi="Times New Roman" w:cs="Times New Roman"/>
                <w:kern w:val="0"/>
                <w:sz w:val="24"/>
                <w:szCs w:val="24"/>
              </w:rPr>
              <w:t xml:space="preserve"> hydrate</w:t>
            </w:r>
          </w:p>
        </w:tc>
        <w:tc>
          <w:tcPr>
            <w:tcW w:w="2041" w:type="dxa"/>
            <w:gridSpan w:val="3"/>
            <w:tcBorders>
              <w:top w:val="nil"/>
              <w:left w:val="nil"/>
              <w:bottom w:val="nil"/>
              <w:right w:val="nil"/>
            </w:tcBorders>
            <w:shd w:val="clear" w:color="auto" w:fill="auto"/>
            <w:noWrap/>
            <w:vAlign w:val="center"/>
            <w:hideMark/>
          </w:tcPr>
          <w:p w14:paraId="40768ED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646</w:t>
            </w:r>
          </w:p>
        </w:tc>
      </w:tr>
      <w:tr w:rsidR="001F06F8" w:rsidRPr="004F0C2F" w14:paraId="75493B97" w14:textId="77777777" w:rsidTr="00AB6C01">
        <w:trPr>
          <w:trHeight w:val="375"/>
        </w:trPr>
        <w:tc>
          <w:tcPr>
            <w:tcW w:w="1981" w:type="dxa"/>
            <w:tcBorders>
              <w:top w:val="nil"/>
              <w:left w:val="nil"/>
              <w:bottom w:val="nil"/>
              <w:right w:val="nil"/>
            </w:tcBorders>
            <w:shd w:val="clear" w:color="auto" w:fill="auto"/>
            <w:noWrap/>
            <w:vAlign w:val="center"/>
            <w:hideMark/>
          </w:tcPr>
          <w:p w14:paraId="59E0C221"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1E8447B4" w14:textId="77777777" w:rsidR="001F06F8" w:rsidRPr="004F0C2F" w:rsidRDefault="001F06F8" w:rsidP="001F06F8">
            <w:pPr>
              <w:widowControl/>
              <w:jc w:val="left"/>
              <w:rPr>
                <w:rFonts w:ascii="Times New Roman" w:eastAsia="Times New Roman" w:hAnsi="Times New Roman" w:cs="Times New Roman"/>
                <w:kern w:val="0"/>
                <w:sz w:val="20"/>
                <w:szCs w:val="20"/>
              </w:rPr>
            </w:pPr>
          </w:p>
        </w:tc>
        <w:tc>
          <w:tcPr>
            <w:tcW w:w="2041" w:type="dxa"/>
            <w:gridSpan w:val="3"/>
            <w:tcBorders>
              <w:top w:val="nil"/>
              <w:left w:val="nil"/>
              <w:bottom w:val="nil"/>
              <w:right w:val="nil"/>
            </w:tcBorders>
            <w:shd w:val="clear" w:color="auto" w:fill="auto"/>
            <w:noWrap/>
            <w:vAlign w:val="center"/>
            <w:hideMark/>
          </w:tcPr>
          <w:p w14:paraId="53BF8474" w14:textId="77777777" w:rsidR="001F06F8" w:rsidRPr="004F0C2F" w:rsidRDefault="001F06F8" w:rsidP="001F06F8">
            <w:pPr>
              <w:widowControl/>
              <w:jc w:val="left"/>
              <w:rPr>
                <w:rFonts w:ascii="Times New Roman" w:eastAsia="Times New Roman" w:hAnsi="Times New Roman" w:cs="Times New Roman"/>
                <w:kern w:val="0"/>
                <w:sz w:val="20"/>
                <w:szCs w:val="20"/>
              </w:rPr>
            </w:pPr>
          </w:p>
        </w:tc>
      </w:tr>
      <w:tr w:rsidR="001F06F8" w:rsidRPr="004F0C2F" w14:paraId="49EB47B3" w14:textId="77777777" w:rsidTr="00AB6C01">
        <w:trPr>
          <w:trHeight w:val="375"/>
        </w:trPr>
        <w:tc>
          <w:tcPr>
            <w:tcW w:w="1981" w:type="dxa"/>
            <w:tcBorders>
              <w:top w:val="nil"/>
              <w:left w:val="nil"/>
              <w:bottom w:val="nil"/>
              <w:right w:val="nil"/>
            </w:tcBorders>
            <w:shd w:val="clear" w:color="auto" w:fill="auto"/>
            <w:noWrap/>
            <w:vAlign w:val="center"/>
            <w:hideMark/>
          </w:tcPr>
          <w:p w14:paraId="15800DD0" w14:textId="77777777" w:rsidR="001F06F8" w:rsidRPr="004F0C2F" w:rsidRDefault="001F06F8" w:rsidP="001F06F8">
            <w:pPr>
              <w:widowControl/>
              <w:jc w:val="left"/>
              <w:rPr>
                <w:rFonts w:ascii="Times New Roman" w:eastAsia="游ゴシック" w:hAnsi="Times New Roman" w:cs="Times New Roman"/>
                <w:color w:val="222222"/>
                <w:kern w:val="0"/>
                <w:sz w:val="24"/>
                <w:szCs w:val="24"/>
              </w:rPr>
            </w:pPr>
            <w:r w:rsidRPr="004F0C2F">
              <w:rPr>
                <w:rFonts w:ascii="Times New Roman" w:eastAsia="游ゴシック" w:hAnsi="Times New Roman" w:cs="Times New Roman"/>
                <w:color w:val="222222"/>
                <w:kern w:val="0"/>
                <w:sz w:val="24"/>
                <w:szCs w:val="24"/>
              </w:rPr>
              <w:t>Fluoroquinolones</w:t>
            </w:r>
          </w:p>
        </w:tc>
        <w:tc>
          <w:tcPr>
            <w:tcW w:w="4398" w:type="dxa"/>
            <w:gridSpan w:val="3"/>
            <w:tcBorders>
              <w:top w:val="nil"/>
              <w:left w:val="nil"/>
              <w:bottom w:val="nil"/>
              <w:right w:val="nil"/>
            </w:tcBorders>
            <w:shd w:val="clear" w:color="auto" w:fill="auto"/>
            <w:noWrap/>
            <w:vAlign w:val="center"/>
            <w:hideMark/>
          </w:tcPr>
          <w:p w14:paraId="6C9EA513"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Levofloxacin hydrate </w:t>
            </w:r>
          </w:p>
        </w:tc>
        <w:tc>
          <w:tcPr>
            <w:tcW w:w="2041" w:type="dxa"/>
            <w:gridSpan w:val="3"/>
            <w:tcBorders>
              <w:top w:val="nil"/>
              <w:left w:val="nil"/>
              <w:bottom w:val="nil"/>
              <w:right w:val="nil"/>
            </w:tcBorders>
            <w:shd w:val="clear" w:color="auto" w:fill="auto"/>
            <w:noWrap/>
            <w:vAlign w:val="center"/>
            <w:hideMark/>
          </w:tcPr>
          <w:p w14:paraId="1D2FB2C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17,036</w:t>
            </w:r>
          </w:p>
        </w:tc>
      </w:tr>
      <w:tr w:rsidR="001F06F8" w:rsidRPr="004F0C2F" w14:paraId="40249C19" w14:textId="77777777" w:rsidTr="00AB6C01">
        <w:trPr>
          <w:trHeight w:val="390"/>
        </w:trPr>
        <w:tc>
          <w:tcPr>
            <w:tcW w:w="1981" w:type="dxa"/>
            <w:tcBorders>
              <w:top w:val="nil"/>
              <w:left w:val="nil"/>
              <w:bottom w:val="nil"/>
              <w:right w:val="nil"/>
            </w:tcBorders>
            <w:shd w:val="clear" w:color="auto" w:fill="auto"/>
            <w:noWrap/>
            <w:vAlign w:val="center"/>
            <w:hideMark/>
          </w:tcPr>
          <w:p w14:paraId="622A8713"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148CD712"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proofErr w:type="spellStart"/>
            <w:r w:rsidRPr="004F0C2F">
              <w:rPr>
                <w:rFonts w:ascii="Times New Roman" w:eastAsia="游ゴシック" w:hAnsi="Times New Roman" w:cs="Times New Roman"/>
                <w:color w:val="000000"/>
                <w:kern w:val="0"/>
                <w:sz w:val="24"/>
                <w:szCs w:val="24"/>
              </w:rPr>
              <w:t>Tosufloxacin</w:t>
            </w:r>
            <w:proofErr w:type="spellEnd"/>
            <w:r w:rsidRPr="004F0C2F">
              <w:rPr>
                <w:rFonts w:ascii="Times New Roman" w:eastAsia="游ゴシック" w:hAnsi="Times New Roman" w:cs="Times New Roman"/>
                <w:color w:val="000000"/>
                <w:kern w:val="0"/>
                <w:sz w:val="24"/>
                <w:szCs w:val="24"/>
              </w:rPr>
              <w:t xml:space="preserve"> </w:t>
            </w:r>
            <w:proofErr w:type="spellStart"/>
            <w:r w:rsidRPr="004F0C2F">
              <w:rPr>
                <w:rFonts w:ascii="Times New Roman" w:eastAsia="游ゴシック" w:hAnsi="Times New Roman" w:cs="Times New Roman"/>
                <w:color w:val="000000"/>
                <w:kern w:val="0"/>
                <w:sz w:val="24"/>
                <w:szCs w:val="24"/>
              </w:rPr>
              <w:t>tosylate</w:t>
            </w:r>
            <w:proofErr w:type="spellEnd"/>
            <w:r w:rsidRPr="004F0C2F">
              <w:rPr>
                <w:rFonts w:ascii="Times New Roman" w:eastAsia="游ゴシック" w:hAnsi="Times New Roman" w:cs="Times New Roman"/>
                <w:color w:val="000000"/>
                <w:kern w:val="0"/>
                <w:sz w:val="24"/>
                <w:szCs w:val="24"/>
              </w:rPr>
              <w:t xml:space="preserve"> hydrate</w:t>
            </w:r>
          </w:p>
        </w:tc>
        <w:tc>
          <w:tcPr>
            <w:tcW w:w="2041" w:type="dxa"/>
            <w:gridSpan w:val="3"/>
            <w:tcBorders>
              <w:top w:val="nil"/>
              <w:left w:val="nil"/>
              <w:bottom w:val="nil"/>
              <w:right w:val="nil"/>
            </w:tcBorders>
            <w:shd w:val="clear" w:color="auto" w:fill="auto"/>
            <w:noWrap/>
            <w:vAlign w:val="center"/>
            <w:hideMark/>
          </w:tcPr>
          <w:p w14:paraId="7A2387F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464</w:t>
            </w:r>
          </w:p>
        </w:tc>
      </w:tr>
      <w:tr w:rsidR="001F06F8" w:rsidRPr="004F0C2F" w14:paraId="0823F437" w14:textId="77777777" w:rsidTr="00AB6C01">
        <w:trPr>
          <w:trHeight w:val="390"/>
        </w:trPr>
        <w:tc>
          <w:tcPr>
            <w:tcW w:w="1981" w:type="dxa"/>
            <w:tcBorders>
              <w:top w:val="nil"/>
              <w:left w:val="nil"/>
              <w:bottom w:val="nil"/>
              <w:right w:val="nil"/>
            </w:tcBorders>
            <w:shd w:val="clear" w:color="auto" w:fill="auto"/>
            <w:noWrap/>
            <w:vAlign w:val="center"/>
            <w:hideMark/>
          </w:tcPr>
          <w:p w14:paraId="578544EC"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2EB1E368"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Ciprofloxacin hydrochloride</w:t>
            </w:r>
          </w:p>
        </w:tc>
        <w:tc>
          <w:tcPr>
            <w:tcW w:w="2041" w:type="dxa"/>
            <w:gridSpan w:val="3"/>
            <w:tcBorders>
              <w:top w:val="nil"/>
              <w:left w:val="nil"/>
              <w:bottom w:val="nil"/>
              <w:right w:val="nil"/>
            </w:tcBorders>
            <w:shd w:val="clear" w:color="auto" w:fill="auto"/>
            <w:noWrap/>
            <w:vAlign w:val="center"/>
            <w:hideMark/>
          </w:tcPr>
          <w:p w14:paraId="796DE62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700</w:t>
            </w:r>
          </w:p>
        </w:tc>
      </w:tr>
      <w:tr w:rsidR="001F06F8" w:rsidRPr="004F0C2F" w14:paraId="6A23A8C3" w14:textId="77777777" w:rsidTr="00AB6C01">
        <w:trPr>
          <w:trHeight w:val="390"/>
        </w:trPr>
        <w:tc>
          <w:tcPr>
            <w:tcW w:w="1981" w:type="dxa"/>
            <w:tcBorders>
              <w:top w:val="nil"/>
              <w:left w:val="nil"/>
              <w:bottom w:val="nil"/>
              <w:right w:val="nil"/>
            </w:tcBorders>
            <w:shd w:val="clear" w:color="auto" w:fill="auto"/>
            <w:noWrap/>
            <w:vAlign w:val="center"/>
            <w:hideMark/>
          </w:tcPr>
          <w:p w14:paraId="665C875E"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06C2137E"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Ciprofloxacin</w:t>
            </w:r>
          </w:p>
        </w:tc>
        <w:tc>
          <w:tcPr>
            <w:tcW w:w="2041" w:type="dxa"/>
            <w:gridSpan w:val="3"/>
            <w:tcBorders>
              <w:top w:val="nil"/>
              <w:left w:val="nil"/>
              <w:bottom w:val="nil"/>
              <w:right w:val="nil"/>
            </w:tcBorders>
            <w:shd w:val="clear" w:color="auto" w:fill="auto"/>
            <w:noWrap/>
            <w:vAlign w:val="center"/>
            <w:hideMark/>
          </w:tcPr>
          <w:p w14:paraId="5E72834A"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346</w:t>
            </w:r>
          </w:p>
        </w:tc>
      </w:tr>
      <w:tr w:rsidR="001F06F8" w:rsidRPr="004F0C2F" w14:paraId="29AA4D34" w14:textId="77777777" w:rsidTr="00AB6C01">
        <w:trPr>
          <w:trHeight w:val="390"/>
        </w:trPr>
        <w:tc>
          <w:tcPr>
            <w:tcW w:w="1981" w:type="dxa"/>
            <w:tcBorders>
              <w:top w:val="nil"/>
              <w:left w:val="nil"/>
              <w:bottom w:val="nil"/>
              <w:right w:val="nil"/>
            </w:tcBorders>
            <w:shd w:val="clear" w:color="auto" w:fill="auto"/>
            <w:noWrap/>
            <w:vAlign w:val="center"/>
            <w:hideMark/>
          </w:tcPr>
          <w:p w14:paraId="750E3CD8"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3E411BE9"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Pazufloxacin mesylate</w:t>
            </w:r>
          </w:p>
        </w:tc>
        <w:tc>
          <w:tcPr>
            <w:tcW w:w="2041" w:type="dxa"/>
            <w:gridSpan w:val="3"/>
            <w:tcBorders>
              <w:top w:val="nil"/>
              <w:left w:val="nil"/>
              <w:bottom w:val="nil"/>
              <w:right w:val="nil"/>
            </w:tcBorders>
            <w:shd w:val="clear" w:color="auto" w:fill="auto"/>
            <w:noWrap/>
            <w:vAlign w:val="center"/>
            <w:hideMark/>
          </w:tcPr>
          <w:p w14:paraId="62D893C8"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45</w:t>
            </w:r>
          </w:p>
        </w:tc>
      </w:tr>
      <w:tr w:rsidR="001F06F8" w:rsidRPr="004F0C2F" w14:paraId="480C9A6D" w14:textId="77777777" w:rsidTr="00AB6C01">
        <w:trPr>
          <w:trHeight w:val="390"/>
        </w:trPr>
        <w:tc>
          <w:tcPr>
            <w:tcW w:w="1981" w:type="dxa"/>
            <w:tcBorders>
              <w:top w:val="nil"/>
              <w:left w:val="nil"/>
              <w:bottom w:val="nil"/>
              <w:right w:val="nil"/>
            </w:tcBorders>
            <w:shd w:val="clear" w:color="auto" w:fill="auto"/>
            <w:noWrap/>
            <w:vAlign w:val="center"/>
            <w:hideMark/>
          </w:tcPr>
          <w:p w14:paraId="05608CCD"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bottom w:val="nil"/>
              <w:right w:val="nil"/>
            </w:tcBorders>
            <w:shd w:val="clear" w:color="auto" w:fill="auto"/>
            <w:noWrap/>
            <w:vAlign w:val="center"/>
            <w:hideMark/>
          </w:tcPr>
          <w:p w14:paraId="64063DD5"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Moxifloxacin hydrochloride</w:t>
            </w:r>
          </w:p>
        </w:tc>
        <w:tc>
          <w:tcPr>
            <w:tcW w:w="2041" w:type="dxa"/>
            <w:gridSpan w:val="3"/>
            <w:tcBorders>
              <w:top w:val="nil"/>
              <w:left w:val="nil"/>
              <w:bottom w:val="nil"/>
              <w:right w:val="nil"/>
            </w:tcBorders>
            <w:shd w:val="clear" w:color="auto" w:fill="auto"/>
            <w:noWrap/>
            <w:vAlign w:val="center"/>
            <w:hideMark/>
          </w:tcPr>
          <w:p w14:paraId="5E7EF868"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116</w:t>
            </w:r>
          </w:p>
        </w:tc>
      </w:tr>
      <w:tr w:rsidR="001F06F8" w:rsidRPr="004F0C2F" w14:paraId="28332A20" w14:textId="77777777" w:rsidTr="00AB6C01">
        <w:trPr>
          <w:trHeight w:val="390"/>
        </w:trPr>
        <w:tc>
          <w:tcPr>
            <w:tcW w:w="1981" w:type="dxa"/>
            <w:tcBorders>
              <w:top w:val="nil"/>
              <w:left w:val="nil"/>
              <w:right w:val="nil"/>
            </w:tcBorders>
            <w:shd w:val="clear" w:color="auto" w:fill="auto"/>
            <w:noWrap/>
            <w:vAlign w:val="center"/>
            <w:hideMark/>
          </w:tcPr>
          <w:p w14:paraId="268D2FFA"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p>
        </w:tc>
        <w:tc>
          <w:tcPr>
            <w:tcW w:w="4398" w:type="dxa"/>
            <w:gridSpan w:val="3"/>
            <w:tcBorders>
              <w:top w:val="nil"/>
              <w:left w:val="nil"/>
              <w:right w:val="nil"/>
            </w:tcBorders>
            <w:shd w:val="clear" w:color="auto" w:fill="auto"/>
            <w:noWrap/>
            <w:vAlign w:val="center"/>
            <w:hideMark/>
          </w:tcPr>
          <w:p w14:paraId="11763E46"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Garenoxacin mesylate Hydrate </w:t>
            </w:r>
          </w:p>
        </w:tc>
        <w:tc>
          <w:tcPr>
            <w:tcW w:w="2041" w:type="dxa"/>
            <w:gridSpan w:val="3"/>
            <w:tcBorders>
              <w:top w:val="nil"/>
              <w:left w:val="nil"/>
              <w:right w:val="nil"/>
            </w:tcBorders>
            <w:shd w:val="clear" w:color="auto" w:fill="auto"/>
            <w:noWrap/>
            <w:vAlign w:val="center"/>
            <w:hideMark/>
          </w:tcPr>
          <w:p w14:paraId="003FBC9B"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1627</w:t>
            </w:r>
          </w:p>
        </w:tc>
      </w:tr>
      <w:tr w:rsidR="001F06F8" w:rsidRPr="004F0C2F" w14:paraId="4F85F1AF" w14:textId="77777777" w:rsidTr="00AB6C01">
        <w:trPr>
          <w:trHeight w:val="405"/>
        </w:trPr>
        <w:tc>
          <w:tcPr>
            <w:tcW w:w="1981" w:type="dxa"/>
            <w:tcBorders>
              <w:top w:val="nil"/>
              <w:left w:val="nil"/>
              <w:bottom w:val="single" w:sz="8" w:space="0" w:color="auto"/>
              <w:right w:val="nil"/>
            </w:tcBorders>
            <w:shd w:val="clear" w:color="auto" w:fill="auto"/>
            <w:noWrap/>
            <w:vAlign w:val="center"/>
            <w:hideMark/>
          </w:tcPr>
          <w:p w14:paraId="4DE3E0B9" w14:textId="15EBEEE3" w:rsidR="001F06F8" w:rsidRPr="004F0C2F" w:rsidRDefault="001F06F8" w:rsidP="001F06F8">
            <w:pPr>
              <w:widowControl/>
              <w:jc w:val="left"/>
              <w:rPr>
                <w:rFonts w:ascii="游ゴシック" w:eastAsia="游ゴシック" w:hAnsi="游ゴシック" w:cs="ＭＳ Ｐゴシック"/>
                <w:color w:val="000000"/>
                <w:kern w:val="0"/>
                <w:sz w:val="20"/>
                <w:szCs w:val="24"/>
              </w:rPr>
            </w:pPr>
          </w:p>
        </w:tc>
        <w:tc>
          <w:tcPr>
            <w:tcW w:w="4398" w:type="dxa"/>
            <w:gridSpan w:val="3"/>
            <w:tcBorders>
              <w:top w:val="nil"/>
              <w:left w:val="nil"/>
              <w:bottom w:val="single" w:sz="8" w:space="0" w:color="auto"/>
              <w:right w:val="nil"/>
            </w:tcBorders>
            <w:shd w:val="clear" w:color="auto" w:fill="auto"/>
            <w:noWrap/>
            <w:vAlign w:val="center"/>
            <w:hideMark/>
          </w:tcPr>
          <w:p w14:paraId="3A30EBEE"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proofErr w:type="spellStart"/>
            <w:r w:rsidRPr="004F0C2F">
              <w:rPr>
                <w:rFonts w:ascii="Times New Roman" w:eastAsia="游ゴシック" w:hAnsi="Times New Roman" w:cs="Times New Roman"/>
                <w:color w:val="000000"/>
                <w:kern w:val="0"/>
                <w:sz w:val="24"/>
                <w:szCs w:val="24"/>
              </w:rPr>
              <w:t>Sitafloxacin</w:t>
            </w:r>
            <w:proofErr w:type="spellEnd"/>
            <w:r w:rsidRPr="004F0C2F">
              <w:rPr>
                <w:rFonts w:ascii="Times New Roman" w:eastAsia="游ゴシック" w:hAnsi="Times New Roman" w:cs="Times New Roman"/>
                <w:color w:val="000000"/>
                <w:kern w:val="0"/>
                <w:sz w:val="24"/>
                <w:szCs w:val="24"/>
              </w:rPr>
              <w:t xml:space="preserve"> hydrate</w:t>
            </w:r>
          </w:p>
        </w:tc>
        <w:tc>
          <w:tcPr>
            <w:tcW w:w="2041" w:type="dxa"/>
            <w:gridSpan w:val="3"/>
            <w:tcBorders>
              <w:top w:val="nil"/>
              <w:left w:val="nil"/>
              <w:bottom w:val="single" w:sz="8" w:space="0" w:color="auto"/>
              <w:right w:val="nil"/>
            </w:tcBorders>
            <w:shd w:val="clear" w:color="auto" w:fill="auto"/>
            <w:noWrap/>
            <w:vAlign w:val="center"/>
            <w:hideMark/>
          </w:tcPr>
          <w:p w14:paraId="01D7D152" w14:textId="77777777" w:rsidR="001F06F8" w:rsidRPr="004F0C2F" w:rsidRDefault="001F06F8" w:rsidP="001F06F8">
            <w:pPr>
              <w:widowControl/>
              <w:jc w:val="righ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23</w:t>
            </w:r>
          </w:p>
        </w:tc>
      </w:tr>
      <w:tr w:rsidR="001F06F8" w:rsidRPr="004F0C2F" w14:paraId="65E4BA71" w14:textId="77777777" w:rsidTr="00AB6C01">
        <w:trPr>
          <w:trHeight w:val="360"/>
        </w:trPr>
        <w:tc>
          <w:tcPr>
            <w:tcW w:w="8420" w:type="dxa"/>
            <w:gridSpan w:val="7"/>
            <w:vMerge w:val="restart"/>
            <w:tcBorders>
              <w:top w:val="single" w:sz="8" w:space="0" w:color="auto"/>
              <w:left w:val="nil"/>
              <w:bottom w:val="nil"/>
              <w:right w:val="nil"/>
            </w:tcBorders>
            <w:shd w:val="clear" w:color="auto" w:fill="auto"/>
            <w:hideMark/>
          </w:tcPr>
          <w:p w14:paraId="60959793"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*Number of patients who were prescribed each antibiotic from 2011 to 2015 at the University of Tokyo Hospital.</w:t>
            </w:r>
          </w:p>
        </w:tc>
      </w:tr>
      <w:tr w:rsidR="001F06F8" w:rsidRPr="004F0C2F" w14:paraId="070E322E" w14:textId="77777777" w:rsidTr="00AB6C01">
        <w:trPr>
          <w:trHeight w:val="390"/>
        </w:trPr>
        <w:tc>
          <w:tcPr>
            <w:tcW w:w="8420" w:type="dxa"/>
            <w:gridSpan w:val="7"/>
            <w:vMerge/>
            <w:tcBorders>
              <w:top w:val="single" w:sz="8" w:space="0" w:color="auto"/>
              <w:left w:val="nil"/>
              <w:bottom w:val="nil"/>
              <w:right w:val="nil"/>
            </w:tcBorders>
            <w:vAlign w:val="center"/>
            <w:hideMark/>
          </w:tcPr>
          <w:p w14:paraId="12D16B4D" w14:textId="77777777" w:rsidR="001F06F8" w:rsidRPr="004F0C2F" w:rsidRDefault="001F06F8" w:rsidP="001F06F8">
            <w:pPr>
              <w:widowControl/>
              <w:jc w:val="left"/>
              <w:rPr>
                <w:rFonts w:ascii="Times New Roman" w:eastAsia="游ゴシック" w:hAnsi="Times New Roman" w:cs="Times New Roman"/>
                <w:color w:val="000000"/>
                <w:kern w:val="0"/>
                <w:sz w:val="24"/>
                <w:szCs w:val="24"/>
              </w:rPr>
            </w:pPr>
          </w:p>
        </w:tc>
      </w:tr>
      <w:tr w:rsidR="007B7729" w:rsidRPr="004F0C2F" w14:paraId="62C40B3E" w14:textId="77777777" w:rsidTr="00AB6C01">
        <w:trPr>
          <w:gridAfter w:val="1"/>
          <w:wAfter w:w="80" w:type="dxa"/>
          <w:trHeight w:val="375"/>
        </w:trPr>
        <w:tc>
          <w:tcPr>
            <w:tcW w:w="8340" w:type="dxa"/>
            <w:gridSpan w:val="6"/>
            <w:vMerge w:val="restart"/>
            <w:tcBorders>
              <w:top w:val="nil"/>
              <w:left w:val="nil"/>
              <w:bottom w:val="single" w:sz="8" w:space="0" w:color="000000"/>
              <w:right w:val="nil"/>
            </w:tcBorders>
            <w:shd w:val="clear" w:color="auto" w:fill="auto"/>
            <w:vAlign w:val="center"/>
            <w:hideMark/>
          </w:tcPr>
          <w:p w14:paraId="3E47C7AD" w14:textId="6F3024D6" w:rsidR="007B7729" w:rsidRPr="004F0C2F" w:rsidRDefault="002E3A07" w:rsidP="007B7729">
            <w:pPr>
              <w:widowControl/>
              <w:jc w:val="left"/>
              <w:rPr>
                <w:rFonts w:ascii="Times New Roman" w:eastAsia="游ゴシック" w:hAnsi="Times New Roman" w:cs="Times New Roman"/>
                <w:b/>
                <w:bCs/>
                <w:color w:val="000000"/>
                <w:kern w:val="0"/>
                <w:sz w:val="24"/>
                <w:szCs w:val="24"/>
              </w:rPr>
            </w:pPr>
            <w:r w:rsidRPr="004F0C2F">
              <w:rPr>
                <w:rFonts w:ascii="Times New Roman" w:eastAsia="游ゴシック" w:hAnsi="Times New Roman" w:cs="Times New Roman"/>
                <w:b/>
                <w:bCs/>
                <w:color w:val="000000"/>
                <w:kern w:val="0"/>
                <w:sz w:val="24"/>
                <w:szCs w:val="24"/>
              </w:rPr>
              <w:lastRenderedPageBreak/>
              <w:t xml:space="preserve">Supplementary </w:t>
            </w:r>
            <w:r w:rsidR="007B7729" w:rsidRPr="004F0C2F">
              <w:rPr>
                <w:rFonts w:ascii="Times New Roman" w:eastAsia="游ゴシック" w:hAnsi="Times New Roman" w:cs="Times New Roman"/>
                <w:b/>
                <w:bCs/>
                <w:color w:val="000000"/>
                <w:kern w:val="0"/>
                <w:sz w:val="24"/>
                <w:szCs w:val="24"/>
              </w:rPr>
              <w:t xml:space="preserve">Table 2. </w:t>
            </w:r>
            <w:r w:rsidR="007B7729" w:rsidRPr="004F0C2F">
              <w:rPr>
                <w:rFonts w:ascii="Times New Roman" w:eastAsia="游ゴシック" w:hAnsi="Times New Roman" w:cs="Times New Roman"/>
                <w:color w:val="000000"/>
                <w:kern w:val="0"/>
                <w:sz w:val="24"/>
                <w:szCs w:val="24"/>
              </w:rPr>
              <w:t xml:space="preserve">Sensitivity analysis results using unweighted models that adjusted for the deciles of </w:t>
            </w:r>
            <w:proofErr w:type="spellStart"/>
            <w:r w:rsidR="007B7729" w:rsidRPr="004F0C2F">
              <w:rPr>
                <w:rFonts w:ascii="Times New Roman" w:eastAsia="游ゴシック" w:hAnsi="Times New Roman" w:cs="Times New Roman"/>
                <w:color w:val="000000"/>
                <w:kern w:val="0"/>
                <w:sz w:val="24"/>
                <w:szCs w:val="24"/>
              </w:rPr>
              <w:t>hdPS</w:t>
            </w:r>
            <w:proofErr w:type="spellEnd"/>
          </w:p>
        </w:tc>
      </w:tr>
      <w:tr w:rsidR="007B7729" w:rsidRPr="004F0C2F" w14:paraId="397DCD77" w14:textId="77777777" w:rsidTr="00AB6C01">
        <w:trPr>
          <w:gridAfter w:val="1"/>
          <w:wAfter w:w="80" w:type="dxa"/>
          <w:trHeight w:val="390"/>
        </w:trPr>
        <w:tc>
          <w:tcPr>
            <w:tcW w:w="8340" w:type="dxa"/>
            <w:gridSpan w:val="6"/>
            <w:vMerge/>
            <w:tcBorders>
              <w:top w:val="nil"/>
              <w:left w:val="nil"/>
              <w:bottom w:val="single" w:sz="8" w:space="0" w:color="000000"/>
              <w:right w:val="nil"/>
            </w:tcBorders>
            <w:vAlign w:val="center"/>
            <w:hideMark/>
          </w:tcPr>
          <w:p w14:paraId="15F029BC" w14:textId="77777777" w:rsidR="007B7729" w:rsidRPr="004F0C2F" w:rsidRDefault="007B7729" w:rsidP="007B7729">
            <w:pPr>
              <w:widowControl/>
              <w:jc w:val="left"/>
              <w:rPr>
                <w:rFonts w:ascii="Times New Roman" w:eastAsia="游ゴシック" w:hAnsi="Times New Roman" w:cs="Times New Roman"/>
                <w:b/>
                <w:bCs/>
                <w:color w:val="000000"/>
                <w:kern w:val="0"/>
                <w:sz w:val="24"/>
                <w:szCs w:val="24"/>
              </w:rPr>
            </w:pPr>
          </w:p>
        </w:tc>
      </w:tr>
      <w:tr w:rsidR="007B7729" w:rsidRPr="004F0C2F" w14:paraId="4636D975" w14:textId="77777777" w:rsidTr="00AB6C01">
        <w:trPr>
          <w:gridAfter w:val="1"/>
          <w:wAfter w:w="80" w:type="dxa"/>
          <w:trHeight w:val="375"/>
        </w:trPr>
        <w:tc>
          <w:tcPr>
            <w:tcW w:w="3225" w:type="dxa"/>
            <w:gridSpan w:val="2"/>
            <w:tcBorders>
              <w:top w:val="nil"/>
              <w:left w:val="nil"/>
              <w:bottom w:val="single" w:sz="4" w:space="0" w:color="auto"/>
              <w:right w:val="nil"/>
            </w:tcBorders>
            <w:shd w:val="clear" w:color="auto" w:fill="auto"/>
            <w:noWrap/>
            <w:vAlign w:val="center"/>
            <w:hideMark/>
          </w:tcPr>
          <w:p w14:paraId="2A40229A"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Antibiotic Class</w:t>
            </w:r>
          </w:p>
        </w:tc>
        <w:tc>
          <w:tcPr>
            <w:tcW w:w="2148" w:type="dxa"/>
            <w:tcBorders>
              <w:top w:val="nil"/>
              <w:left w:val="nil"/>
              <w:bottom w:val="single" w:sz="4" w:space="0" w:color="auto"/>
              <w:right w:val="nil"/>
            </w:tcBorders>
            <w:shd w:val="clear" w:color="auto" w:fill="auto"/>
            <w:noWrap/>
            <w:vAlign w:val="center"/>
            <w:hideMark/>
          </w:tcPr>
          <w:p w14:paraId="797C35A6"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Estimator</w:t>
            </w:r>
          </w:p>
        </w:tc>
        <w:tc>
          <w:tcPr>
            <w:tcW w:w="1757" w:type="dxa"/>
            <w:gridSpan w:val="2"/>
            <w:tcBorders>
              <w:top w:val="nil"/>
              <w:left w:val="nil"/>
              <w:bottom w:val="single" w:sz="4" w:space="0" w:color="auto"/>
              <w:right w:val="nil"/>
            </w:tcBorders>
            <w:shd w:val="clear" w:color="auto" w:fill="auto"/>
            <w:noWrap/>
            <w:vAlign w:val="center"/>
            <w:hideMark/>
          </w:tcPr>
          <w:p w14:paraId="2D231AFD" w14:textId="77777777" w:rsidR="007B7729" w:rsidRPr="004F0C2F" w:rsidRDefault="007B7729" w:rsidP="007B7729">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Point Estimate</w:t>
            </w:r>
          </w:p>
        </w:tc>
        <w:tc>
          <w:tcPr>
            <w:tcW w:w="1210" w:type="dxa"/>
            <w:tcBorders>
              <w:top w:val="nil"/>
              <w:left w:val="nil"/>
              <w:bottom w:val="single" w:sz="4" w:space="0" w:color="auto"/>
              <w:right w:val="nil"/>
            </w:tcBorders>
            <w:shd w:val="clear" w:color="auto" w:fill="auto"/>
            <w:noWrap/>
            <w:vAlign w:val="center"/>
            <w:hideMark/>
          </w:tcPr>
          <w:p w14:paraId="36CF3527" w14:textId="77777777" w:rsidR="007B7729" w:rsidRPr="004F0C2F" w:rsidRDefault="007B7729" w:rsidP="007B7729">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95% CI</w:t>
            </w:r>
          </w:p>
        </w:tc>
      </w:tr>
      <w:tr w:rsidR="007B7729" w:rsidRPr="004F0C2F" w14:paraId="75D826A1"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41413180"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Macrolides</w:t>
            </w:r>
          </w:p>
        </w:tc>
        <w:tc>
          <w:tcPr>
            <w:tcW w:w="2148" w:type="dxa"/>
            <w:tcBorders>
              <w:top w:val="nil"/>
              <w:left w:val="nil"/>
              <w:bottom w:val="nil"/>
              <w:right w:val="nil"/>
            </w:tcBorders>
            <w:shd w:val="clear" w:color="auto" w:fill="auto"/>
            <w:noWrap/>
            <w:vAlign w:val="center"/>
            <w:hideMark/>
          </w:tcPr>
          <w:p w14:paraId="7D14C6B9"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757" w:type="dxa"/>
            <w:gridSpan w:val="2"/>
            <w:tcBorders>
              <w:top w:val="nil"/>
              <w:left w:val="nil"/>
              <w:bottom w:val="nil"/>
              <w:right w:val="nil"/>
            </w:tcBorders>
            <w:shd w:val="clear" w:color="auto" w:fill="auto"/>
            <w:noWrap/>
            <w:vAlign w:val="center"/>
            <w:hideMark/>
          </w:tcPr>
          <w:p w14:paraId="2118B580"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1.11 </w:t>
            </w:r>
          </w:p>
        </w:tc>
        <w:tc>
          <w:tcPr>
            <w:tcW w:w="1210" w:type="dxa"/>
            <w:tcBorders>
              <w:top w:val="nil"/>
              <w:left w:val="nil"/>
              <w:bottom w:val="nil"/>
              <w:right w:val="nil"/>
            </w:tcBorders>
            <w:shd w:val="clear" w:color="auto" w:fill="auto"/>
            <w:noWrap/>
            <w:vAlign w:val="center"/>
            <w:hideMark/>
          </w:tcPr>
          <w:p w14:paraId="4BF7A094"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0.82–1.52</w:t>
            </w:r>
          </w:p>
        </w:tc>
      </w:tr>
      <w:tr w:rsidR="007B7729" w:rsidRPr="004F0C2F" w14:paraId="522B4517"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004ED8AA" w14:textId="77777777" w:rsidR="007B7729" w:rsidRPr="004F0C2F" w:rsidRDefault="007B7729" w:rsidP="007B7729">
            <w:pPr>
              <w:widowControl/>
              <w:jc w:val="center"/>
              <w:rPr>
                <w:rFonts w:ascii="Times New Roman" w:eastAsia="游ゴシック" w:hAnsi="Times New Roman" w:cs="Times New Roman"/>
                <w:kern w:val="0"/>
                <w:sz w:val="24"/>
                <w:szCs w:val="24"/>
              </w:rPr>
            </w:pPr>
          </w:p>
        </w:tc>
        <w:tc>
          <w:tcPr>
            <w:tcW w:w="2148" w:type="dxa"/>
            <w:tcBorders>
              <w:top w:val="nil"/>
              <w:left w:val="nil"/>
              <w:bottom w:val="nil"/>
              <w:right w:val="nil"/>
            </w:tcBorders>
            <w:shd w:val="clear" w:color="auto" w:fill="auto"/>
            <w:noWrap/>
            <w:vAlign w:val="center"/>
            <w:hideMark/>
          </w:tcPr>
          <w:p w14:paraId="6BDAB411"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757" w:type="dxa"/>
            <w:gridSpan w:val="2"/>
            <w:tcBorders>
              <w:top w:val="nil"/>
              <w:left w:val="nil"/>
              <w:bottom w:val="nil"/>
              <w:right w:val="nil"/>
            </w:tcBorders>
            <w:shd w:val="clear" w:color="auto" w:fill="auto"/>
            <w:noWrap/>
            <w:vAlign w:val="center"/>
            <w:hideMark/>
          </w:tcPr>
          <w:p w14:paraId="403AE6DD"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210" w:type="dxa"/>
            <w:tcBorders>
              <w:top w:val="nil"/>
              <w:left w:val="nil"/>
              <w:bottom w:val="nil"/>
              <w:right w:val="nil"/>
            </w:tcBorders>
            <w:shd w:val="clear" w:color="auto" w:fill="auto"/>
            <w:noWrap/>
            <w:vAlign w:val="center"/>
            <w:hideMark/>
          </w:tcPr>
          <w:p w14:paraId="2EB789B9" w14:textId="77777777" w:rsidR="007B7729" w:rsidRPr="004F0C2F" w:rsidRDefault="007B7729" w:rsidP="007B7729">
            <w:pPr>
              <w:widowControl/>
              <w:jc w:val="center"/>
              <w:rPr>
                <w:rFonts w:ascii="Times New Roman" w:eastAsia="Times New Roman" w:hAnsi="Times New Roman" w:cs="Times New Roman"/>
                <w:kern w:val="0"/>
                <w:sz w:val="20"/>
                <w:szCs w:val="20"/>
              </w:rPr>
            </w:pPr>
          </w:p>
        </w:tc>
      </w:tr>
      <w:tr w:rsidR="007B7729" w:rsidRPr="004F0C2F" w14:paraId="1B3D28C9"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610656C0" w14:textId="77777777" w:rsidR="007B7729" w:rsidRPr="004F0C2F" w:rsidRDefault="007B7729" w:rsidP="007B7729">
            <w:pPr>
              <w:widowControl/>
              <w:jc w:val="center"/>
              <w:rPr>
                <w:rFonts w:ascii="Times New Roman" w:eastAsia="Times New Roman" w:hAnsi="Times New Roman" w:cs="Times New Roman"/>
                <w:kern w:val="0"/>
                <w:sz w:val="20"/>
                <w:szCs w:val="20"/>
              </w:rPr>
            </w:pPr>
          </w:p>
        </w:tc>
        <w:tc>
          <w:tcPr>
            <w:tcW w:w="2148" w:type="dxa"/>
            <w:tcBorders>
              <w:top w:val="nil"/>
              <w:left w:val="nil"/>
              <w:bottom w:val="nil"/>
              <w:right w:val="nil"/>
            </w:tcBorders>
            <w:shd w:val="clear" w:color="auto" w:fill="auto"/>
            <w:noWrap/>
            <w:vAlign w:val="center"/>
            <w:hideMark/>
          </w:tcPr>
          <w:p w14:paraId="4B3AE3F5"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757" w:type="dxa"/>
            <w:gridSpan w:val="2"/>
            <w:tcBorders>
              <w:top w:val="nil"/>
              <w:left w:val="nil"/>
              <w:bottom w:val="nil"/>
              <w:right w:val="nil"/>
            </w:tcBorders>
            <w:shd w:val="clear" w:color="auto" w:fill="auto"/>
            <w:noWrap/>
            <w:vAlign w:val="center"/>
            <w:hideMark/>
          </w:tcPr>
          <w:p w14:paraId="2D481089"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1.34 </w:t>
            </w:r>
          </w:p>
        </w:tc>
        <w:tc>
          <w:tcPr>
            <w:tcW w:w="1210" w:type="dxa"/>
            <w:tcBorders>
              <w:top w:val="nil"/>
              <w:left w:val="nil"/>
              <w:bottom w:val="nil"/>
              <w:right w:val="nil"/>
            </w:tcBorders>
            <w:shd w:val="clear" w:color="auto" w:fill="auto"/>
            <w:noWrap/>
            <w:vAlign w:val="center"/>
            <w:hideMark/>
          </w:tcPr>
          <w:p w14:paraId="40AF2C24"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0.94–1.90</w:t>
            </w:r>
          </w:p>
        </w:tc>
      </w:tr>
      <w:tr w:rsidR="007B7729" w:rsidRPr="004F0C2F" w14:paraId="525ED534"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14527A58" w14:textId="77777777" w:rsidR="007B7729" w:rsidRPr="004F0C2F" w:rsidRDefault="007B7729" w:rsidP="007B7729">
            <w:pPr>
              <w:widowControl/>
              <w:jc w:val="center"/>
              <w:rPr>
                <w:rFonts w:ascii="Times New Roman" w:eastAsia="游ゴシック" w:hAnsi="Times New Roman" w:cs="Times New Roman"/>
                <w:kern w:val="0"/>
                <w:sz w:val="24"/>
                <w:szCs w:val="24"/>
              </w:rPr>
            </w:pPr>
          </w:p>
        </w:tc>
        <w:tc>
          <w:tcPr>
            <w:tcW w:w="2148" w:type="dxa"/>
            <w:tcBorders>
              <w:top w:val="nil"/>
              <w:left w:val="nil"/>
              <w:bottom w:val="nil"/>
              <w:right w:val="nil"/>
            </w:tcBorders>
            <w:shd w:val="clear" w:color="auto" w:fill="auto"/>
            <w:noWrap/>
            <w:vAlign w:val="center"/>
            <w:hideMark/>
          </w:tcPr>
          <w:p w14:paraId="3B2C34D8"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757" w:type="dxa"/>
            <w:gridSpan w:val="2"/>
            <w:tcBorders>
              <w:top w:val="nil"/>
              <w:left w:val="nil"/>
              <w:bottom w:val="nil"/>
              <w:right w:val="nil"/>
            </w:tcBorders>
            <w:shd w:val="clear" w:color="auto" w:fill="auto"/>
            <w:noWrap/>
            <w:vAlign w:val="center"/>
            <w:hideMark/>
          </w:tcPr>
          <w:p w14:paraId="29F4291F"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210" w:type="dxa"/>
            <w:tcBorders>
              <w:top w:val="nil"/>
              <w:left w:val="nil"/>
              <w:bottom w:val="nil"/>
              <w:right w:val="nil"/>
            </w:tcBorders>
            <w:shd w:val="clear" w:color="auto" w:fill="auto"/>
            <w:noWrap/>
            <w:vAlign w:val="center"/>
            <w:hideMark/>
          </w:tcPr>
          <w:p w14:paraId="16DA5E42" w14:textId="77777777" w:rsidR="007B7729" w:rsidRPr="004F0C2F" w:rsidRDefault="007B7729" w:rsidP="007B7729">
            <w:pPr>
              <w:widowControl/>
              <w:jc w:val="center"/>
              <w:rPr>
                <w:rFonts w:ascii="Times New Roman" w:eastAsia="Times New Roman" w:hAnsi="Times New Roman" w:cs="Times New Roman"/>
                <w:kern w:val="0"/>
                <w:sz w:val="20"/>
                <w:szCs w:val="20"/>
              </w:rPr>
            </w:pPr>
          </w:p>
        </w:tc>
      </w:tr>
      <w:tr w:rsidR="007B7729" w:rsidRPr="004F0C2F" w14:paraId="11AB62BD"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1B2613D2"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Penicillin-based antibiotics</w:t>
            </w:r>
          </w:p>
        </w:tc>
        <w:tc>
          <w:tcPr>
            <w:tcW w:w="2148" w:type="dxa"/>
            <w:tcBorders>
              <w:top w:val="nil"/>
              <w:left w:val="nil"/>
              <w:bottom w:val="nil"/>
              <w:right w:val="nil"/>
            </w:tcBorders>
            <w:shd w:val="clear" w:color="auto" w:fill="auto"/>
            <w:noWrap/>
            <w:vAlign w:val="center"/>
            <w:hideMark/>
          </w:tcPr>
          <w:p w14:paraId="1ED3104B"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757" w:type="dxa"/>
            <w:gridSpan w:val="2"/>
            <w:tcBorders>
              <w:top w:val="nil"/>
              <w:left w:val="nil"/>
              <w:bottom w:val="nil"/>
              <w:right w:val="nil"/>
            </w:tcBorders>
            <w:shd w:val="clear" w:color="auto" w:fill="auto"/>
            <w:noWrap/>
            <w:vAlign w:val="center"/>
            <w:hideMark/>
          </w:tcPr>
          <w:p w14:paraId="2224DF25"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3.89 </w:t>
            </w:r>
          </w:p>
        </w:tc>
        <w:tc>
          <w:tcPr>
            <w:tcW w:w="1210" w:type="dxa"/>
            <w:tcBorders>
              <w:top w:val="nil"/>
              <w:left w:val="nil"/>
              <w:bottom w:val="nil"/>
              <w:right w:val="nil"/>
            </w:tcBorders>
            <w:shd w:val="clear" w:color="auto" w:fill="auto"/>
            <w:noWrap/>
            <w:vAlign w:val="center"/>
            <w:hideMark/>
          </w:tcPr>
          <w:p w14:paraId="7B91565F"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3.26–4.65</w:t>
            </w:r>
          </w:p>
        </w:tc>
      </w:tr>
      <w:tr w:rsidR="007B7729" w:rsidRPr="004F0C2F" w14:paraId="69F6FD82"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76F7B99C" w14:textId="77777777" w:rsidR="007B7729" w:rsidRPr="004F0C2F" w:rsidRDefault="007B7729" w:rsidP="007B7729">
            <w:pPr>
              <w:widowControl/>
              <w:jc w:val="center"/>
              <w:rPr>
                <w:rFonts w:ascii="Times New Roman" w:eastAsia="游ゴシック" w:hAnsi="Times New Roman" w:cs="Times New Roman"/>
                <w:kern w:val="0"/>
                <w:sz w:val="24"/>
                <w:szCs w:val="24"/>
              </w:rPr>
            </w:pPr>
          </w:p>
        </w:tc>
        <w:tc>
          <w:tcPr>
            <w:tcW w:w="2148" w:type="dxa"/>
            <w:tcBorders>
              <w:top w:val="nil"/>
              <w:left w:val="nil"/>
              <w:bottom w:val="nil"/>
              <w:right w:val="nil"/>
            </w:tcBorders>
            <w:shd w:val="clear" w:color="auto" w:fill="auto"/>
            <w:noWrap/>
            <w:vAlign w:val="center"/>
            <w:hideMark/>
          </w:tcPr>
          <w:p w14:paraId="1898846B"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757" w:type="dxa"/>
            <w:gridSpan w:val="2"/>
            <w:tcBorders>
              <w:top w:val="nil"/>
              <w:left w:val="nil"/>
              <w:bottom w:val="nil"/>
              <w:right w:val="nil"/>
            </w:tcBorders>
            <w:shd w:val="clear" w:color="auto" w:fill="auto"/>
            <w:noWrap/>
            <w:vAlign w:val="center"/>
            <w:hideMark/>
          </w:tcPr>
          <w:p w14:paraId="2E1CC255"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210" w:type="dxa"/>
            <w:tcBorders>
              <w:top w:val="nil"/>
              <w:left w:val="nil"/>
              <w:bottom w:val="nil"/>
              <w:right w:val="nil"/>
            </w:tcBorders>
            <w:shd w:val="clear" w:color="auto" w:fill="auto"/>
            <w:noWrap/>
            <w:vAlign w:val="center"/>
            <w:hideMark/>
          </w:tcPr>
          <w:p w14:paraId="2057F8F8" w14:textId="77777777" w:rsidR="007B7729" w:rsidRPr="004F0C2F" w:rsidRDefault="007B7729" w:rsidP="007B7729">
            <w:pPr>
              <w:widowControl/>
              <w:jc w:val="center"/>
              <w:rPr>
                <w:rFonts w:ascii="Times New Roman" w:eastAsia="Times New Roman" w:hAnsi="Times New Roman" w:cs="Times New Roman"/>
                <w:kern w:val="0"/>
                <w:sz w:val="20"/>
                <w:szCs w:val="20"/>
              </w:rPr>
            </w:pPr>
          </w:p>
        </w:tc>
      </w:tr>
      <w:tr w:rsidR="007B7729" w:rsidRPr="004F0C2F" w14:paraId="48E83953"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43686601" w14:textId="77777777" w:rsidR="007B7729" w:rsidRPr="004F0C2F" w:rsidRDefault="007B7729" w:rsidP="007B7729">
            <w:pPr>
              <w:widowControl/>
              <w:jc w:val="center"/>
              <w:rPr>
                <w:rFonts w:ascii="Times New Roman" w:eastAsia="Times New Roman" w:hAnsi="Times New Roman" w:cs="Times New Roman"/>
                <w:kern w:val="0"/>
                <w:sz w:val="20"/>
                <w:szCs w:val="20"/>
              </w:rPr>
            </w:pPr>
          </w:p>
        </w:tc>
        <w:tc>
          <w:tcPr>
            <w:tcW w:w="2148" w:type="dxa"/>
            <w:tcBorders>
              <w:top w:val="nil"/>
              <w:left w:val="nil"/>
              <w:bottom w:val="nil"/>
              <w:right w:val="nil"/>
            </w:tcBorders>
            <w:shd w:val="clear" w:color="auto" w:fill="auto"/>
            <w:noWrap/>
            <w:vAlign w:val="center"/>
            <w:hideMark/>
          </w:tcPr>
          <w:p w14:paraId="171DFEEB"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757" w:type="dxa"/>
            <w:gridSpan w:val="2"/>
            <w:tcBorders>
              <w:top w:val="nil"/>
              <w:left w:val="nil"/>
              <w:bottom w:val="nil"/>
              <w:right w:val="nil"/>
            </w:tcBorders>
            <w:shd w:val="clear" w:color="auto" w:fill="auto"/>
            <w:noWrap/>
            <w:vAlign w:val="center"/>
            <w:hideMark/>
          </w:tcPr>
          <w:p w14:paraId="74C94CF1"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6.35 </w:t>
            </w:r>
          </w:p>
        </w:tc>
        <w:tc>
          <w:tcPr>
            <w:tcW w:w="1210" w:type="dxa"/>
            <w:tcBorders>
              <w:top w:val="nil"/>
              <w:left w:val="nil"/>
              <w:bottom w:val="nil"/>
              <w:right w:val="nil"/>
            </w:tcBorders>
            <w:shd w:val="clear" w:color="auto" w:fill="auto"/>
            <w:noWrap/>
            <w:vAlign w:val="center"/>
            <w:hideMark/>
          </w:tcPr>
          <w:p w14:paraId="6999B601"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4.72–8.56</w:t>
            </w:r>
          </w:p>
        </w:tc>
      </w:tr>
      <w:tr w:rsidR="007B7729" w:rsidRPr="004F0C2F" w14:paraId="6E667704"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0FEC13C0" w14:textId="77777777" w:rsidR="007B7729" w:rsidRPr="004F0C2F" w:rsidRDefault="007B7729" w:rsidP="007B7729">
            <w:pPr>
              <w:widowControl/>
              <w:jc w:val="center"/>
              <w:rPr>
                <w:rFonts w:ascii="Times New Roman" w:eastAsia="游ゴシック" w:hAnsi="Times New Roman" w:cs="Times New Roman"/>
                <w:kern w:val="0"/>
                <w:sz w:val="24"/>
                <w:szCs w:val="24"/>
              </w:rPr>
            </w:pPr>
          </w:p>
        </w:tc>
        <w:tc>
          <w:tcPr>
            <w:tcW w:w="2148" w:type="dxa"/>
            <w:tcBorders>
              <w:top w:val="nil"/>
              <w:left w:val="nil"/>
              <w:bottom w:val="nil"/>
              <w:right w:val="nil"/>
            </w:tcBorders>
            <w:shd w:val="clear" w:color="auto" w:fill="auto"/>
            <w:noWrap/>
            <w:vAlign w:val="center"/>
            <w:hideMark/>
          </w:tcPr>
          <w:p w14:paraId="6EBE641F"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757" w:type="dxa"/>
            <w:gridSpan w:val="2"/>
            <w:tcBorders>
              <w:top w:val="nil"/>
              <w:left w:val="nil"/>
              <w:bottom w:val="nil"/>
              <w:right w:val="nil"/>
            </w:tcBorders>
            <w:shd w:val="clear" w:color="auto" w:fill="auto"/>
            <w:noWrap/>
            <w:vAlign w:val="center"/>
            <w:hideMark/>
          </w:tcPr>
          <w:p w14:paraId="1913DC05"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210" w:type="dxa"/>
            <w:tcBorders>
              <w:top w:val="nil"/>
              <w:left w:val="nil"/>
              <w:bottom w:val="nil"/>
              <w:right w:val="nil"/>
            </w:tcBorders>
            <w:shd w:val="clear" w:color="auto" w:fill="auto"/>
            <w:noWrap/>
            <w:vAlign w:val="center"/>
            <w:hideMark/>
          </w:tcPr>
          <w:p w14:paraId="29EC6EE1" w14:textId="77777777" w:rsidR="007B7729" w:rsidRPr="004F0C2F" w:rsidRDefault="007B7729" w:rsidP="007B7729">
            <w:pPr>
              <w:widowControl/>
              <w:jc w:val="center"/>
              <w:rPr>
                <w:rFonts w:ascii="Times New Roman" w:eastAsia="Times New Roman" w:hAnsi="Times New Roman" w:cs="Times New Roman"/>
                <w:kern w:val="0"/>
                <w:sz w:val="20"/>
                <w:szCs w:val="20"/>
              </w:rPr>
            </w:pPr>
          </w:p>
        </w:tc>
      </w:tr>
      <w:tr w:rsidR="007B7729" w:rsidRPr="004F0C2F" w14:paraId="09BB20CB"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6BF0C704"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Fluoroquinolones</w:t>
            </w:r>
          </w:p>
        </w:tc>
        <w:tc>
          <w:tcPr>
            <w:tcW w:w="2148" w:type="dxa"/>
            <w:tcBorders>
              <w:top w:val="nil"/>
              <w:left w:val="nil"/>
              <w:bottom w:val="nil"/>
              <w:right w:val="nil"/>
            </w:tcBorders>
            <w:shd w:val="clear" w:color="auto" w:fill="auto"/>
            <w:noWrap/>
            <w:vAlign w:val="center"/>
            <w:hideMark/>
          </w:tcPr>
          <w:p w14:paraId="0F0FDA52"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757" w:type="dxa"/>
            <w:gridSpan w:val="2"/>
            <w:tcBorders>
              <w:top w:val="nil"/>
              <w:left w:val="nil"/>
              <w:bottom w:val="nil"/>
              <w:right w:val="nil"/>
            </w:tcBorders>
            <w:shd w:val="clear" w:color="auto" w:fill="auto"/>
            <w:noWrap/>
            <w:vAlign w:val="center"/>
            <w:hideMark/>
          </w:tcPr>
          <w:p w14:paraId="6E37249F"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1.67 </w:t>
            </w:r>
          </w:p>
        </w:tc>
        <w:tc>
          <w:tcPr>
            <w:tcW w:w="1210" w:type="dxa"/>
            <w:tcBorders>
              <w:top w:val="nil"/>
              <w:left w:val="nil"/>
              <w:bottom w:val="nil"/>
              <w:right w:val="nil"/>
            </w:tcBorders>
            <w:shd w:val="clear" w:color="auto" w:fill="auto"/>
            <w:noWrap/>
            <w:vAlign w:val="center"/>
            <w:hideMark/>
          </w:tcPr>
          <w:p w14:paraId="5484E7BD"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1.41–1.98</w:t>
            </w:r>
          </w:p>
        </w:tc>
      </w:tr>
      <w:tr w:rsidR="007B7729" w:rsidRPr="004F0C2F" w14:paraId="3DA188CB" w14:textId="77777777" w:rsidTr="00AB6C01">
        <w:trPr>
          <w:gridAfter w:val="1"/>
          <w:wAfter w:w="80" w:type="dxa"/>
          <w:trHeight w:val="375"/>
        </w:trPr>
        <w:tc>
          <w:tcPr>
            <w:tcW w:w="3225" w:type="dxa"/>
            <w:gridSpan w:val="2"/>
            <w:tcBorders>
              <w:top w:val="nil"/>
              <w:left w:val="nil"/>
              <w:bottom w:val="nil"/>
              <w:right w:val="nil"/>
            </w:tcBorders>
            <w:shd w:val="clear" w:color="auto" w:fill="auto"/>
            <w:noWrap/>
            <w:vAlign w:val="center"/>
            <w:hideMark/>
          </w:tcPr>
          <w:p w14:paraId="6AE5CB22" w14:textId="77777777" w:rsidR="007B7729" w:rsidRPr="004F0C2F" w:rsidRDefault="007B7729" w:rsidP="007B7729">
            <w:pPr>
              <w:widowControl/>
              <w:jc w:val="center"/>
              <w:rPr>
                <w:rFonts w:ascii="Times New Roman" w:eastAsia="游ゴシック" w:hAnsi="Times New Roman" w:cs="Times New Roman"/>
                <w:kern w:val="0"/>
                <w:sz w:val="24"/>
                <w:szCs w:val="24"/>
              </w:rPr>
            </w:pPr>
          </w:p>
        </w:tc>
        <w:tc>
          <w:tcPr>
            <w:tcW w:w="2148" w:type="dxa"/>
            <w:tcBorders>
              <w:top w:val="nil"/>
              <w:left w:val="nil"/>
              <w:bottom w:val="nil"/>
              <w:right w:val="nil"/>
            </w:tcBorders>
            <w:shd w:val="clear" w:color="auto" w:fill="auto"/>
            <w:noWrap/>
            <w:vAlign w:val="center"/>
            <w:hideMark/>
          </w:tcPr>
          <w:p w14:paraId="0CAECAD2"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757" w:type="dxa"/>
            <w:gridSpan w:val="2"/>
            <w:tcBorders>
              <w:top w:val="nil"/>
              <w:left w:val="nil"/>
              <w:bottom w:val="nil"/>
              <w:right w:val="nil"/>
            </w:tcBorders>
            <w:shd w:val="clear" w:color="auto" w:fill="auto"/>
            <w:noWrap/>
            <w:vAlign w:val="center"/>
            <w:hideMark/>
          </w:tcPr>
          <w:p w14:paraId="28A78A52" w14:textId="77777777" w:rsidR="007B7729" w:rsidRPr="004F0C2F" w:rsidRDefault="007B7729" w:rsidP="007B7729">
            <w:pPr>
              <w:widowControl/>
              <w:jc w:val="left"/>
              <w:rPr>
                <w:rFonts w:ascii="Times New Roman" w:eastAsia="Times New Roman" w:hAnsi="Times New Roman" w:cs="Times New Roman"/>
                <w:kern w:val="0"/>
                <w:sz w:val="20"/>
                <w:szCs w:val="20"/>
              </w:rPr>
            </w:pPr>
          </w:p>
        </w:tc>
        <w:tc>
          <w:tcPr>
            <w:tcW w:w="1210" w:type="dxa"/>
            <w:tcBorders>
              <w:top w:val="nil"/>
              <w:left w:val="nil"/>
              <w:bottom w:val="nil"/>
              <w:right w:val="nil"/>
            </w:tcBorders>
            <w:shd w:val="clear" w:color="auto" w:fill="auto"/>
            <w:noWrap/>
            <w:vAlign w:val="center"/>
            <w:hideMark/>
          </w:tcPr>
          <w:p w14:paraId="3E722FD3" w14:textId="77777777" w:rsidR="007B7729" w:rsidRPr="004F0C2F" w:rsidRDefault="007B7729" w:rsidP="007B7729">
            <w:pPr>
              <w:widowControl/>
              <w:jc w:val="center"/>
              <w:rPr>
                <w:rFonts w:ascii="Times New Roman" w:eastAsia="Times New Roman" w:hAnsi="Times New Roman" w:cs="Times New Roman"/>
                <w:kern w:val="0"/>
                <w:sz w:val="20"/>
                <w:szCs w:val="20"/>
              </w:rPr>
            </w:pPr>
          </w:p>
        </w:tc>
      </w:tr>
      <w:tr w:rsidR="007B7729" w:rsidRPr="004F0C2F" w14:paraId="1BE3A1EA" w14:textId="77777777" w:rsidTr="00AB6C01">
        <w:trPr>
          <w:gridAfter w:val="1"/>
          <w:wAfter w:w="80" w:type="dxa"/>
          <w:trHeight w:val="390"/>
        </w:trPr>
        <w:tc>
          <w:tcPr>
            <w:tcW w:w="3225" w:type="dxa"/>
            <w:gridSpan w:val="2"/>
            <w:tcBorders>
              <w:top w:val="nil"/>
              <w:left w:val="nil"/>
              <w:bottom w:val="single" w:sz="8" w:space="0" w:color="auto"/>
              <w:right w:val="nil"/>
            </w:tcBorders>
            <w:shd w:val="clear" w:color="auto" w:fill="auto"/>
            <w:noWrap/>
            <w:vAlign w:val="center"/>
            <w:hideMark/>
          </w:tcPr>
          <w:p w14:paraId="7909B719" w14:textId="17384638" w:rsidR="007B7729" w:rsidRPr="004F0C2F" w:rsidRDefault="007B7729" w:rsidP="007B7729">
            <w:pPr>
              <w:widowControl/>
              <w:jc w:val="left"/>
              <w:rPr>
                <w:rFonts w:ascii="Times New Roman" w:eastAsia="游ゴシック" w:hAnsi="Times New Roman" w:cs="Times New Roman"/>
                <w:color w:val="000000"/>
                <w:kern w:val="0"/>
                <w:sz w:val="24"/>
                <w:szCs w:val="24"/>
              </w:rPr>
            </w:pPr>
          </w:p>
        </w:tc>
        <w:tc>
          <w:tcPr>
            <w:tcW w:w="2148" w:type="dxa"/>
            <w:tcBorders>
              <w:top w:val="nil"/>
              <w:left w:val="nil"/>
              <w:bottom w:val="single" w:sz="8" w:space="0" w:color="auto"/>
              <w:right w:val="nil"/>
            </w:tcBorders>
            <w:shd w:val="clear" w:color="auto" w:fill="auto"/>
            <w:noWrap/>
            <w:vAlign w:val="center"/>
            <w:hideMark/>
          </w:tcPr>
          <w:p w14:paraId="04C234BE"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757" w:type="dxa"/>
            <w:gridSpan w:val="2"/>
            <w:tcBorders>
              <w:top w:val="nil"/>
              <w:left w:val="nil"/>
              <w:bottom w:val="single" w:sz="8" w:space="0" w:color="auto"/>
              <w:right w:val="nil"/>
            </w:tcBorders>
            <w:shd w:val="clear" w:color="auto" w:fill="auto"/>
            <w:noWrap/>
            <w:vAlign w:val="center"/>
            <w:hideMark/>
          </w:tcPr>
          <w:p w14:paraId="296E1DD7"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2.11 </w:t>
            </w:r>
          </w:p>
        </w:tc>
        <w:tc>
          <w:tcPr>
            <w:tcW w:w="1210" w:type="dxa"/>
            <w:tcBorders>
              <w:top w:val="nil"/>
              <w:left w:val="nil"/>
              <w:bottom w:val="single" w:sz="8" w:space="0" w:color="auto"/>
              <w:right w:val="nil"/>
            </w:tcBorders>
            <w:shd w:val="clear" w:color="auto" w:fill="auto"/>
            <w:noWrap/>
            <w:vAlign w:val="center"/>
            <w:hideMark/>
          </w:tcPr>
          <w:p w14:paraId="007B7928" w14:textId="77777777" w:rsidR="007B7729" w:rsidRPr="004F0C2F" w:rsidRDefault="007B7729" w:rsidP="007B7729">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1.73–2.58</w:t>
            </w:r>
          </w:p>
        </w:tc>
      </w:tr>
      <w:tr w:rsidR="007B7729" w:rsidRPr="004F0C2F" w14:paraId="27A91262" w14:textId="77777777" w:rsidTr="00AB6C01">
        <w:trPr>
          <w:gridAfter w:val="1"/>
          <w:wAfter w:w="80" w:type="dxa"/>
          <w:trHeight w:val="375"/>
        </w:trPr>
        <w:tc>
          <w:tcPr>
            <w:tcW w:w="8340" w:type="dxa"/>
            <w:gridSpan w:val="6"/>
            <w:vMerge w:val="restart"/>
            <w:tcBorders>
              <w:top w:val="single" w:sz="8" w:space="0" w:color="auto"/>
              <w:left w:val="nil"/>
              <w:bottom w:val="nil"/>
              <w:right w:val="nil"/>
            </w:tcBorders>
            <w:shd w:val="clear" w:color="auto" w:fill="auto"/>
            <w:vAlign w:val="center"/>
            <w:hideMark/>
          </w:tcPr>
          <w:p w14:paraId="06C75233"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Abbreviations: CI, confidence interval; </w:t>
            </w:r>
            <w:proofErr w:type="spellStart"/>
            <w:r w:rsidRPr="004F0C2F">
              <w:rPr>
                <w:rFonts w:ascii="Times New Roman" w:eastAsia="游ゴシック" w:hAnsi="Times New Roman" w:cs="Times New Roman"/>
                <w:color w:val="000000"/>
                <w:kern w:val="0"/>
                <w:sz w:val="24"/>
                <w:szCs w:val="24"/>
              </w:rPr>
              <w:t>hdPS</w:t>
            </w:r>
            <w:proofErr w:type="spellEnd"/>
            <w:r w:rsidRPr="004F0C2F">
              <w:rPr>
                <w:rFonts w:ascii="Times New Roman" w:eastAsia="游ゴシック" w:hAnsi="Times New Roman" w:cs="Times New Roman"/>
                <w:color w:val="000000"/>
                <w:kern w:val="0"/>
                <w:sz w:val="24"/>
                <w:szCs w:val="24"/>
              </w:rPr>
              <w:t>, high-dimensional propensity score; HR, hazard ratio.</w:t>
            </w:r>
          </w:p>
        </w:tc>
      </w:tr>
      <w:tr w:rsidR="007B7729" w:rsidRPr="004F0C2F" w14:paraId="6B20BE74" w14:textId="77777777" w:rsidTr="00AB6C01">
        <w:trPr>
          <w:gridAfter w:val="1"/>
          <w:wAfter w:w="80" w:type="dxa"/>
          <w:trHeight w:val="375"/>
        </w:trPr>
        <w:tc>
          <w:tcPr>
            <w:tcW w:w="8340" w:type="dxa"/>
            <w:gridSpan w:val="6"/>
            <w:vMerge/>
            <w:tcBorders>
              <w:top w:val="single" w:sz="8" w:space="0" w:color="auto"/>
              <w:left w:val="nil"/>
              <w:bottom w:val="nil"/>
              <w:right w:val="nil"/>
            </w:tcBorders>
            <w:vAlign w:val="center"/>
            <w:hideMark/>
          </w:tcPr>
          <w:p w14:paraId="1C32FD01" w14:textId="77777777" w:rsidR="007B7729" w:rsidRPr="004F0C2F" w:rsidRDefault="007B7729" w:rsidP="007B7729">
            <w:pPr>
              <w:widowControl/>
              <w:jc w:val="left"/>
              <w:rPr>
                <w:rFonts w:ascii="Times New Roman" w:eastAsia="游ゴシック" w:hAnsi="Times New Roman" w:cs="Times New Roman"/>
                <w:color w:val="000000"/>
                <w:kern w:val="0"/>
                <w:sz w:val="24"/>
                <w:szCs w:val="24"/>
              </w:rPr>
            </w:pPr>
          </w:p>
        </w:tc>
      </w:tr>
    </w:tbl>
    <w:p w14:paraId="59E60EFB" w14:textId="3B624EBC" w:rsidR="007B7729" w:rsidRPr="004F0C2F" w:rsidRDefault="007B7729" w:rsidP="003B7EBC">
      <w:pPr>
        <w:pStyle w:val="EndNoteBibliography"/>
        <w:ind w:left="2" w:hanging="2"/>
        <w:jc w:val="left"/>
        <w:rPr>
          <w:szCs w:val="24"/>
        </w:rPr>
      </w:pPr>
    </w:p>
    <w:p w14:paraId="457360DB" w14:textId="77777777" w:rsidR="007B7729" w:rsidRPr="004F0C2F" w:rsidRDefault="007B7729">
      <w:pPr>
        <w:widowControl/>
        <w:jc w:val="left"/>
        <w:rPr>
          <w:rFonts w:ascii="Times New Roman" w:hAnsi="Times New Roman" w:cs="Times New Roman"/>
          <w:noProof/>
          <w:sz w:val="24"/>
          <w:szCs w:val="24"/>
        </w:rPr>
      </w:pPr>
      <w:r w:rsidRPr="004F0C2F">
        <w:rPr>
          <w:szCs w:val="24"/>
        </w:rPr>
        <w:br w:type="page"/>
      </w:r>
    </w:p>
    <w:p w14:paraId="37343CDC" w14:textId="77777777" w:rsidR="00AB6C01" w:rsidRPr="004F0C2F" w:rsidRDefault="00AB6C01" w:rsidP="003B7EBC">
      <w:pPr>
        <w:pStyle w:val="EndNoteBibliography"/>
        <w:ind w:left="2" w:hanging="2"/>
        <w:jc w:val="left"/>
        <w:rPr>
          <w:szCs w:val="24"/>
        </w:rPr>
        <w:sectPr w:rsidR="00AB6C01" w:rsidRPr="004F0C2F" w:rsidSect="00882468">
          <w:pgSz w:w="11906" w:h="16838"/>
          <w:pgMar w:top="1985" w:right="1701" w:bottom="1701" w:left="1701" w:header="851" w:footer="992" w:gutter="0"/>
          <w:cols w:space="425"/>
          <w:docGrid w:linePitch="360"/>
        </w:sectPr>
      </w:pPr>
    </w:p>
    <w:tbl>
      <w:tblPr>
        <w:tblW w:w="13183" w:type="dxa"/>
        <w:tblLayout w:type="fixed"/>
        <w:tblCellMar>
          <w:left w:w="99" w:type="dxa"/>
          <w:right w:w="99" w:type="dxa"/>
        </w:tblCellMar>
        <w:tblLook w:val="04A0" w:firstRow="1" w:lastRow="0" w:firstColumn="1" w:lastColumn="0" w:noHBand="0" w:noVBand="1"/>
      </w:tblPr>
      <w:tblGrid>
        <w:gridCol w:w="3260"/>
        <w:gridCol w:w="2734"/>
        <w:gridCol w:w="1712"/>
        <w:gridCol w:w="2283"/>
        <w:gridCol w:w="1855"/>
        <w:gridCol w:w="1339"/>
      </w:tblGrid>
      <w:tr w:rsidR="00A35454" w:rsidRPr="004F0C2F" w14:paraId="6A9441BE" w14:textId="77777777" w:rsidTr="00C96AEA">
        <w:trPr>
          <w:trHeight w:val="360"/>
        </w:trPr>
        <w:tc>
          <w:tcPr>
            <w:tcW w:w="13183" w:type="dxa"/>
            <w:gridSpan w:val="6"/>
            <w:vMerge w:val="restart"/>
            <w:tcBorders>
              <w:top w:val="nil"/>
              <w:left w:val="nil"/>
              <w:bottom w:val="single" w:sz="8" w:space="0" w:color="000000"/>
              <w:right w:val="nil"/>
            </w:tcBorders>
            <w:shd w:val="clear" w:color="auto" w:fill="auto"/>
            <w:vAlign w:val="center"/>
            <w:hideMark/>
          </w:tcPr>
          <w:p w14:paraId="40B13D95" w14:textId="28ED5FE7" w:rsidR="00A35454" w:rsidRPr="004F0C2F" w:rsidRDefault="002E3A07" w:rsidP="00A35454">
            <w:pPr>
              <w:widowControl/>
              <w:jc w:val="left"/>
              <w:rPr>
                <w:rFonts w:ascii="Times New Roman" w:eastAsia="游ゴシック" w:hAnsi="Times New Roman" w:cs="Times New Roman"/>
                <w:b/>
                <w:bCs/>
                <w:color w:val="000000"/>
                <w:kern w:val="0"/>
                <w:sz w:val="24"/>
                <w:szCs w:val="24"/>
              </w:rPr>
            </w:pPr>
            <w:bookmarkStart w:id="2" w:name="_GoBack"/>
            <w:r w:rsidRPr="004F0C2F">
              <w:rPr>
                <w:rFonts w:ascii="Times New Roman" w:eastAsia="游ゴシック" w:hAnsi="Times New Roman" w:cs="Times New Roman"/>
                <w:b/>
                <w:bCs/>
                <w:color w:val="000000"/>
                <w:kern w:val="0"/>
                <w:sz w:val="24"/>
                <w:szCs w:val="24"/>
              </w:rPr>
              <w:lastRenderedPageBreak/>
              <w:t xml:space="preserve">Supplementary </w:t>
            </w:r>
            <w:r w:rsidR="00A35454" w:rsidRPr="004F0C2F">
              <w:rPr>
                <w:rFonts w:ascii="Times New Roman" w:eastAsia="游ゴシック" w:hAnsi="Times New Roman" w:cs="Times New Roman"/>
                <w:b/>
                <w:bCs/>
                <w:color w:val="000000"/>
                <w:kern w:val="0"/>
                <w:sz w:val="24"/>
                <w:szCs w:val="24"/>
              </w:rPr>
              <w:t xml:space="preserve">Table 3. </w:t>
            </w:r>
            <w:r w:rsidR="00A35454" w:rsidRPr="004F0C2F">
              <w:rPr>
                <w:rFonts w:ascii="Times New Roman" w:eastAsia="游ゴシック" w:hAnsi="Times New Roman" w:cs="Times New Roman"/>
                <w:color w:val="000000"/>
                <w:kern w:val="0"/>
                <w:sz w:val="24"/>
                <w:szCs w:val="24"/>
              </w:rPr>
              <w:t xml:space="preserve">Sensitivity analysis results of gradual decreases of the covariates’ coefficients toward zero in the </w:t>
            </w:r>
            <w:proofErr w:type="spellStart"/>
            <w:r w:rsidR="00A35454" w:rsidRPr="004F0C2F">
              <w:rPr>
                <w:rFonts w:ascii="Times New Roman" w:eastAsia="游ゴシック" w:hAnsi="Times New Roman" w:cs="Times New Roman"/>
                <w:color w:val="000000"/>
                <w:kern w:val="0"/>
                <w:sz w:val="24"/>
                <w:szCs w:val="24"/>
              </w:rPr>
              <w:t>hdPS</w:t>
            </w:r>
            <w:proofErr w:type="spellEnd"/>
            <w:r w:rsidR="00A35454" w:rsidRPr="004F0C2F">
              <w:rPr>
                <w:rFonts w:ascii="Times New Roman" w:eastAsia="游ゴシック" w:hAnsi="Times New Roman" w:cs="Times New Roman"/>
                <w:color w:val="000000"/>
                <w:kern w:val="0"/>
                <w:sz w:val="24"/>
                <w:szCs w:val="24"/>
              </w:rPr>
              <w:t xml:space="preserve"> model</w:t>
            </w:r>
          </w:p>
        </w:tc>
      </w:tr>
      <w:bookmarkEnd w:id="2"/>
      <w:tr w:rsidR="00A35454" w:rsidRPr="004F0C2F" w14:paraId="4021FC08" w14:textId="77777777" w:rsidTr="00C96AEA">
        <w:trPr>
          <w:trHeight w:val="360"/>
        </w:trPr>
        <w:tc>
          <w:tcPr>
            <w:tcW w:w="13183" w:type="dxa"/>
            <w:gridSpan w:val="6"/>
            <w:vMerge/>
            <w:tcBorders>
              <w:top w:val="nil"/>
              <w:left w:val="nil"/>
              <w:bottom w:val="single" w:sz="8" w:space="0" w:color="000000"/>
              <w:right w:val="nil"/>
            </w:tcBorders>
            <w:vAlign w:val="center"/>
            <w:hideMark/>
          </w:tcPr>
          <w:p w14:paraId="54AB066A" w14:textId="77777777" w:rsidR="00A35454" w:rsidRPr="004F0C2F" w:rsidRDefault="00A35454" w:rsidP="00A35454">
            <w:pPr>
              <w:widowControl/>
              <w:jc w:val="left"/>
              <w:rPr>
                <w:rFonts w:ascii="Times New Roman" w:eastAsia="游ゴシック" w:hAnsi="Times New Roman" w:cs="Times New Roman"/>
                <w:b/>
                <w:bCs/>
                <w:color w:val="000000"/>
                <w:kern w:val="0"/>
                <w:sz w:val="24"/>
                <w:szCs w:val="24"/>
              </w:rPr>
            </w:pPr>
          </w:p>
        </w:tc>
      </w:tr>
      <w:tr w:rsidR="00A35454" w:rsidRPr="004F0C2F" w14:paraId="2C30D906" w14:textId="77777777" w:rsidTr="00C96AEA">
        <w:trPr>
          <w:trHeight w:val="367"/>
        </w:trPr>
        <w:tc>
          <w:tcPr>
            <w:tcW w:w="3260" w:type="dxa"/>
            <w:tcBorders>
              <w:top w:val="nil"/>
              <w:left w:val="nil"/>
              <w:bottom w:val="single" w:sz="4" w:space="0" w:color="auto"/>
              <w:right w:val="nil"/>
            </w:tcBorders>
            <w:shd w:val="clear" w:color="auto" w:fill="auto"/>
            <w:noWrap/>
            <w:vAlign w:val="center"/>
            <w:hideMark/>
          </w:tcPr>
          <w:p w14:paraId="72CE8B7B"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Antibiotic Class</w:t>
            </w:r>
          </w:p>
        </w:tc>
        <w:tc>
          <w:tcPr>
            <w:tcW w:w="2734" w:type="dxa"/>
            <w:tcBorders>
              <w:top w:val="nil"/>
              <w:left w:val="nil"/>
              <w:bottom w:val="single" w:sz="4" w:space="0" w:color="auto"/>
              <w:right w:val="nil"/>
            </w:tcBorders>
            <w:shd w:val="clear" w:color="auto" w:fill="auto"/>
            <w:noWrap/>
            <w:vAlign w:val="center"/>
            <w:hideMark/>
          </w:tcPr>
          <w:p w14:paraId="78C9DFF2"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Covariate</w:t>
            </w:r>
          </w:p>
        </w:tc>
        <w:tc>
          <w:tcPr>
            <w:tcW w:w="1712" w:type="dxa"/>
            <w:tcBorders>
              <w:top w:val="nil"/>
              <w:left w:val="nil"/>
              <w:bottom w:val="single" w:sz="4" w:space="0" w:color="auto"/>
              <w:right w:val="nil"/>
            </w:tcBorders>
            <w:shd w:val="clear" w:color="auto" w:fill="auto"/>
            <w:noWrap/>
            <w:vAlign w:val="center"/>
            <w:hideMark/>
          </w:tcPr>
          <w:p w14:paraId="73A14743" w14:textId="77777777" w:rsidR="00A35454" w:rsidRPr="004F0C2F" w:rsidRDefault="00A35454" w:rsidP="00A35454">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Coefficient</w:t>
            </w:r>
          </w:p>
        </w:tc>
        <w:tc>
          <w:tcPr>
            <w:tcW w:w="2283" w:type="dxa"/>
            <w:tcBorders>
              <w:top w:val="nil"/>
              <w:left w:val="nil"/>
              <w:bottom w:val="single" w:sz="4" w:space="0" w:color="auto"/>
              <w:right w:val="nil"/>
            </w:tcBorders>
            <w:shd w:val="clear" w:color="auto" w:fill="auto"/>
            <w:noWrap/>
            <w:vAlign w:val="center"/>
            <w:hideMark/>
          </w:tcPr>
          <w:p w14:paraId="0D37DB64" w14:textId="77777777" w:rsidR="00A35454" w:rsidRPr="004F0C2F" w:rsidRDefault="00A35454" w:rsidP="00A35454">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Estimator</w:t>
            </w:r>
          </w:p>
        </w:tc>
        <w:tc>
          <w:tcPr>
            <w:tcW w:w="1855" w:type="dxa"/>
            <w:tcBorders>
              <w:top w:val="nil"/>
              <w:left w:val="nil"/>
              <w:bottom w:val="single" w:sz="4" w:space="0" w:color="auto"/>
              <w:right w:val="nil"/>
            </w:tcBorders>
            <w:shd w:val="clear" w:color="auto" w:fill="auto"/>
            <w:noWrap/>
            <w:vAlign w:val="center"/>
            <w:hideMark/>
          </w:tcPr>
          <w:p w14:paraId="32E83D28" w14:textId="77777777" w:rsidR="00A35454" w:rsidRPr="004F0C2F" w:rsidRDefault="00A35454" w:rsidP="00A35454">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Point Estimate</w:t>
            </w:r>
          </w:p>
        </w:tc>
        <w:tc>
          <w:tcPr>
            <w:tcW w:w="1339" w:type="dxa"/>
            <w:tcBorders>
              <w:top w:val="nil"/>
              <w:left w:val="nil"/>
              <w:bottom w:val="single" w:sz="4" w:space="0" w:color="auto"/>
              <w:right w:val="nil"/>
            </w:tcBorders>
            <w:shd w:val="clear" w:color="auto" w:fill="auto"/>
            <w:noWrap/>
            <w:vAlign w:val="center"/>
            <w:hideMark/>
          </w:tcPr>
          <w:p w14:paraId="127EF95B" w14:textId="77777777" w:rsidR="00A35454" w:rsidRPr="004F0C2F" w:rsidRDefault="00A35454" w:rsidP="00A35454">
            <w:pPr>
              <w:widowControl/>
              <w:jc w:val="center"/>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95% CI</w:t>
            </w:r>
          </w:p>
        </w:tc>
      </w:tr>
      <w:tr w:rsidR="00BC12CC" w:rsidRPr="004F0C2F" w14:paraId="0545BCCE" w14:textId="77777777" w:rsidTr="00C96AEA">
        <w:trPr>
          <w:trHeight w:val="367"/>
        </w:trPr>
        <w:tc>
          <w:tcPr>
            <w:tcW w:w="3260" w:type="dxa"/>
            <w:tcBorders>
              <w:top w:val="nil"/>
              <w:left w:val="nil"/>
              <w:bottom w:val="nil"/>
              <w:right w:val="nil"/>
            </w:tcBorders>
            <w:shd w:val="clear" w:color="auto" w:fill="auto"/>
            <w:noWrap/>
            <w:vAlign w:val="center"/>
            <w:hideMark/>
          </w:tcPr>
          <w:p w14:paraId="69028129"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Macrolides</w:t>
            </w:r>
          </w:p>
        </w:tc>
        <w:tc>
          <w:tcPr>
            <w:tcW w:w="2734" w:type="dxa"/>
            <w:vMerge w:val="restart"/>
            <w:tcBorders>
              <w:top w:val="nil"/>
              <w:left w:val="nil"/>
              <w:right w:val="nil"/>
            </w:tcBorders>
            <w:shd w:val="clear" w:color="auto" w:fill="auto"/>
            <w:noWrap/>
            <w:vAlign w:val="center"/>
            <w:hideMark/>
          </w:tcPr>
          <w:p w14:paraId="2021F4C3"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Concomitant use of other otological drugs</w:t>
            </w:r>
            <w:r w:rsidRPr="004F0C2F">
              <w:rPr>
                <w:rFonts w:ascii="Times New Roman" w:eastAsia="游ゴシック" w:hAnsi="Times New Roman" w:cs="Times New Roman"/>
                <w:color w:val="000000"/>
                <w:kern w:val="0"/>
                <w:sz w:val="24"/>
                <w:szCs w:val="24"/>
                <w:vertAlign w:val="superscript"/>
              </w:rPr>
              <w:t>*</w:t>
            </w:r>
          </w:p>
        </w:tc>
        <w:tc>
          <w:tcPr>
            <w:tcW w:w="1712" w:type="dxa"/>
            <w:tcBorders>
              <w:top w:val="nil"/>
              <w:left w:val="nil"/>
              <w:bottom w:val="nil"/>
              <w:right w:val="nil"/>
            </w:tcBorders>
            <w:shd w:val="clear" w:color="auto" w:fill="auto"/>
            <w:noWrap/>
            <w:vAlign w:val="center"/>
            <w:hideMark/>
          </w:tcPr>
          <w:p w14:paraId="51B7A1C6"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4.0 </w:t>
            </w:r>
          </w:p>
        </w:tc>
        <w:tc>
          <w:tcPr>
            <w:tcW w:w="2283" w:type="dxa"/>
            <w:tcBorders>
              <w:top w:val="nil"/>
              <w:left w:val="nil"/>
              <w:bottom w:val="nil"/>
              <w:right w:val="nil"/>
            </w:tcBorders>
            <w:shd w:val="clear" w:color="auto" w:fill="auto"/>
            <w:noWrap/>
            <w:vAlign w:val="center"/>
            <w:hideMark/>
          </w:tcPr>
          <w:p w14:paraId="0CC606F8"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240609FF"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1.19 </w:t>
            </w:r>
          </w:p>
        </w:tc>
        <w:tc>
          <w:tcPr>
            <w:tcW w:w="1339" w:type="dxa"/>
            <w:tcBorders>
              <w:top w:val="nil"/>
              <w:left w:val="nil"/>
              <w:bottom w:val="nil"/>
              <w:right w:val="nil"/>
            </w:tcBorders>
            <w:shd w:val="clear" w:color="auto" w:fill="auto"/>
            <w:noWrap/>
            <w:vAlign w:val="center"/>
            <w:hideMark/>
          </w:tcPr>
          <w:p w14:paraId="16BA546E"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0.74–1.93</w:t>
            </w:r>
          </w:p>
        </w:tc>
      </w:tr>
      <w:tr w:rsidR="00BC12CC" w:rsidRPr="004F0C2F" w14:paraId="19AEE4FC" w14:textId="77777777" w:rsidTr="00C96AEA">
        <w:trPr>
          <w:trHeight w:val="367"/>
        </w:trPr>
        <w:tc>
          <w:tcPr>
            <w:tcW w:w="3260" w:type="dxa"/>
            <w:tcBorders>
              <w:top w:val="nil"/>
              <w:left w:val="nil"/>
              <w:bottom w:val="nil"/>
              <w:right w:val="nil"/>
            </w:tcBorders>
            <w:shd w:val="clear" w:color="auto" w:fill="auto"/>
            <w:noWrap/>
            <w:vAlign w:val="center"/>
            <w:hideMark/>
          </w:tcPr>
          <w:p w14:paraId="5F68F131" w14:textId="77777777" w:rsidR="00BC12CC" w:rsidRPr="004F0C2F" w:rsidRDefault="00BC12CC" w:rsidP="00A35454">
            <w:pPr>
              <w:widowControl/>
              <w:jc w:val="center"/>
              <w:rPr>
                <w:rFonts w:ascii="Times New Roman" w:eastAsia="游ゴシック" w:hAnsi="Times New Roman" w:cs="Times New Roman"/>
                <w:kern w:val="0"/>
                <w:sz w:val="24"/>
                <w:szCs w:val="24"/>
              </w:rPr>
            </w:pPr>
          </w:p>
        </w:tc>
        <w:tc>
          <w:tcPr>
            <w:tcW w:w="2734" w:type="dxa"/>
            <w:vMerge/>
            <w:tcBorders>
              <w:left w:val="nil"/>
              <w:bottom w:val="nil"/>
              <w:right w:val="nil"/>
            </w:tcBorders>
            <w:shd w:val="clear" w:color="auto" w:fill="auto"/>
            <w:noWrap/>
            <w:vAlign w:val="center"/>
            <w:hideMark/>
          </w:tcPr>
          <w:p w14:paraId="57F9D425"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264C6623"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5BF70642"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2EB7FF00"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1.18 </w:t>
            </w:r>
          </w:p>
        </w:tc>
        <w:tc>
          <w:tcPr>
            <w:tcW w:w="1339" w:type="dxa"/>
            <w:tcBorders>
              <w:top w:val="nil"/>
              <w:left w:val="nil"/>
              <w:bottom w:val="nil"/>
              <w:right w:val="nil"/>
            </w:tcBorders>
            <w:shd w:val="clear" w:color="auto" w:fill="auto"/>
            <w:noWrap/>
            <w:vAlign w:val="center"/>
            <w:hideMark/>
          </w:tcPr>
          <w:p w14:paraId="63BE617D"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0.65–2.13</w:t>
            </w:r>
          </w:p>
        </w:tc>
      </w:tr>
      <w:tr w:rsidR="00A35454" w:rsidRPr="004F0C2F" w14:paraId="0231BE7C" w14:textId="77777777" w:rsidTr="00C96AEA">
        <w:trPr>
          <w:trHeight w:val="367"/>
        </w:trPr>
        <w:tc>
          <w:tcPr>
            <w:tcW w:w="3260" w:type="dxa"/>
            <w:tcBorders>
              <w:top w:val="nil"/>
              <w:left w:val="nil"/>
              <w:bottom w:val="nil"/>
              <w:right w:val="nil"/>
            </w:tcBorders>
            <w:shd w:val="clear" w:color="auto" w:fill="auto"/>
            <w:noWrap/>
            <w:vAlign w:val="center"/>
            <w:hideMark/>
          </w:tcPr>
          <w:p w14:paraId="3CA7B856" w14:textId="77777777" w:rsidR="00A35454" w:rsidRPr="004F0C2F" w:rsidRDefault="00A35454" w:rsidP="00A35454">
            <w:pPr>
              <w:widowControl/>
              <w:jc w:val="center"/>
              <w:rPr>
                <w:rFonts w:ascii="Times New Roman" w:eastAsia="Times New Roman" w:hAnsi="Times New Roman" w:cs="Times New Roman"/>
                <w:kern w:val="0"/>
                <w:sz w:val="20"/>
                <w:szCs w:val="20"/>
              </w:rPr>
            </w:pPr>
          </w:p>
        </w:tc>
        <w:tc>
          <w:tcPr>
            <w:tcW w:w="2734" w:type="dxa"/>
            <w:tcBorders>
              <w:top w:val="nil"/>
              <w:left w:val="nil"/>
              <w:bottom w:val="nil"/>
              <w:right w:val="nil"/>
            </w:tcBorders>
            <w:shd w:val="clear" w:color="auto" w:fill="auto"/>
            <w:noWrap/>
            <w:vAlign w:val="center"/>
            <w:hideMark/>
          </w:tcPr>
          <w:p w14:paraId="09578427"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7D757586"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2.0 </w:t>
            </w:r>
          </w:p>
        </w:tc>
        <w:tc>
          <w:tcPr>
            <w:tcW w:w="2283" w:type="dxa"/>
            <w:tcBorders>
              <w:top w:val="nil"/>
              <w:left w:val="nil"/>
              <w:bottom w:val="nil"/>
              <w:right w:val="nil"/>
            </w:tcBorders>
            <w:shd w:val="clear" w:color="auto" w:fill="auto"/>
            <w:noWrap/>
            <w:vAlign w:val="center"/>
            <w:hideMark/>
          </w:tcPr>
          <w:p w14:paraId="1E2AA013"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644BBF42"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1.23 </w:t>
            </w:r>
          </w:p>
        </w:tc>
        <w:tc>
          <w:tcPr>
            <w:tcW w:w="1339" w:type="dxa"/>
            <w:tcBorders>
              <w:top w:val="nil"/>
              <w:left w:val="nil"/>
              <w:bottom w:val="nil"/>
              <w:right w:val="nil"/>
            </w:tcBorders>
            <w:shd w:val="clear" w:color="auto" w:fill="auto"/>
            <w:noWrap/>
            <w:vAlign w:val="center"/>
            <w:hideMark/>
          </w:tcPr>
          <w:p w14:paraId="48F53652"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0.76–1.99</w:t>
            </w:r>
          </w:p>
        </w:tc>
      </w:tr>
      <w:tr w:rsidR="00A35454" w:rsidRPr="004F0C2F" w14:paraId="1E9885FF" w14:textId="77777777" w:rsidTr="00C96AEA">
        <w:trPr>
          <w:trHeight w:val="367"/>
        </w:trPr>
        <w:tc>
          <w:tcPr>
            <w:tcW w:w="3260" w:type="dxa"/>
            <w:tcBorders>
              <w:top w:val="nil"/>
              <w:left w:val="nil"/>
              <w:bottom w:val="nil"/>
              <w:right w:val="nil"/>
            </w:tcBorders>
            <w:shd w:val="clear" w:color="auto" w:fill="auto"/>
            <w:noWrap/>
            <w:vAlign w:val="center"/>
            <w:hideMark/>
          </w:tcPr>
          <w:p w14:paraId="49655497" w14:textId="77777777" w:rsidR="00A35454" w:rsidRPr="004F0C2F" w:rsidRDefault="00A35454" w:rsidP="00A35454">
            <w:pPr>
              <w:widowControl/>
              <w:jc w:val="center"/>
              <w:rPr>
                <w:rFonts w:ascii="Times New Roman" w:eastAsia="游ゴシック" w:hAnsi="Times New Roman" w:cs="Times New Roman"/>
                <w:kern w:val="0"/>
                <w:sz w:val="24"/>
                <w:szCs w:val="24"/>
              </w:rPr>
            </w:pPr>
          </w:p>
        </w:tc>
        <w:tc>
          <w:tcPr>
            <w:tcW w:w="2734" w:type="dxa"/>
            <w:tcBorders>
              <w:top w:val="nil"/>
              <w:left w:val="nil"/>
              <w:bottom w:val="nil"/>
              <w:right w:val="nil"/>
            </w:tcBorders>
            <w:shd w:val="clear" w:color="auto" w:fill="auto"/>
            <w:noWrap/>
            <w:vAlign w:val="center"/>
            <w:hideMark/>
          </w:tcPr>
          <w:p w14:paraId="4F6B11E1"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5999BA3B"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798A4CEF"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49B6756B"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1.23 </w:t>
            </w:r>
          </w:p>
        </w:tc>
        <w:tc>
          <w:tcPr>
            <w:tcW w:w="1339" w:type="dxa"/>
            <w:tcBorders>
              <w:top w:val="nil"/>
              <w:left w:val="nil"/>
              <w:bottom w:val="nil"/>
              <w:right w:val="nil"/>
            </w:tcBorders>
            <w:shd w:val="clear" w:color="auto" w:fill="auto"/>
            <w:noWrap/>
            <w:vAlign w:val="center"/>
            <w:hideMark/>
          </w:tcPr>
          <w:p w14:paraId="77C368CD"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0.68–2.22</w:t>
            </w:r>
          </w:p>
        </w:tc>
      </w:tr>
      <w:tr w:rsidR="00A35454" w:rsidRPr="004F0C2F" w14:paraId="2D037734" w14:textId="77777777" w:rsidTr="00C96AEA">
        <w:trPr>
          <w:trHeight w:val="367"/>
        </w:trPr>
        <w:tc>
          <w:tcPr>
            <w:tcW w:w="3260" w:type="dxa"/>
            <w:tcBorders>
              <w:top w:val="nil"/>
              <w:left w:val="nil"/>
              <w:bottom w:val="nil"/>
              <w:right w:val="nil"/>
            </w:tcBorders>
            <w:shd w:val="clear" w:color="auto" w:fill="auto"/>
            <w:noWrap/>
            <w:vAlign w:val="center"/>
            <w:hideMark/>
          </w:tcPr>
          <w:p w14:paraId="4DD428C2" w14:textId="77777777" w:rsidR="00A35454" w:rsidRPr="004F0C2F" w:rsidRDefault="00A35454" w:rsidP="00A35454">
            <w:pPr>
              <w:widowControl/>
              <w:jc w:val="center"/>
              <w:rPr>
                <w:rFonts w:ascii="Times New Roman" w:eastAsia="Times New Roman" w:hAnsi="Times New Roman" w:cs="Times New Roman"/>
                <w:kern w:val="0"/>
                <w:sz w:val="20"/>
                <w:szCs w:val="20"/>
              </w:rPr>
            </w:pPr>
          </w:p>
        </w:tc>
        <w:tc>
          <w:tcPr>
            <w:tcW w:w="2734" w:type="dxa"/>
            <w:tcBorders>
              <w:top w:val="nil"/>
              <w:left w:val="nil"/>
              <w:bottom w:val="nil"/>
              <w:right w:val="nil"/>
            </w:tcBorders>
            <w:shd w:val="clear" w:color="auto" w:fill="auto"/>
            <w:noWrap/>
            <w:vAlign w:val="center"/>
            <w:hideMark/>
          </w:tcPr>
          <w:p w14:paraId="5F2C7271"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472F3C55"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0.0 </w:t>
            </w:r>
          </w:p>
        </w:tc>
        <w:tc>
          <w:tcPr>
            <w:tcW w:w="2283" w:type="dxa"/>
            <w:tcBorders>
              <w:top w:val="nil"/>
              <w:left w:val="nil"/>
              <w:bottom w:val="nil"/>
              <w:right w:val="nil"/>
            </w:tcBorders>
            <w:shd w:val="clear" w:color="auto" w:fill="auto"/>
            <w:noWrap/>
            <w:vAlign w:val="center"/>
            <w:hideMark/>
          </w:tcPr>
          <w:p w14:paraId="7A2A5634"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4539F41D"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1.22 </w:t>
            </w:r>
          </w:p>
        </w:tc>
        <w:tc>
          <w:tcPr>
            <w:tcW w:w="1339" w:type="dxa"/>
            <w:tcBorders>
              <w:top w:val="nil"/>
              <w:left w:val="nil"/>
              <w:bottom w:val="nil"/>
              <w:right w:val="nil"/>
            </w:tcBorders>
            <w:shd w:val="clear" w:color="auto" w:fill="auto"/>
            <w:noWrap/>
            <w:vAlign w:val="center"/>
            <w:hideMark/>
          </w:tcPr>
          <w:p w14:paraId="5B56D3AD"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0.76–1.98</w:t>
            </w:r>
          </w:p>
        </w:tc>
      </w:tr>
      <w:tr w:rsidR="00A35454" w:rsidRPr="004F0C2F" w14:paraId="5ED84613" w14:textId="77777777" w:rsidTr="00C96AEA">
        <w:trPr>
          <w:trHeight w:val="196"/>
        </w:trPr>
        <w:tc>
          <w:tcPr>
            <w:tcW w:w="3260" w:type="dxa"/>
            <w:tcBorders>
              <w:top w:val="nil"/>
              <w:left w:val="nil"/>
              <w:bottom w:val="nil"/>
              <w:right w:val="nil"/>
            </w:tcBorders>
            <w:shd w:val="clear" w:color="auto" w:fill="auto"/>
            <w:noWrap/>
            <w:vAlign w:val="center"/>
            <w:hideMark/>
          </w:tcPr>
          <w:p w14:paraId="7900DA2F" w14:textId="77777777" w:rsidR="00A35454" w:rsidRPr="004F0C2F" w:rsidRDefault="00A35454" w:rsidP="00A35454">
            <w:pPr>
              <w:widowControl/>
              <w:jc w:val="center"/>
              <w:rPr>
                <w:rFonts w:ascii="Times New Roman" w:eastAsia="游ゴシック" w:hAnsi="Times New Roman" w:cs="Times New Roman"/>
                <w:kern w:val="0"/>
                <w:sz w:val="24"/>
                <w:szCs w:val="24"/>
              </w:rPr>
            </w:pPr>
          </w:p>
        </w:tc>
        <w:tc>
          <w:tcPr>
            <w:tcW w:w="2734" w:type="dxa"/>
            <w:tcBorders>
              <w:top w:val="nil"/>
              <w:left w:val="nil"/>
              <w:bottom w:val="nil"/>
              <w:right w:val="nil"/>
            </w:tcBorders>
            <w:shd w:val="clear" w:color="auto" w:fill="auto"/>
            <w:noWrap/>
            <w:vAlign w:val="center"/>
            <w:hideMark/>
          </w:tcPr>
          <w:p w14:paraId="30BF242D"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2FDBA9CA"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190D8340"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3670F210"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1.23 </w:t>
            </w:r>
          </w:p>
        </w:tc>
        <w:tc>
          <w:tcPr>
            <w:tcW w:w="1339" w:type="dxa"/>
            <w:tcBorders>
              <w:top w:val="nil"/>
              <w:left w:val="nil"/>
              <w:bottom w:val="nil"/>
              <w:right w:val="nil"/>
            </w:tcBorders>
            <w:shd w:val="clear" w:color="auto" w:fill="auto"/>
            <w:noWrap/>
            <w:vAlign w:val="center"/>
            <w:hideMark/>
          </w:tcPr>
          <w:p w14:paraId="2603120D"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0.68–2.22</w:t>
            </w:r>
          </w:p>
        </w:tc>
      </w:tr>
      <w:tr w:rsidR="00A35454" w:rsidRPr="004F0C2F" w14:paraId="2933917E" w14:textId="77777777" w:rsidTr="00C96AEA">
        <w:trPr>
          <w:trHeight w:val="367"/>
        </w:trPr>
        <w:tc>
          <w:tcPr>
            <w:tcW w:w="3260" w:type="dxa"/>
            <w:tcBorders>
              <w:top w:val="nil"/>
              <w:left w:val="nil"/>
              <w:bottom w:val="nil"/>
              <w:right w:val="nil"/>
            </w:tcBorders>
            <w:shd w:val="clear" w:color="auto" w:fill="auto"/>
            <w:noWrap/>
            <w:vAlign w:val="center"/>
            <w:hideMark/>
          </w:tcPr>
          <w:p w14:paraId="2A054070" w14:textId="77777777" w:rsidR="00A35454" w:rsidRPr="004F0C2F" w:rsidRDefault="00A35454" w:rsidP="00A35454">
            <w:pPr>
              <w:widowControl/>
              <w:jc w:val="center"/>
              <w:rPr>
                <w:rFonts w:ascii="Times New Roman" w:eastAsia="游ゴシック" w:hAnsi="Times New Roman" w:cs="Times New Roman"/>
                <w:kern w:val="0"/>
                <w:sz w:val="24"/>
                <w:szCs w:val="24"/>
              </w:rPr>
            </w:pPr>
          </w:p>
        </w:tc>
        <w:tc>
          <w:tcPr>
            <w:tcW w:w="2734" w:type="dxa"/>
            <w:tcBorders>
              <w:top w:val="nil"/>
              <w:left w:val="nil"/>
              <w:bottom w:val="nil"/>
              <w:right w:val="nil"/>
            </w:tcBorders>
            <w:shd w:val="clear" w:color="auto" w:fill="auto"/>
            <w:noWrap/>
            <w:vAlign w:val="center"/>
            <w:hideMark/>
          </w:tcPr>
          <w:p w14:paraId="2685D3FE"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77227FCD"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018DD516"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855" w:type="dxa"/>
            <w:tcBorders>
              <w:top w:val="nil"/>
              <w:left w:val="nil"/>
              <w:bottom w:val="nil"/>
              <w:right w:val="nil"/>
            </w:tcBorders>
            <w:shd w:val="clear" w:color="auto" w:fill="auto"/>
            <w:noWrap/>
            <w:vAlign w:val="center"/>
            <w:hideMark/>
          </w:tcPr>
          <w:p w14:paraId="393458FA"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339" w:type="dxa"/>
            <w:tcBorders>
              <w:top w:val="nil"/>
              <w:left w:val="nil"/>
              <w:bottom w:val="nil"/>
              <w:right w:val="nil"/>
            </w:tcBorders>
            <w:shd w:val="clear" w:color="auto" w:fill="auto"/>
            <w:noWrap/>
            <w:vAlign w:val="center"/>
            <w:hideMark/>
          </w:tcPr>
          <w:p w14:paraId="28463A33" w14:textId="77777777" w:rsidR="00A35454" w:rsidRPr="004F0C2F" w:rsidRDefault="00A35454" w:rsidP="00A35454">
            <w:pPr>
              <w:widowControl/>
              <w:jc w:val="left"/>
              <w:rPr>
                <w:rFonts w:ascii="Times New Roman" w:eastAsia="Times New Roman" w:hAnsi="Times New Roman" w:cs="Times New Roman"/>
                <w:kern w:val="0"/>
                <w:sz w:val="20"/>
                <w:szCs w:val="20"/>
              </w:rPr>
            </w:pPr>
          </w:p>
        </w:tc>
      </w:tr>
      <w:tr w:rsidR="00BC12CC" w:rsidRPr="004F0C2F" w14:paraId="47A608D5" w14:textId="77777777" w:rsidTr="00C96AEA">
        <w:trPr>
          <w:trHeight w:val="437"/>
        </w:trPr>
        <w:tc>
          <w:tcPr>
            <w:tcW w:w="3260" w:type="dxa"/>
            <w:tcBorders>
              <w:top w:val="nil"/>
              <w:left w:val="nil"/>
              <w:bottom w:val="nil"/>
              <w:right w:val="nil"/>
            </w:tcBorders>
            <w:shd w:val="clear" w:color="auto" w:fill="auto"/>
            <w:vAlign w:val="center"/>
            <w:hideMark/>
          </w:tcPr>
          <w:p w14:paraId="3A6155E2"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Penicillin-based antibiotics</w:t>
            </w:r>
          </w:p>
        </w:tc>
        <w:tc>
          <w:tcPr>
            <w:tcW w:w="2734" w:type="dxa"/>
            <w:vMerge w:val="restart"/>
            <w:tcBorders>
              <w:top w:val="nil"/>
              <w:left w:val="nil"/>
              <w:right w:val="nil"/>
            </w:tcBorders>
            <w:shd w:val="clear" w:color="auto" w:fill="auto"/>
            <w:vAlign w:val="center"/>
            <w:hideMark/>
          </w:tcPr>
          <w:p w14:paraId="4328810A"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Concomitant use of other antibacterial drugs against gram-positive or -negative bacteria</w:t>
            </w:r>
            <w:r w:rsidRPr="004F0C2F">
              <w:rPr>
                <w:rFonts w:ascii="Times New Roman" w:eastAsia="游ゴシック" w:hAnsi="Times New Roman" w:cs="Times New Roman"/>
                <w:color w:val="000000"/>
                <w:kern w:val="0"/>
                <w:sz w:val="24"/>
                <w:szCs w:val="24"/>
                <w:vertAlign w:val="superscript"/>
              </w:rPr>
              <w:t>†</w:t>
            </w:r>
          </w:p>
        </w:tc>
        <w:tc>
          <w:tcPr>
            <w:tcW w:w="1712" w:type="dxa"/>
            <w:tcBorders>
              <w:top w:val="nil"/>
              <w:left w:val="nil"/>
              <w:bottom w:val="nil"/>
              <w:right w:val="nil"/>
            </w:tcBorders>
            <w:shd w:val="clear" w:color="auto" w:fill="auto"/>
            <w:noWrap/>
            <w:vAlign w:val="center"/>
            <w:hideMark/>
          </w:tcPr>
          <w:p w14:paraId="03EB307B"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6.0 </w:t>
            </w:r>
          </w:p>
        </w:tc>
        <w:tc>
          <w:tcPr>
            <w:tcW w:w="2283" w:type="dxa"/>
            <w:tcBorders>
              <w:top w:val="nil"/>
              <w:left w:val="nil"/>
              <w:bottom w:val="nil"/>
              <w:right w:val="nil"/>
            </w:tcBorders>
            <w:shd w:val="clear" w:color="auto" w:fill="auto"/>
            <w:noWrap/>
            <w:vAlign w:val="center"/>
            <w:hideMark/>
          </w:tcPr>
          <w:p w14:paraId="70AF9BF9"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1BFF8FA1"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3.35 </w:t>
            </w:r>
          </w:p>
        </w:tc>
        <w:tc>
          <w:tcPr>
            <w:tcW w:w="1339" w:type="dxa"/>
            <w:tcBorders>
              <w:top w:val="nil"/>
              <w:left w:val="nil"/>
              <w:bottom w:val="nil"/>
              <w:right w:val="nil"/>
            </w:tcBorders>
            <w:shd w:val="clear" w:color="auto" w:fill="auto"/>
            <w:noWrap/>
            <w:vAlign w:val="center"/>
            <w:hideMark/>
          </w:tcPr>
          <w:p w14:paraId="3635C3D1"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2.65–4.23</w:t>
            </w:r>
          </w:p>
        </w:tc>
      </w:tr>
      <w:tr w:rsidR="00BC12CC" w:rsidRPr="004F0C2F" w14:paraId="6CF15459" w14:textId="77777777" w:rsidTr="00C96AEA">
        <w:trPr>
          <w:trHeight w:val="367"/>
        </w:trPr>
        <w:tc>
          <w:tcPr>
            <w:tcW w:w="3260" w:type="dxa"/>
            <w:tcBorders>
              <w:top w:val="nil"/>
              <w:left w:val="nil"/>
              <w:bottom w:val="nil"/>
              <w:right w:val="nil"/>
            </w:tcBorders>
            <w:shd w:val="clear" w:color="auto" w:fill="auto"/>
            <w:noWrap/>
            <w:vAlign w:val="center"/>
            <w:hideMark/>
          </w:tcPr>
          <w:p w14:paraId="47ADC066" w14:textId="77777777" w:rsidR="00BC12CC" w:rsidRPr="004F0C2F" w:rsidRDefault="00BC12CC" w:rsidP="00A35454">
            <w:pPr>
              <w:widowControl/>
              <w:jc w:val="center"/>
              <w:rPr>
                <w:rFonts w:ascii="Times New Roman" w:eastAsia="游ゴシック" w:hAnsi="Times New Roman" w:cs="Times New Roman"/>
                <w:kern w:val="0"/>
                <w:sz w:val="24"/>
                <w:szCs w:val="24"/>
              </w:rPr>
            </w:pPr>
          </w:p>
        </w:tc>
        <w:tc>
          <w:tcPr>
            <w:tcW w:w="2734" w:type="dxa"/>
            <w:vMerge/>
            <w:tcBorders>
              <w:left w:val="nil"/>
              <w:right w:val="nil"/>
            </w:tcBorders>
            <w:shd w:val="clear" w:color="auto" w:fill="auto"/>
            <w:noWrap/>
            <w:vAlign w:val="center"/>
            <w:hideMark/>
          </w:tcPr>
          <w:p w14:paraId="6FBAEDE8"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7145C9DA"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1D5D91AE"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29AA7FD4"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5.50 </w:t>
            </w:r>
          </w:p>
        </w:tc>
        <w:tc>
          <w:tcPr>
            <w:tcW w:w="1339" w:type="dxa"/>
            <w:tcBorders>
              <w:top w:val="nil"/>
              <w:left w:val="nil"/>
              <w:bottom w:val="nil"/>
              <w:right w:val="nil"/>
            </w:tcBorders>
            <w:shd w:val="clear" w:color="auto" w:fill="auto"/>
            <w:noWrap/>
            <w:vAlign w:val="center"/>
            <w:hideMark/>
          </w:tcPr>
          <w:p w14:paraId="0CF6A3A9"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4.27–7.09</w:t>
            </w:r>
          </w:p>
        </w:tc>
      </w:tr>
      <w:tr w:rsidR="00BC12CC" w:rsidRPr="004F0C2F" w14:paraId="23F87576" w14:textId="77777777" w:rsidTr="00C96AEA">
        <w:trPr>
          <w:trHeight w:val="367"/>
        </w:trPr>
        <w:tc>
          <w:tcPr>
            <w:tcW w:w="3260" w:type="dxa"/>
            <w:tcBorders>
              <w:top w:val="nil"/>
              <w:left w:val="nil"/>
              <w:bottom w:val="nil"/>
              <w:right w:val="nil"/>
            </w:tcBorders>
            <w:shd w:val="clear" w:color="auto" w:fill="auto"/>
            <w:noWrap/>
            <w:vAlign w:val="center"/>
            <w:hideMark/>
          </w:tcPr>
          <w:p w14:paraId="7AA558C8" w14:textId="77777777" w:rsidR="00BC12CC" w:rsidRPr="004F0C2F" w:rsidRDefault="00BC12CC" w:rsidP="00A35454">
            <w:pPr>
              <w:widowControl/>
              <w:jc w:val="center"/>
              <w:rPr>
                <w:rFonts w:ascii="Times New Roman" w:eastAsia="Times New Roman" w:hAnsi="Times New Roman" w:cs="Times New Roman"/>
                <w:kern w:val="0"/>
                <w:sz w:val="20"/>
                <w:szCs w:val="20"/>
              </w:rPr>
            </w:pPr>
          </w:p>
        </w:tc>
        <w:tc>
          <w:tcPr>
            <w:tcW w:w="2734" w:type="dxa"/>
            <w:vMerge/>
            <w:tcBorders>
              <w:left w:val="nil"/>
              <w:right w:val="nil"/>
            </w:tcBorders>
            <w:shd w:val="clear" w:color="auto" w:fill="auto"/>
            <w:noWrap/>
            <w:vAlign w:val="center"/>
            <w:hideMark/>
          </w:tcPr>
          <w:p w14:paraId="344BE7B8"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5F054972"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4.0 </w:t>
            </w:r>
          </w:p>
        </w:tc>
        <w:tc>
          <w:tcPr>
            <w:tcW w:w="2283" w:type="dxa"/>
            <w:tcBorders>
              <w:top w:val="nil"/>
              <w:left w:val="nil"/>
              <w:bottom w:val="nil"/>
              <w:right w:val="nil"/>
            </w:tcBorders>
            <w:shd w:val="clear" w:color="auto" w:fill="auto"/>
            <w:noWrap/>
            <w:vAlign w:val="center"/>
            <w:hideMark/>
          </w:tcPr>
          <w:p w14:paraId="68DF7ED1"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6111010C"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3.85 </w:t>
            </w:r>
          </w:p>
        </w:tc>
        <w:tc>
          <w:tcPr>
            <w:tcW w:w="1339" w:type="dxa"/>
            <w:tcBorders>
              <w:top w:val="nil"/>
              <w:left w:val="nil"/>
              <w:bottom w:val="nil"/>
              <w:right w:val="nil"/>
            </w:tcBorders>
            <w:shd w:val="clear" w:color="auto" w:fill="auto"/>
            <w:noWrap/>
            <w:vAlign w:val="center"/>
            <w:hideMark/>
          </w:tcPr>
          <w:p w14:paraId="6462237E"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3.11-4.75</w:t>
            </w:r>
          </w:p>
        </w:tc>
      </w:tr>
      <w:tr w:rsidR="00BC12CC" w:rsidRPr="004F0C2F" w14:paraId="0562BCAA" w14:textId="77777777" w:rsidTr="00C96AEA">
        <w:trPr>
          <w:trHeight w:val="367"/>
        </w:trPr>
        <w:tc>
          <w:tcPr>
            <w:tcW w:w="3260" w:type="dxa"/>
            <w:tcBorders>
              <w:top w:val="nil"/>
              <w:left w:val="nil"/>
              <w:bottom w:val="nil"/>
              <w:right w:val="nil"/>
            </w:tcBorders>
            <w:shd w:val="clear" w:color="auto" w:fill="auto"/>
            <w:noWrap/>
            <w:vAlign w:val="center"/>
            <w:hideMark/>
          </w:tcPr>
          <w:p w14:paraId="0DBEFDCC" w14:textId="77777777" w:rsidR="00BC12CC" w:rsidRPr="004F0C2F" w:rsidRDefault="00BC12CC" w:rsidP="00A35454">
            <w:pPr>
              <w:widowControl/>
              <w:jc w:val="center"/>
              <w:rPr>
                <w:rFonts w:ascii="Times New Roman" w:eastAsia="游ゴシック" w:hAnsi="Times New Roman" w:cs="Times New Roman"/>
                <w:kern w:val="0"/>
                <w:sz w:val="24"/>
                <w:szCs w:val="24"/>
              </w:rPr>
            </w:pPr>
          </w:p>
        </w:tc>
        <w:tc>
          <w:tcPr>
            <w:tcW w:w="2734" w:type="dxa"/>
            <w:vMerge/>
            <w:tcBorders>
              <w:left w:val="nil"/>
              <w:bottom w:val="nil"/>
              <w:right w:val="nil"/>
            </w:tcBorders>
            <w:shd w:val="clear" w:color="auto" w:fill="auto"/>
            <w:noWrap/>
            <w:vAlign w:val="center"/>
            <w:hideMark/>
          </w:tcPr>
          <w:p w14:paraId="731B2AFC"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744D085E" w14:textId="77777777" w:rsidR="00BC12CC" w:rsidRPr="004F0C2F" w:rsidRDefault="00BC12CC"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4A47040C" w14:textId="77777777" w:rsidR="00BC12CC" w:rsidRPr="004F0C2F" w:rsidRDefault="00BC12CC"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21730A9E" w14:textId="77777777" w:rsidR="00BC12CC" w:rsidRPr="004F0C2F" w:rsidRDefault="00BC12CC"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6.90 </w:t>
            </w:r>
          </w:p>
        </w:tc>
        <w:tc>
          <w:tcPr>
            <w:tcW w:w="1339" w:type="dxa"/>
            <w:tcBorders>
              <w:top w:val="nil"/>
              <w:left w:val="nil"/>
              <w:bottom w:val="nil"/>
              <w:right w:val="nil"/>
            </w:tcBorders>
            <w:shd w:val="clear" w:color="auto" w:fill="auto"/>
            <w:noWrap/>
            <w:vAlign w:val="center"/>
            <w:hideMark/>
          </w:tcPr>
          <w:p w14:paraId="556B0319" w14:textId="77777777" w:rsidR="00BC12CC" w:rsidRPr="004F0C2F" w:rsidRDefault="00BC12CC"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5.36–8.88</w:t>
            </w:r>
          </w:p>
        </w:tc>
      </w:tr>
      <w:tr w:rsidR="00A35454" w:rsidRPr="004F0C2F" w14:paraId="040EB5D7" w14:textId="77777777" w:rsidTr="00C96AEA">
        <w:trPr>
          <w:trHeight w:val="367"/>
        </w:trPr>
        <w:tc>
          <w:tcPr>
            <w:tcW w:w="3260" w:type="dxa"/>
            <w:tcBorders>
              <w:top w:val="nil"/>
              <w:left w:val="nil"/>
              <w:bottom w:val="nil"/>
              <w:right w:val="nil"/>
            </w:tcBorders>
            <w:shd w:val="clear" w:color="auto" w:fill="auto"/>
            <w:noWrap/>
            <w:vAlign w:val="center"/>
            <w:hideMark/>
          </w:tcPr>
          <w:p w14:paraId="0047217B" w14:textId="77777777" w:rsidR="00A35454" w:rsidRPr="004F0C2F" w:rsidRDefault="00A35454" w:rsidP="00A35454">
            <w:pPr>
              <w:widowControl/>
              <w:jc w:val="center"/>
              <w:rPr>
                <w:rFonts w:ascii="Times New Roman" w:eastAsia="Times New Roman" w:hAnsi="Times New Roman" w:cs="Times New Roman"/>
                <w:kern w:val="0"/>
                <w:sz w:val="20"/>
                <w:szCs w:val="20"/>
              </w:rPr>
            </w:pPr>
          </w:p>
        </w:tc>
        <w:tc>
          <w:tcPr>
            <w:tcW w:w="2734" w:type="dxa"/>
            <w:tcBorders>
              <w:top w:val="nil"/>
              <w:left w:val="nil"/>
              <w:bottom w:val="nil"/>
              <w:right w:val="nil"/>
            </w:tcBorders>
            <w:shd w:val="clear" w:color="auto" w:fill="auto"/>
            <w:noWrap/>
            <w:vAlign w:val="center"/>
            <w:hideMark/>
          </w:tcPr>
          <w:p w14:paraId="43DC23BB"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6F5391AD"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2.0 </w:t>
            </w:r>
          </w:p>
        </w:tc>
        <w:tc>
          <w:tcPr>
            <w:tcW w:w="2283" w:type="dxa"/>
            <w:tcBorders>
              <w:top w:val="nil"/>
              <w:left w:val="nil"/>
              <w:bottom w:val="nil"/>
              <w:right w:val="nil"/>
            </w:tcBorders>
            <w:shd w:val="clear" w:color="auto" w:fill="auto"/>
            <w:noWrap/>
            <w:vAlign w:val="center"/>
            <w:hideMark/>
          </w:tcPr>
          <w:p w14:paraId="740892C7"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07F3E318"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4.03 </w:t>
            </w:r>
          </w:p>
        </w:tc>
        <w:tc>
          <w:tcPr>
            <w:tcW w:w="1339" w:type="dxa"/>
            <w:tcBorders>
              <w:top w:val="nil"/>
              <w:left w:val="nil"/>
              <w:bottom w:val="nil"/>
              <w:right w:val="nil"/>
            </w:tcBorders>
            <w:shd w:val="clear" w:color="auto" w:fill="auto"/>
            <w:noWrap/>
            <w:vAlign w:val="center"/>
            <w:hideMark/>
          </w:tcPr>
          <w:p w14:paraId="325BBA81"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3.21–5.06</w:t>
            </w:r>
          </w:p>
        </w:tc>
      </w:tr>
      <w:tr w:rsidR="00A35454" w:rsidRPr="004F0C2F" w14:paraId="66BF7631" w14:textId="77777777" w:rsidTr="00C96AEA">
        <w:trPr>
          <w:trHeight w:val="367"/>
        </w:trPr>
        <w:tc>
          <w:tcPr>
            <w:tcW w:w="3260" w:type="dxa"/>
            <w:tcBorders>
              <w:top w:val="nil"/>
              <w:left w:val="nil"/>
              <w:bottom w:val="nil"/>
              <w:right w:val="nil"/>
            </w:tcBorders>
            <w:shd w:val="clear" w:color="auto" w:fill="auto"/>
            <w:noWrap/>
            <w:vAlign w:val="center"/>
            <w:hideMark/>
          </w:tcPr>
          <w:p w14:paraId="4362BDD1" w14:textId="77777777" w:rsidR="00A35454" w:rsidRPr="004F0C2F" w:rsidRDefault="00A35454" w:rsidP="00A35454">
            <w:pPr>
              <w:widowControl/>
              <w:jc w:val="center"/>
              <w:rPr>
                <w:rFonts w:ascii="Times New Roman" w:eastAsia="游ゴシック" w:hAnsi="Times New Roman" w:cs="Times New Roman"/>
                <w:kern w:val="0"/>
                <w:sz w:val="24"/>
                <w:szCs w:val="24"/>
              </w:rPr>
            </w:pPr>
          </w:p>
        </w:tc>
        <w:tc>
          <w:tcPr>
            <w:tcW w:w="2734" w:type="dxa"/>
            <w:tcBorders>
              <w:top w:val="nil"/>
              <w:left w:val="nil"/>
              <w:bottom w:val="nil"/>
              <w:right w:val="nil"/>
            </w:tcBorders>
            <w:shd w:val="clear" w:color="auto" w:fill="auto"/>
            <w:noWrap/>
            <w:vAlign w:val="center"/>
            <w:hideMark/>
          </w:tcPr>
          <w:p w14:paraId="3E18C40E"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572631B7"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2283" w:type="dxa"/>
            <w:tcBorders>
              <w:top w:val="nil"/>
              <w:left w:val="nil"/>
              <w:bottom w:val="nil"/>
              <w:right w:val="nil"/>
            </w:tcBorders>
            <w:shd w:val="clear" w:color="auto" w:fill="auto"/>
            <w:noWrap/>
            <w:vAlign w:val="center"/>
            <w:hideMark/>
          </w:tcPr>
          <w:p w14:paraId="6F4E1125"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nil"/>
              <w:right w:val="nil"/>
            </w:tcBorders>
            <w:shd w:val="clear" w:color="auto" w:fill="auto"/>
            <w:noWrap/>
            <w:vAlign w:val="center"/>
            <w:hideMark/>
          </w:tcPr>
          <w:p w14:paraId="20F4A637"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7.37 </w:t>
            </w:r>
          </w:p>
        </w:tc>
        <w:tc>
          <w:tcPr>
            <w:tcW w:w="1339" w:type="dxa"/>
            <w:tcBorders>
              <w:top w:val="nil"/>
              <w:left w:val="nil"/>
              <w:bottom w:val="nil"/>
              <w:right w:val="nil"/>
            </w:tcBorders>
            <w:shd w:val="clear" w:color="auto" w:fill="auto"/>
            <w:noWrap/>
            <w:vAlign w:val="center"/>
            <w:hideMark/>
          </w:tcPr>
          <w:p w14:paraId="64994380"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5.67–9.59</w:t>
            </w:r>
          </w:p>
        </w:tc>
      </w:tr>
      <w:tr w:rsidR="00A35454" w:rsidRPr="004F0C2F" w14:paraId="4FD101A5" w14:textId="77777777" w:rsidTr="00C96AEA">
        <w:trPr>
          <w:trHeight w:val="367"/>
        </w:trPr>
        <w:tc>
          <w:tcPr>
            <w:tcW w:w="3260" w:type="dxa"/>
            <w:tcBorders>
              <w:top w:val="nil"/>
              <w:left w:val="nil"/>
              <w:bottom w:val="nil"/>
              <w:right w:val="nil"/>
            </w:tcBorders>
            <w:shd w:val="clear" w:color="auto" w:fill="auto"/>
            <w:noWrap/>
            <w:vAlign w:val="center"/>
            <w:hideMark/>
          </w:tcPr>
          <w:p w14:paraId="319468EE" w14:textId="77777777" w:rsidR="00A35454" w:rsidRPr="004F0C2F" w:rsidRDefault="00A35454" w:rsidP="00A35454">
            <w:pPr>
              <w:widowControl/>
              <w:jc w:val="center"/>
              <w:rPr>
                <w:rFonts w:ascii="Times New Roman" w:eastAsia="Times New Roman" w:hAnsi="Times New Roman" w:cs="Times New Roman"/>
                <w:kern w:val="0"/>
                <w:sz w:val="20"/>
                <w:szCs w:val="20"/>
              </w:rPr>
            </w:pPr>
          </w:p>
        </w:tc>
        <w:tc>
          <w:tcPr>
            <w:tcW w:w="2734" w:type="dxa"/>
            <w:tcBorders>
              <w:top w:val="nil"/>
              <w:left w:val="nil"/>
              <w:bottom w:val="nil"/>
              <w:right w:val="nil"/>
            </w:tcBorders>
            <w:shd w:val="clear" w:color="auto" w:fill="auto"/>
            <w:noWrap/>
            <w:vAlign w:val="center"/>
            <w:hideMark/>
          </w:tcPr>
          <w:p w14:paraId="258A44CF" w14:textId="77777777" w:rsidR="00A35454" w:rsidRPr="004F0C2F" w:rsidRDefault="00A35454" w:rsidP="00A35454">
            <w:pPr>
              <w:widowControl/>
              <w:jc w:val="left"/>
              <w:rPr>
                <w:rFonts w:ascii="Times New Roman" w:eastAsia="Times New Roman" w:hAnsi="Times New Roman" w:cs="Times New Roman"/>
                <w:kern w:val="0"/>
                <w:sz w:val="20"/>
                <w:szCs w:val="20"/>
              </w:rPr>
            </w:pPr>
          </w:p>
        </w:tc>
        <w:tc>
          <w:tcPr>
            <w:tcW w:w="1712" w:type="dxa"/>
            <w:tcBorders>
              <w:top w:val="nil"/>
              <w:left w:val="nil"/>
              <w:bottom w:val="nil"/>
              <w:right w:val="nil"/>
            </w:tcBorders>
            <w:shd w:val="clear" w:color="auto" w:fill="auto"/>
            <w:noWrap/>
            <w:vAlign w:val="center"/>
            <w:hideMark/>
          </w:tcPr>
          <w:p w14:paraId="447E8494"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0.0 </w:t>
            </w:r>
          </w:p>
        </w:tc>
        <w:tc>
          <w:tcPr>
            <w:tcW w:w="2283" w:type="dxa"/>
            <w:tcBorders>
              <w:top w:val="nil"/>
              <w:left w:val="nil"/>
              <w:bottom w:val="nil"/>
              <w:right w:val="nil"/>
            </w:tcBorders>
            <w:shd w:val="clear" w:color="auto" w:fill="auto"/>
            <w:noWrap/>
            <w:vAlign w:val="center"/>
            <w:hideMark/>
          </w:tcPr>
          <w:p w14:paraId="44B0F144"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Intent-to-treat HR </w:t>
            </w:r>
          </w:p>
        </w:tc>
        <w:tc>
          <w:tcPr>
            <w:tcW w:w="1855" w:type="dxa"/>
            <w:tcBorders>
              <w:top w:val="nil"/>
              <w:left w:val="nil"/>
              <w:bottom w:val="nil"/>
              <w:right w:val="nil"/>
            </w:tcBorders>
            <w:shd w:val="clear" w:color="auto" w:fill="auto"/>
            <w:noWrap/>
            <w:vAlign w:val="center"/>
            <w:hideMark/>
          </w:tcPr>
          <w:p w14:paraId="53248CD4"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4.00 </w:t>
            </w:r>
          </w:p>
        </w:tc>
        <w:tc>
          <w:tcPr>
            <w:tcW w:w="1339" w:type="dxa"/>
            <w:tcBorders>
              <w:top w:val="nil"/>
              <w:left w:val="nil"/>
              <w:bottom w:val="nil"/>
              <w:right w:val="nil"/>
            </w:tcBorders>
            <w:shd w:val="clear" w:color="auto" w:fill="auto"/>
            <w:noWrap/>
            <w:vAlign w:val="center"/>
            <w:hideMark/>
          </w:tcPr>
          <w:p w14:paraId="3C3B73A9"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3.16–5.05</w:t>
            </w:r>
          </w:p>
        </w:tc>
      </w:tr>
      <w:tr w:rsidR="00A35454" w:rsidRPr="004F0C2F" w14:paraId="1768A391" w14:textId="77777777" w:rsidTr="00C96AEA">
        <w:trPr>
          <w:trHeight w:val="382"/>
        </w:trPr>
        <w:tc>
          <w:tcPr>
            <w:tcW w:w="3260" w:type="dxa"/>
            <w:tcBorders>
              <w:top w:val="nil"/>
              <w:left w:val="nil"/>
              <w:bottom w:val="single" w:sz="8" w:space="0" w:color="auto"/>
              <w:right w:val="nil"/>
            </w:tcBorders>
            <w:shd w:val="clear" w:color="auto" w:fill="auto"/>
            <w:noWrap/>
            <w:vAlign w:val="center"/>
            <w:hideMark/>
          </w:tcPr>
          <w:p w14:paraId="2038FC52"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　</w:t>
            </w:r>
          </w:p>
        </w:tc>
        <w:tc>
          <w:tcPr>
            <w:tcW w:w="2734" w:type="dxa"/>
            <w:tcBorders>
              <w:top w:val="nil"/>
              <w:left w:val="nil"/>
              <w:bottom w:val="single" w:sz="8" w:space="0" w:color="auto"/>
              <w:right w:val="nil"/>
            </w:tcBorders>
            <w:shd w:val="clear" w:color="auto" w:fill="auto"/>
            <w:noWrap/>
            <w:vAlign w:val="center"/>
            <w:hideMark/>
          </w:tcPr>
          <w:p w14:paraId="4534A669"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　</w:t>
            </w:r>
          </w:p>
        </w:tc>
        <w:tc>
          <w:tcPr>
            <w:tcW w:w="1712" w:type="dxa"/>
            <w:tcBorders>
              <w:top w:val="nil"/>
              <w:left w:val="nil"/>
              <w:bottom w:val="single" w:sz="8" w:space="0" w:color="auto"/>
              <w:right w:val="nil"/>
            </w:tcBorders>
            <w:shd w:val="clear" w:color="auto" w:fill="auto"/>
            <w:noWrap/>
            <w:vAlign w:val="center"/>
            <w:hideMark/>
          </w:tcPr>
          <w:p w14:paraId="0FE0F512"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 xml:space="preserve">　</w:t>
            </w:r>
          </w:p>
        </w:tc>
        <w:tc>
          <w:tcPr>
            <w:tcW w:w="2283" w:type="dxa"/>
            <w:tcBorders>
              <w:top w:val="nil"/>
              <w:left w:val="nil"/>
              <w:bottom w:val="nil"/>
              <w:right w:val="nil"/>
            </w:tcBorders>
            <w:shd w:val="clear" w:color="auto" w:fill="auto"/>
            <w:noWrap/>
            <w:vAlign w:val="center"/>
            <w:hideMark/>
          </w:tcPr>
          <w:p w14:paraId="44266EBC" w14:textId="77777777" w:rsidR="00A35454" w:rsidRPr="004F0C2F"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rPr>
              <w:t>Per-protocol HR</w:t>
            </w:r>
          </w:p>
        </w:tc>
        <w:tc>
          <w:tcPr>
            <w:tcW w:w="1855" w:type="dxa"/>
            <w:tcBorders>
              <w:top w:val="nil"/>
              <w:left w:val="nil"/>
              <w:bottom w:val="single" w:sz="8" w:space="0" w:color="auto"/>
              <w:right w:val="nil"/>
            </w:tcBorders>
            <w:shd w:val="clear" w:color="auto" w:fill="auto"/>
            <w:noWrap/>
            <w:vAlign w:val="center"/>
            <w:hideMark/>
          </w:tcPr>
          <w:p w14:paraId="1172E8CF" w14:textId="77777777" w:rsidR="00A35454" w:rsidRPr="004F0C2F" w:rsidRDefault="00A35454" w:rsidP="00A35454">
            <w:pPr>
              <w:widowControl/>
              <w:jc w:val="left"/>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 xml:space="preserve">7.29 </w:t>
            </w:r>
          </w:p>
        </w:tc>
        <w:tc>
          <w:tcPr>
            <w:tcW w:w="1339" w:type="dxa"/>
            <w:tcBorders>
              <w:top w:val="nil"/>
              <w:left w:val="nil"/>
              <w:bottom w:val="single" w:sz="8" w:space="0" w:color="auto"/>
              <w:right w:val="nil"/>
            </w:tcBorders>
            <w:shd w:val="clear" w:color="auto" w:fill="auto"/>
            <w:noWrap/>
            <w:vAlign w:val="center"/>
            <w:hideMark/>
          </w:tcPr>
          <w:p w14:paraId="0059FDC2" w14:textId="77777777" w:rsidR="00A35454" w:rsidRPr="004F0C2F" w:rsidRDefault="00A35454" w:rsidP="00A35454">
            <w:pPr>
              <w:widowControl/>
              <w:jc w:val="center"/>
              <w:rPr>
                <w:rFonts w:ascii="Times New Roman" w:eastAsia="游ゴシック" w:hAnsi="Times New Roman" w:cs="Times New Roman"/>
                <w:kern w:val="0"/>
                <w:sz w:val="24"/>
                <w:szCs w:val="24"/>
              </w:rPr>
            </w:pPr>
            <w:r w:rsidRPr="004F0C2F">
              <w:rPr>
                <w:rFonts w:ascii="Times New Roman" w:eastAsia="游ゴシック" w:hAnsi="Times New Roman" w:cs="Times New Roman"/>
                <w:kern w:val="0"/>
                <w:sz w:val="24"/>
                <w:szCs w:val="24"/>
              </w:rPr>
              <w:t>5.61–9.48</w:t>
            </w:r>
          </w:p>
        </w:tc>
      </w:tr>
      <w:tr w:rsidR="00A35454" w:rsidRPr="00A35454" w14:paraId="526D3D70" w14:textId="77777777" w:rsidTr="00C96AEA">
        <w:trPr>
          <w:trHeight w:val="360"/>
        </w:trPr>
        <w:tc>
          <w:tcPr>
            <w:tcW w:w="13183" w:type="dxa"/>
            <w:gridSpan w:val="6"/>
            <w:vMerge w:val="restart"/>
            <w:tcBorders>
              <w:top w:val="single" w:sz="8" w:space="0" w:color="auto"/>
              <w:left w:val="nil"/>
              <w:bottom w:val="nil"/>
              <w:right w:val="nil"/>
            </w:tcBorders>
            <w:shd w:val="clear" w:color="auto" w:fill="auto"/>
            <w:hideMark/>
          </w:tcPr>
          <w:p w14:paraId="2457ABF9" w14:textId="77777777" w:rsidR="00A35454" w:rsidRPr="00A35454" w:rsidRDefault="00A35454" w:rsidP="00A35454">
            <w:pPr>
              <w:widowControl/>
              <w:jc w:val="left"/>
              <w:rPr>
                <w:rFonts w:ascii="Times New Roman" w:eastAsia="游ゴシック" w:hAnsi="Times New Roman" w:cs="Times New Roman"/>
                <w:color w:val="000000"/>
                <w:kern w:val="0"/>
                <w:sz w:val="24"/>
                <w:szCs w:val="24"/>
              </w:rPr>
            </w:pPr>
            <w:r w:rsidRPr="004F0C2F">
              <w:rPr>
                <w:rFonts w:ascii="Times New Roman" w:eastAsia="游ゴシック" w:hAnsi="Times New Roman" w:cs="Times New Roman"/>
                <w:color w:val="000000"/>
                <w:kern w:val="0"/>
                <w:sz w:val="24"/>
                <w:szCs w:val="24"/>
                <w:vertAlign w:val="superscript"/>
              </w:rPr>
              <w:t>*</w:t>
            </w:r>
            <w:r w:rsidRPr="004F0C2F">
              <w:rPr>
                <w:rFonts w:ascii="Times New Roman" w:eastAsia="游ゴシック" w:hAnsi="Times New Roman" w:cs="Times New Roman"/>
                <w:color w:val="000000"/>
                <w:kern w:val="0"/>
                <w:sz w:val="24"/>
                <w:szCs w:val="24"/>
              </w:rPr>
              <w:t xml:space="preserve">Original coefficient: 4.71, </w:t>
            </w:r>
            <w:r w:rsidRPr="004F0C2F">
              <w:rPr>
                <w:rFonts w:ascii="Times New Roman" w:eastAsia="游ゴシック" w:hAnsi="Times New Roman" w:cs="Times New Roman"/>
                <w:color w:val="000000"/>
                <w:kern w:val="0"/>
                <w:sz w:val="24"/>
                <w:szCs w:val="24"/>
                <w:vertAlign w:val="superscript"/>
              </w:rPr>
              <w:t>†</w:t>
            </w:r>
            <w:r w:rsidRPr="004F0C2F">
              <w:rPr>
                <w:rFonts w:ascii="Times New Roman" w:eastAsia="游ゴシック" w:hAnsi="Times New Roman" w:cs="Times New Roman"/>
                <w:color w:val="000000"/>
                <w:kern w:val="0"/>
                <w:sz w:val="24"/>
                <w:szCs w:val="24"/>
              </w:rPr>
              <w:t xml:space="preserve"> Original coefficient: 7.53.</w:t>
            </w:r>
            <w:r w:rsidRPr="004F0C2F">
              <w:rPr>
                <w:rFonts w:ascii="Times New Roman" w:eastAsia="游ゴシック" w:hAnsi="Times New Roman" w:cs="Times New Roman"/>
                <w:color w:val="000000"/>
                <w:kern w:val="0"/>
                <w:sz w:val="24"/>
                <w:szCs w:val="24"/>
              </w:rPr>
              <w:br/>
              <w:t xml:space="preserve">Abbreviations: CI, confidence interval; </w:t>
            </w:r>
            <w:proofErr w:type="spellStart"/>
            <w:r w:rsidRPr="004F0C2F">
              <w:rPr>
                <w:rFonts w:ascii="Times New Roman" w:eastAsia="游ゴシック" w:hAnsi="Times New Roman" w:cs="Times New Roman"/>
                <w:color w:val="000000"/>
                <w:kern w:val="0"/>
                <w:sz w:val="24"/>
                <w:szCs w:val="24"/>
              </w:rPr>
              <w:t>hdPS</w:t>
            </w:r>
            <w:proofErr w:type="spellEnd"/>
            <w:r w:rsidRPr="004F0C2F">
              <w:rPr>
                <w:rFonts w:ascii="Times New Roman" w:eastAsia="游ゴシック" w:hAnsi="Times New Roman" w:cs="Times New Roman"/>
                <w:color w:val="000000"/>
                <w:kern w:val="0"/>
                <w:sz w:val="24"/>
                <w:szCs w:val="24"/>
              </w:rPr>
              <w:t>, high-dimensional propensity score; HR, hazard ratio.</w:t>
            </w:r>
          </w:p>
        </w:tc>
      </w:tr>
      <w:tr w:rsidR="00A35454" w:rsidRPr="00A35454" w14:paraId="3D6DF851" w14:textId="77777777" w:rsidTr="00C96AEA">
        <w:trPr>
          <w:trHeight w:val="367"/>
        </w:trPr>
        <w:tc>
          <w:tcPr>
            <w:tcW w:w="13183" w:type="dxa"/>
            <w:gridSpan w:val="6"/>
            <w:vMerge/>
            <w:tcBorders>
              <w:top w:val="single" w:sz="8" w:space="0" w:color="auto"/>
              <w:left w:val="nil"/>
              <w:bottom w:val="nil"/>
              <w:right w:val="nil"/>
            </w:tcBorders>
            <w:vAlign w:val="center"/>
            <w:hideMark/>
          </w:tcPr>
          <w:p w14:paraId="43DAD6C4" w14:textId="77777777" w:rsidR="00A35454" w:rsidRPr="00A35454" w:rsidRDefault="00A35454" w:rsidP="00A35454">
            <w:pPr>
              <w:widowControl/>
              <w:jc w:val="left"/>
              <w:rPr>
                <w:rFonts w:ascii="Times New Roman" w:eastAsia="游ゴシック" w:hAnsi="Times New Roman" w:cs="Times New Roman"/>
                <w:color w:val="000000"/>
                <w:kern w:val="0"/>
                <w:sz w:val="24"/>
                <w:szCs w:val="24"/>
              </w:rPr>
            </w:pPr>
          </w:p>
        </w:tc>
      </w:tr>
      <w:tr w:rsidR="00A35454" w:rsidRPr="00A35454" w14:paraId="1B70ABA8" w14:textId="77777777" w:rsidTr="00C96AEA">
        <w:trPr>
          <w:trHeight w:val="367"/>
        </w:trPr>
        <w:tc>
          <w:tcPr>
            <w:tcW w:w="13183" w:type="dxa"/>
            <w:gridSpan w:val="6"/>
            <w:vMerge/>
            <w:tcBorders>
              <w:top w:val="single" w:sz="8" w:space="0" w:color="auto"/>
              <w:left w:val="nil"/>
              <w:bottom w:val="nil"/>
              <w:right w:val="nil"/>
            </w:tcBorders>
            <w:vAlign w:val="center"/>
            <w:hideMark/>
          </w:tcPr>
          <w:p w14:paraId="3EDC1078" w14:textId="77777777" w:rsidR="00A35454" w:rsidRPr="00A35454" w:rsidRDefault="00A35454" w:rsidP="00A35454">
            <w:pPr>
              <w:widowControl/>
              <w:jc w:val="left"/>
              <w:rPr>
                <w:rFonts w:ascii="Times New Roman" w:eastAsia="游ゴシック" w:hAnsi="Times New Roman" w:cs="Times New Roman"/>
                <w:color w:val="000000"/>
                <w:kern w:val="0"/>
                <w:sz w:val="24"/>
                <w:szCs w:val="24"/>
              </w:rPr>
            </w:pPr>
          </w:p>
        </w:tc>
      </w:tr>
    </w:tbl>
    <w:p w14:paraId="542570B9" w14:textId="40A9D520" w:rsidR="007B7729" w:rsidRPr="00A35454" w:rsidRDefault="007B7729" w:rsidP="00BC12CC">
      <w:pPr>
        <w:pStyle w:val="EndNoteBibliography"/>
        <w:jc w:val="left"/>
        <w:rPr>
          <w:szCs w:val="24"/>
        </w:rPr>
      </w:pPr>
    </w:p>
    <w:sectPr w:rsidR="007B7729" w:rsidRPr="00A35454" w:rsidSect="00882468">
      <w:pgSz w:w="16838" w:h="11906" w:orient="landscape" w:code="9"/>
      <w:pgMar w:top="1701" w:right="1985"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9FF5" w14:textId="77777777" w:rsidR="00A23DAC" w:rsidRDefault="00A23DAC" w:rsidP="003B7E56">
      <w:r>
        <w:separator/>
      </w:r>
    </w:p>
  </w:endnote>
  <w:endnote w:type="continuationSeparator" w:id="0">
    <w:p w14:paraId="4FB9C74F" w14:textId="77777777" w:rsidR="00A23DAC" w:rsidRDefault="00A23DAC" w:rsidP="003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98849"/>
      <w:docPartObj>
        <w:docPartGallery w:val="Page Numbers (Bottom of Page)"/>
        <w:docPartUnique/>
      </w:docPartObj>
    </w:sdtPr>
    <w:sdtEndPr/>
    <w:sdtContent>
      <w:p w14:paraId="5E861515" w14:textId="2B01E1CE" w:rsidR="00DB0315" w:rsidRDefault="00DB0315">
        <w:pPr>
          <w:pStyle w:val="a5"/>
          <w:jc w:val="center"/>
        </w:pPr>
        <w:r>
          <w:fldChar w:fldCharType="begin"/>
        </w:r>
        <w:r>
          <w:instrText>PAGE   \* MERGEFORMAT</w:instrText>
        </w:r>
        <w:r>
          <w:fldChar w:fldCharType="separate"/>
        </w:r>
        <w:r w:rsidR="002E3A07" w:rsidRPr="002E3A07">
          <w:rPr>
            <w:noProof/>
            <w:lang w:val="ja-JP"/>
          </w:rPr>
          <w:t>16</w:t>
        </w:r>
        <w:r>
          <w:fldChar w:fldCharType="end"/>
        </w:r>
      </w:p>
    </w:sdtContent>
  </w:sdt>
  <w:p w14:paraId="58E3B4EC" w14:textId="77777777" w:rsidR="00DB0315" w:rsidRDefault="00DB03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C809" w14:textId="77777777" w:rsidR="00A23DAC" w:rsidRDefault="00A23DAC" w:rsidP="003B7E56">
      <w:r>
        <w:separator/>
      </w:r>
    </w:p>
  </w:footnote>
  <w:footnote w:type="continuationSeparator" w:id="0">
    <w:p w14:paraId="6E1827FF" w14:textId="77777777" w:rsidR="00A23DAC" w:rsidRDefault="00A23DAC" w:rsidP="003B7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e2vvf22yttp05exe9oxtv0wxtvfsxzra2ps&quot;&gt;Antibiotics&amp;amp;DILI&lt;record-ids&gt;&lt;item&gt;27&lt;/item&gt;&lt;item&gt;29&lt;/item&gt;&lt;item&gt;33&lt;/item&gt;&lt;item&gt;35&lt;/item&gt;&lt;/record-ids&gt;&lt;/item&gt;&lt;/Libraries&gt;"/>
  </w:docVars>
  <w:rsids>
    <w:rsidRoot w:val="00724091"/>
    <w:rsid w:val="000003BB"/>
    <w:rsid w:val="00001D98"/>
    <w:rsid w:val="00005A5E"/>
    <w:rsid w:val="00006675"/>
    <w:rsid w:val="00007288"/>
    <w:rsid w:val="00007F9E"/>
    <w:rsid w:val="00010F4E"/>
    <w:rsid w:val="0001238E"/>
    <w:rsid w:val="000126B0"/>
    <w:rsid w:val="000149C3"/>
    <w:rsid w:val="000162B7"/>
    <w:rsid w:val="000168FD"/>
    <w:rsid w:val="00017588"/>
    <w:rsid w:val="00021244"/>
    <w:rsid w:val="00022A53"/>
    <w:rsid w:val="00026830"/>
    <w:rsid w:val="00027DBE"/>
    <w:rsid w:val="00030312"/>
    <w:rsid w:val="000308C2"/>
    <w:rsid w:val="0003151B"/>
    <w:rsid w:val="000320EC"/>
    <w:rsid w:val="00032148"/>
    <w:rsid w:val="000321DD"/>
    <w:rsid w:val="0003268E"/>
    <w:rsid w:val="00032C44"/>
    <w:rsid w:val="00033E62"/>
    <w:rsid w:val="000344D3"/>
    <w:rsid w:val="00035608"/>
    <w:rsid w:val="00036567"/>
    <w:rsid w:val="00037E58"/>
    <w:rsid w:val="00041183"/>
    <w:rsid w:val="00042539"/>
    <w:rsid w:val="00042832"/>
    <w:rsid w:val="00042FF3"/>
    <w:rsid w:val="00043019"/>
    <w:rsid w:val="00043617"/>
    <w:rsid w:val="00043C5A"/>
    <w:rsid w:val="0004405F"/>
    <w:rsid w:val="00050A95"/>
    <w:rsid w:val="000513FB"/>
    <w:rsid w:val="000517E4"/>
    <w:rsid w:val="00051816"/>
    <w:rsid w:val="00051970"/>
    <w:rsid w:val="0005373C"/>
    <w:rsid w:val="00053B4B"/>
    <w:rsid w:val="00053EA9"/>
    <w:rsid w:val="00055A73"/>
    <w:rsid w:val="00057D44"/>
    <w:rsid w:val="0006024A"/>
    <w:rsid w:val="0006056E"/>
    <w:rsid w:val="0006192A"/>
    <w:rsid w:val="00062EDA"/>
    <w:rsid w:val="0006389D"/>
    <w:rsid w:val="000642C9"/>
    <w:rsid w:val="00064645"/>
    <w:rsid w:val="000662CA"/>
    <w:rsid w:val="00066CE9"/>
    <w:rsid w:val="0007112F"/>
    <w:rsid w:val="0007135E"/>
    <w:rsid w:val="00071430"/>
    <w:rsid w:val="000718A0"/>
    <w:rsid w:val="000741B7"/>
    <w:rsid w:val="0007572D"/>
    <w:rsid w:val="00075EE7"/>
    <w:rsid w:val="0007678F"/>
    <w:rsid w:val="000804DC"/>
    <w:rsid w:val="00080A0F"/>
    <w:rsid w:val="00082273"/>
    <w:rsid w:val="00082F3A"/>
    <w:rsid w:val="00083732"/>
    <w:rsid w:val="00087884"/>
    <w:rsid w:val="00093D70"/>
    <w:rsid w:val="000953CD"/>
    <w:rsid w:val="00096E47"/>
    <w:rsid w:val="000972CA"/>
    <w:rsid w:val="000979F8"/>
    <w:rsid w:val="000A02F1"/>
    <w:rsid w:val="000A087D"/>
    <w:rsid w:val="000A0A68"/>
    <w:rsid w:val="000A1037"/>
    <w:rsid w:val="000A1832"/>
    <w:rsid w:val="000A240C"/>
    <w:rsid w:val="000A4027"/>
    <w:rsid w:val="000A4A5B"/>
    <w:rsid w:val="000A501E"/>
    <w:rsid w:val="000B24F7"/>
    <w:rsid w:val="000B5732"/>
    <w:rsid w:val="000B6EC1"/>
    <w:rsid w:val="000C0ADE"/>
    <w:rsid w:val="000C0BE9"/>
    <w:rsid w:val="000C19EF"/>
    <w:rsid w:val="000C2031"/>
    <w:rsid w:val="000C526E"/>
    <w:rsid w:val="000C6807"/>
    <w:rsid w:val="000C7971"/>
    <w:rsid w:val="000C7F8C"/>
    <w:rsid w:val="000D0F6D"/>
    <w:rsid w:val="000D1173"/>
    <w:rsid w:val="000D144C"/>
    <w:rsid w:val="000D20DC"/>
    <w:rsid w:val="000D3191"/>
    <w:rsid w:val="000D5A27"/>
    <w:rsid w:val="000D5D0B"/>
    <w:rsid w:val="000D6BAB"/>
    <w:rsid w:val="000E008A"/>
    <w:rsid w:val="000E0577"/>
    <w:rsid w:val="000E3E2E"/>
    <w:rsid w:val="000E4459"/>
    <w:rsid w:val="000E603F"/>
    <w:rsid w:val="000F135D"/>
    <w:rsid w:val="000F5FA2"/>
    <w:rsid w:val="000F6A9B"/>
    <w:rsid w:val="000F6DD3"/>
    <w:rsid w:val="000F6EDC"/>
    <w:rsid w:val="000F71BD"/>
    <w:rsid w:val="000F7E85"/>
    <w:rsid w:val="0010014D"/>
    <w:rsid w:val="001013E5"/>
    <w:rsid w:val="00101B37"/>
    <w:rsid w:val="00104264"/>
    <w:rsid w:val="001054D1"/>
    <w:rsid w:val="001059B9"/>
    <w:rsid w:val="00105FA3"/>
    <w:rsid w:val="00106A2A"/>
    <w:rsid w:val="001128C0"/>
    <w:rsid w:val="00117BC8"/>
    <w:rsid w:val="001223AC"/>
    <w:rsid w:val="001226CD"/>
    <w:rsid w:val="0012376A"/>
    <w:rsid w:val="00125831"/>
    <w:rsid w:val="00126594"/>
    <w:rsid w:val="001275B9"/>
    <w:rsid w:val="0013060B"/>
    <w:rsid w:val="0013259A"/>
    <w:rsid w:val="001337EB"/>
    <w:rsid w:val="00133914"/>
    <w:rsid w:val="00133B5C"/>
    <w:rsid w:val="00133FB3"/>
    <w:rsid w:val="0013473D"/>
    <w:rsid w:val="00135BAB"/>
    <w:rsid w:val="0013711A"/>
    <w:rsid w:val="001400D2"/>
    <w:rsid w:val="00140892"/>
    <w:rsid w:val="00142D27"/>
    <w:rsid w:val="001438D4"/>
    <w:rsid w:val="00144AB1"/>
    <w:rsid w:val="00145B4D"/>
    <w:rsid w:val="00147F7D"/>
    <w:rsid w:val="00152849"/>
    <w:rsid w:val="00156089"/>
    <w:rsid w:val="001568E0"/>
    <w:rsid w:val="00157745"/>
    <w:rsid w:val="00161582"/>
    <w:rsid w:val="00161BFC"/>
    <w:rsid w:val="00163ABC"/>
    <w:rsid w:val="00163E33"/>
    <w:rsid w:val="00165C48"/>
    <w:rsid w:val="001668D2"/>
    <w:rsid w:val="00167452"/>
    <w:rsid w:val="00167E02"/>
    <w:rsid w:val="001730D9"/>
    <w:rsid w:val="00173A13"/>
    <w:rsid w:val="00180DC0"/>
    <w:rsid w:val="0018257B"/>
    <w:rsid w:val="0018485E"/>
    <w:rsid w:val="001851A8"/>
    <w:rsid w:val="00185A86"/>
    <w:rsid w:val="00186894"/>
    <w:rsid w:val="00187596"/>
    <w:rsid w:val="001925DA"/>
    <w:rsid w:val="00192AB4"/>
    <w:rsid w:val="00195C00"/>
    <w:rsid w:val="00196B28"/>
    <w:rsid w:val="00196B2C"/>
    <w:rsid w:val="001A0DD8"/>
    <w:rsid w:val="001A2062"/>
    <w:rsid w:val="001A290F"/>
    <w:rsid w:val="001A5CD5"/>
    <w:rsid w:val="001A6034"/>
    <w:rsid w:val="001A6B3B"/>
    <w:rsid w:val="001A7618"/>
    <w:rsid w:val="001B0BC0"/>
    <w:rsid w:val="001B2518"/>
    <w:rsid w:val="001B2EB7"/>
    <w:rsid w:val="001B3177"/>
    <w:rsid w:val="001B581D"/>
    <w:rsid w:val="001B70FC"/>
    <w:rsid w:val="001C0323"/>
    <w:rsid w:val="001C0BBF"/>
    <w:rsid w:val="001C44AD"/>
    <w:rsid w:val="001C4884"/>
    <w:rsid w:val="001C4F24"/>
    <w:rsid w:val="001C672F"/>
    <w:rsid w:val="001C7660"/>
    <w:rsid w:val="001D191F"/>
    <w:rsid w:val="001D29E6"/>
    <w:rsid w:val="001D4F74"/>
    <w:rsid w:val="001D63CB"/>
    <w:rsid w:val="001E4D03"/>
    <w:rsid w:val="001E5077"/>
    <w:rsid w:val="001E558F"/>
    <w:rsid w:val="001E7B30"/>
    <w:rsid w:val="001F06F8"/>
    <w:rsid w:val="001F3199"/>
    <w:rsid w:val="001F36BF"/>
    <w:rsid w:val="001F3CC3"/>
    <w:rsid w:val="001F46A7"/>
    <w:rsid w:val="00203988"/>
    <w:rsid w:val="00206AA5"/>
    <w:rsid w:val="002074DD"/>
    <w:rsid w:val="0021069D"/>
    <w:rsid w:val="00214ED6"/>
    <w:rsid w:val="0021689E"/>
    <w:rsid w:val="002174C9"/>
    <w:rsid w:val="002205EE"/>
    <w:rsid w:val="002210EA"/>
    <w:rsid w:val="00221324"/>
    <w:rsid w:val="0022150C"/>
    <w:rsid w:val="00223E6B"/>
    <w:rsid w:val="00225F99"/>
    <w:rsid w:val="00227D66"/>
    <w:rsid w:val="002304E3"/>
    <w:rsid w:val="00230B1D"/>
    <w:rsid w:val="002349B4"/>
    <w:rsid w:val="002364E9"/>
    <w:rsid w:val="00243469"/>
    <w:rsid w:val="00243EA4"/>
    <w:rsid w:val="00244208"/>
    <w:rsid w:val="0024432B"/>
    <w:rsid w:val="00245452"/>
    <w:rsid w:val="002461A7"/>
    <w:rsid w:val="002533A4"/>
    <w:rsid w:val="00253A30"/>
    <w:rsid w:val="00253C18"/>
    <w:rsid w:val="00254F84"/>
    <w:rsid w:val="002551C0"/>
    <w:rsid w:val="00256F45"/>
    <w:rsid w:val="00257F8C"/>
    <w:rsid w:val="00260FB9"/>
    <w:rsid w:val="00264157"/>
    <w:rsid w:val="00265A68"/>
    <w:rsid w:val="002700BE"/>
    <w:rsid w:val="002706D9"/>
    <w:rsid w:val="0027260D"/>
    <w:rsid w:val="00274515"/>
    <w:rsid w:val="00274712"/>
    <w:rsid w:val="00274D7F"/>
    <w:rsid w:val="002751BE"/>
    <w:rsid w:val="0027562E"/>
    <w:rsid w:val="00276A37"/>
    <w:rsid w:val="00277C9D"/>
    <w:rsid w:val="00281123"/>
    <w:rsid w:val="00282D5E"/>
    <w:rsid w:val="00284A09"/>
    <w:rsid w:val="0029082A"/>
    <w:rsid w:val="00291C00"/>
    <w:rsid w:val="00292A17"/>
    <w:rsid w:val="0029385F"/>
    <w:rsid w:val="002A0990"/>
    <w:rsid w:val="002A0C0A"/>
    <w:rsid w:val="002A15D9"/>
    <w:rsid w:val="002A2D75"/>
    <w:rsid w:val="002A3EE8"/>
    <w:rsid w:val="002A40EE"/>
    <w:rsid w:val="002A522B"/>
    <w:rsid w:val="002A5F1A"/>
    <w:rsid w:val="002A656A"/>
    <w:rsid w:val="002B0C19"/>
    <w:rsid w:val="002B1060"/>
    <w:rsid w:val="002B2F1C"/>
    <w:rsid w:val="002B3C91"/>
    <w:rsid w:val="002B53DA"/>
    <w:rsid w:val="002B6259"/>
    <w:rsid w:val="002B6F85"/>
    <w:rsid w:val="002C02BD"/>
    <w:rsid w:val="002C2C7D"/>
    <w:rsid w:val="002C35D6"/>
    <w:rsid w:val="002C4239"/>
    <w:rsid w:val="002C4FA9"/>
    <w:rsid w:val="002C54D3"/>
    <w:rsid w:val="002D104E"/>
    <w:rsid w:val="002D16E8"/>
    <w:rsid w:val="002D1C99"/>
    <w:rsid w:val="002D586C"/>
    <w:rsid w:val="002D7529"/>
    <w:rsid w:val="002E1242"/>
    <w:rsid w:val="002E2448"/>
    <w:rsid w:val="002E284B"/>
    <w:rsid w:val="002E2C1D"/>
    <w:rsid w:val="002E3A07"/>
    <w:rsid w:val="002E42A6"/>
    <w:rsid w:val="002E4FF1"/>
    <w:rsid w:val="002E5B41"/>
    <w:rsid w:val="002F137B"/>
    <w:rsid w:val="002F3933"/>
    <w:rsid w:val="002F7AAF"/>
    <w:rsid w:val="0030033C"/>
    <w:rsid w:val="00300380"/>
    <w:rsid w:val="0030361D"/>
    <w:rsid w:val="00303941"/>
    <w:rsid w:val="0030632D"/>
    <w:rsid w:val="00306DCC"/>
    <w:rsid w:val="00307364"/>
    <w:rsid w:val="0030776D"/>
    <w:rsid w:val="00311E5C"/>
    <w:rsid w:val="00311F86"/>
    <w:rsid w:val="00312D8C"/>
    <w:rsid w:val="003152A2"/>
    <w:rsid w:val="0031549D"/>
    <w:rsid w:val="00316ABE"/>
    <w:rsid w:val="00316E18"/>
    <w:rsid w:val="00317075"/>
    <w:rsid w:val="003204DA"/>
    <w:rsid w:val="00321E54"/>
    <w:rsid w:val="00324D16"/>
    <w:rsid w:val="0033094A"/>
    <w:rsid w:val="00331B2E"/>
    <w:rsid w:val="00333084"/>
    <w:rsid w:val="00333EF1"/>
    <w:rsid w:val="00334394"/>
    <w:rsid w:val="00335FC1"/>
    <w:rsid w:val="00336561"/>
    <w:rsid w:val="00336F5C"/>
    <w:rsid w:val="003371E3"/>
    <w:rsid w:val="003415F6"/>
    <w:rsid w:val="003419D3"/>
    <w:rsid w:val="0034460D"/>
    <w:rsid w:val="00344E41"/>
    <w:rsid w:val="003506C4"/>
    <w:rsid w:val="00353281"/>
    <w:rsid w:val="003556ED"/>
    <w:rsid w:val="0035710D"/>
    <w:rsid w:val="003573FA"/>
    <w:rsid w:val="003574A8"/>
    <w:rsid w:val="00357F93"/>
    <w:rsid w:val="0036150C"/>
    <w:rsid w:val="00362FED"/>
    <w:rsid w:val="00363AE8"/>
    <w:rsid w:val="00363F66"/>
    <w:rsid w:val="00364CED"/>
    <w:rsid w:val="00372223"/>
    <w:rsid w:val="003737C1"/>
    <w:rsid w:val="003752FC"/>
    <w:rsid w:val="003760CE"/>
    <w:rsid w:val="003766E8"/>
    <w:rsid w:val="00376975"/>
    <w:rsid w:val="0037717F"/>
    <w:rsid w:val="003815A0"/>
    <w:rsid w:val="00381BDB"/>
    <w:rsid w:val="003822E7"/>
    <w:rsid w:val="003874EE"/>
    <w:rsid w:val="0039211A"/>
    <w:rsid w:val="003928C4"/>
    <w:rsid w:val="00393CCB"/>
    <w:rsid w:val="00394447"/>
    <w:rsid w:val="00394631"/>
    <w:rsid w:val="00394D75"/>
    <w:rsid w:val="003A097D"/>
    <w:rsid w:val="003A22FD"/>
    <w:rsid w:val="003A2BBC"/>
    <w:rsid w:val="003A2E71"/>
    <w:rsid w:val="003A4A49"/>
    <w:rsid w:val="003A784D"/>
    <w:rsid w:val="003A7B4E"/>
    <w:rsid w:val="003B0983"/>
    <w:rsid w:val="003B1048"/>
    <w:rsid w:val="003B409C"/>
    <w:rsid w:val="003B448B"/>
    <w:rsid w:val="003B471A"/>
    <w:rsid w:val="003B4E6B"/>
    <w:rsid w:val="003B53FC"/>
    <w:rsid w:val="003B5F5B"/>
    <w:rsid w:val="003B7E56"/>
    <w:rsid w:val="003B7EBC"/>
    <w:rsid w:val="003B7FA4"/>
    <w:rsid w:val="003C09FE"/>
    <w:rsid w:val="003C0F85"/>
    <w:rsid w:val="003C1527"/>
    <w:rsid w:val="003C35FA"/>
    <w:rsid w:val="003C3A8F"/>
    <w:rsid w:val="003C554D"/>
    <w:rsid w:val="003C6905"/>
    <w:rsid w:val="003C6C31"/>
    <w:rsid w:val="003C713C"/>
    <w:rsid w:val="003D0AA5"/>
    <w:rsid w:val="003D14D2"/>
    <w:rsid w:val="003D2140"/>
    <w:rsid w:val="003D32AE"/>
    <w:rsid w:val="003D4E9B"/>
    <w:rsid w:val="003D4EC3"/>
    <w:rsid w:val="003D6BB1"/>
    <w:rsid w:val="003D7C79"/>
    <w:rsid w:val="003E002E"/>
    <w:rsid w:val="003E0140"/>
    <w:rsid w:val="003E0E3E"/>
    <w:rsid w:val="003E16B8"/>
    <w:rsid w:val="003E3B6A"/>
    <w:rsid w:val="003E6668"/>
    <w:rsid w:val="003E7D78"/>
    <w:rsid w:val="003E7EAA"/>
    <w:rsid w:val="003F03BD"/>
    <w:rsid w:val="003F0401"/>
    <w:rsid w:val="003F1E0D"/>
    <w:rsid w:val="003F2A2E"/>
    <w:rsid w:val="003F372E"/>
    <w:rsid w:val="003F3985"/>
    <w:rsid w:val="003F4066"/>
    <w:rsid w:val="003F45BF"/>
    <w:rsid w:val="003F54E2"/>
    <w:rsid w:val="003F63D6"/>
    <w:rsid w:val="003F659D"/>
    <w:rsid w:val="004006B3"/>
    <w:rsid w:val="00401911"/>
    <w:rsid w:val="004074F9"/>
    <w:rsid w:val="00410234"/>
    <w:rsid w:val="00410A1E"/>
    <w:rsid w:val="0041246B"/>
    <w:rsid w:val="00412793"/>
    <w:rsid w:val="004129D9"/>
    <w:rsid w:val="00413646"/>
    <w:rsid w:val="00413BF8"/>
    <w:rsid w:val="004141BC"/>
    <w:rsid w:val="0041472D"/>
    <w:rsid w:val="00416F71"/>
    <w:rsid w:val="00421E33"/>
    <w:rsid w:val="00422056"/>
    <w:rsid w:val="00422168"/>
    <w:rsid w:val="0042595E"/>
    <w:rsid w:val="004266F1"/>
    <w:rsid w:val="00427CCC"/>
    <w:rsid w:val="0043155A"/>
    <w:rsid w:val="0043164F"/>
    <w:rsid w:val="00432BAD"/>
    <w:rsid w:val="004413FA"/>
    <w:rsid w:val="00442BFD"/>
    <w:rsid w:val="004460F9"/>
    <w:rsid w:val="0044614D"/>
    <w:rsid w:val="00446559"/>
    <w:rsid w:val="0044736E"/>
    <w:rsid w:val="0044742D"/>
    <w:rsid w:val="00450E16"/>
    <w:rsid w:val="004525FC"/>
    <w:rsid w:val="00453676"/>
    <w:rsid w:val="0045452E"/>
    <w:rsid w:val="00455BDC"/>
    <w:rsid w:val="0046119D"/>
    <w:rsid w:val="00462B6B"/>
    <w:rsid w:val="00463EB9"/>
    <w:rsid w:val="00464021"/>
    <w:rsid w:val="0046453F"/>
    <w:rsid w:val="00467D54"/>
    <w:rsid w:val="004729B3"/>
    <w:rsid w:val="00475C7C"/>
    <w:rsid w:val="004768D5"/>
    <w:rsid w:val="00480F38"/>
    <w:rsid w:val="00481454"/>
    <w:rsid w:val="004814B8"/>
    <w:rsid w:val="00482AC5"/>
    <w:rsid w:val="004830F1"/>
    <w:rsid w:val="0048498F"/>
    <w:rsid w:val="004867B4"/>
    <w:rsid w:val="004876E3"/>
    <w:rsid w:val="004906A4"/>
    <w:rsid w:val="0049105E"/>
    <w:rsid w:val="00492075"/>
    <w:rsid w:val="004923AD"/>
    <w:rsid w:val="004A07E6"/>
    <w:rsid w:val="004A0C93"/>
    <w:rsid w:val="004A0F58"/>
    <w:rsid w:val="004A243C"/>
    <w:rsid w:val="004A24FB"/>
    <w:rsid w:val="004A44C2"/>
    <w:rsid w:val="004A506E"/>
    <w:rsid w:val="004A6D50"/>
    <w:rsid w:val="004A725A"/>
    <w:rsid w:val="004B1568"/>
    <w:rsid w:val="004B3AD3"/>
    <w:rsid w:val="004B5E59"/>
    <w:rsid w:val="004B6C12"/>
    <w:rsid w:val="004C07D2"/>
    <w:rsid w:val="004C0938"/>
    <w:rsid w:val="004C0A84"/>
    <w:rsid w:val="004C0C81"/>
    <w:rsid w:val="004C15BA"/>
    <w:rsid w:val="004C3423"/>
    <w:rsid w:val="004C47FD"/>
    <w:rsid w:val="004C7448"/>
    <w:rsid w:val="004C761D"/>
    <w:rsid w:val="004D10E1"/>
    <w:rsid w:val="004D2E7F"/>
    <w:rsid w:val="004D48A2"/>
    <w:rsid w:val="004D4EB4"/>
    <w:rsid w:val="004D5E91"/>
    <w:rsid w:val="004D6439"/>
    <w:rsid w:val="004D6BE8"/>
    <w:rsid w:val="004D71ED"/>
    <w:rsid w:val="004D7840"/>
    <w:rsid w:val="004E215A"/>
    <w:rsid w:val="004E342B"/>
    <w:rsid w:val="004E38E3"/>
    <w:rsid w:val="004E3AA3"/>
    <w:rsid w:val="004E4FDD"/>
    <w:rsid w:val="004F0C2F"/>
    <w:rsid w:val="004F35F5"/>
    <w:rsid w:val="004F4333"/>
    <w:rsid w:val="004F5A31"/>
    <w:rsid w:val="004F6E8D"/>
    <w:rsid w:val="004F79D6"/>
    <w:rsid w:val="004F7CFA"/>
    <w:rsid w:val="005010C8"/>
    <w:rsid w:val="00502041"/>
    <w:rsid w:val="0050450A"/>
    <w:rsid w:val="00504860"/>
    <w:rsid w:val="0050509A"/>
    <w:rsid w:val="00506080"/>
    <w:rsid w:val="005071D3"/>
    <w:rsid w:val="005100B1"/>
    <w:rsid w:val="00515BD3"/>
    <w:rsid w:val="00515C7B"/>
    <w:rsid w:val="00515EDF"/>
    <w:rsid w:val="00516A87"/>
    <w:rsid w:val="005176BB"/>
    <w:rsid w:val="0052138F"/>
    <w:rsid w:val="00521A66"/>
    <w:rsid w:val="005222C8"/>
    <w:rsid w:val="00524947"/>
    <w:rsid w:val="00530C64"/>
    <w:rsid w:val="00532F97"/>
    <w:rsid w:val="00533F68"/>
    <w:rsid w:val="00534C4C"/>
    <w:rsid w:val="00535CDE"/>
    <w:rsid w:val="0053760A"/>
    <w:rsid w:val="00537EA8"/>
    <w:rsid w:val="0054102D"/>
    <w:rsid w:val="00541A3A"/>
    <w:rsid w:val="005430BA"/>
    <w:rsid w:val="00545028"/>
    <w:rsid w:val="00545E87"/>
    <w:rsid w:val="00545F31"/>
    <w:rsid w:val="00547488"/>
    <w:rsid w:val="005477DC"/>
    <w:rsid w:val="00547DC5"/>
    <w:rsid w:val="00551344"/>
    <w:rsid w:val="0055189F"/>
    <w:rsid w:val="005552E2"/>
    <w:rsid w:val="00555751"/>
    <w:rsid w:val="00556B69"/>
    <w:rsid w:val="00556C4C"/>
    <w:rsid w:val="00557FF0"/>
    <w:rsid w:val="0056027B"/>
    <w:rsid w:val="005610CE"/>
    <w:rsid w:val="005636A9"/>
    <w:rsid w:val="00563C06"/>
    <w:rsid w:val="00563C13"/>
    <w:rsid w:val="00564374"/>
    <w:rsid w:val="00571F6C"/>
    <w:rsid w:val="00572E7D"/>
    <w:rsid w:val="00573879"/>
    <w:rsid w:val="00576C5F"/>
    <w:rsid w:val="005775FA"/>
    <w:rsid w:val="0058076E"/>
    <w:rsid w:val="00581317"/>
    <w:rsid w:val="00581D37"/>
    <w:rsid w:val="00582C79"/>
    <w:rsid w:val="005831AF"/>
    <w:rsid w:val="005833DE"/>
    <w:rsid w:val="00585230"/>
    <w:rsid w:val="005877FF"/>
    <w:rsid w:val="00592019"/>
    <w:rsid w:val="00592D7F"/>
    <w:rsid w:val="00594A77"/>
    <w:rsid w:val="00597D54"/>
    <w:rsid w:val="005A5E4E"/>
    <w:rsid w:val="005A67BB"/>
    <w:rsid w:val="005B00EA"/>
    <w:rsid w:val="005B350B"/>
    <w:rsid w:val="005B5DA1"/>
    <w:rsid w:val="005B69A5"/>
    <w:rsid w:val="005C0420"/>
    <w:rsid w:val="005C45B4"/>
    <w:rsid w:val="005C64B7"/>
    <w:rsid w:val="005D1DEC"/>
    <w:rsid w:val="005D4B3C"/>
    <w:rsid w:val="005E0F0D"/>
    <w:rsid w:val="005E1808"/>
    <w:rsid w:val="005E5B05"/>
    <w:rsid w:val="005E5F34"/>
    <w:rsid w:val="005E7AB9"/>
    <w:rsid w:val="005F08FD"/>
    <w:rsid w:val="005F1607"/>
    <w:rsid w:val="005F419B"/>
    <w:rsid w:val="005F4528"/>
    <w:rsid w:val="005F5403"/>
    <w:rsid w:val="005F61B4"/>
    <w:rsid w:val="005F63E6"/>
    <w:rsid w:val="005F6B4C"/>
    <w:rsid w:val="006016A5"/>
    <w:rsid w:val="00601D1E"/>
    <w:rsid w:val="00602D3F"/>
    <w:rsid w:val="006033CC"/>
    <w:rsid w:val="006038A2"/>
    <w:rsid w:val="00605FDD"/>
    <w:rsid w:val="0061074B"/>
    <w:rsid w:val="006110D0"/>
    <w:rsid w:val="00611750"/>
    <w:rsid w:val="006125F7"/>
    <w:rsid w:val="00612A30"/>
    <w:rsid w:val="00612A85"/>
    <w:rsid w:val="00612ADE"/>
    <w:rsid w:val="00614D9B"/>
    <w:rsid w:val="006159F4"/>
    <w:rsid w:val="0061758A"/>
    <w:rsid w:val="00625464"/>
    <w:rsid w:val="006259AE"/>
    <w:rsid w:val="00626157"/>
    <w:rsid w:val="006310E7"/>
    <w:rsid w:val="006338E7"/>
    <w:rsid w:val="00633C1B"/>
    <w:rsid w:val="006358ED"/>
    <w:rsid w:val="00635905"/>
    <w:rsid w:val="00636FD1"/>
    <w:rsid w:val="006374C9"/>
    <w:rsid w:val="00644F26"/>
    <w:rsid w:val="0064545A"/>
    <w:rsid w:val="006454FE"/>
    <w:rsid w:val="0064610A"/>
    <w:rsid w:val="00647F71"/>
    <w:rsid w:val="00650508"/>
    <w:rsid w:val="00650BF5"/>
    <w:rsid w:val="00651769"/>
    <w:rsid w:val="00653181"/>
    <w:rsid w:val="006539FA"/>
    <w:rsid w:val="006551CF"/>
    <w:rsid w:val="00655242"/>
    <w:rsid w:val="0065547E"/>
    <w:rsid w:val="0065548E"/>
    <w:rsid w:val="006576C4"/>
    <w:rsid w:val="006600D8"/>
    <w:rsid w:val="006630EA"/>
    <w:rsid w:val="0066412C"/>
    <w:rsid w:val="00670B1A"/>
    <w:rsid w:val="0067169E"/>
    <w:rsid w:val="0067177A"/>
    <w:rsid w:val="006718AB"/>
    <w:rsid w:val="00671DED"/>
    <w:rsid w:val="00672976"/>
    <w:rsid w:val="00672A88"/>
    <w:rsid w:val="00674BFF"/>
    <w:rsid w:val="0067503D"/>
    <w:rsid w:val="00676049"/>
    <w:rsid w:val="00677F80"/>
    <w:rsid w:val="0068173F"/>
    <w:rsid w:val="00685E57"/>
    <w:rsid w:val="0068671D"/>
    <w:rsid w:val="006902A2"/>
    <w:rsid w:val="00690FFD"/>
    <w:rsid w:val="00691A71"/>
    <w:rsid w:val="00691C41"/>
    <w:rsid w:val="00691CB7"/>
    <w:rsid w:val="0069310C"/>
    <w:rsid w:val="0069357A"/>
    <w:rsid w:val="006967C4"/>
    <w:rsid w:val="00697920"/>
    <w:rsid w:val="006A0488"/>
    <w:rsid w:val="006A1983"/>
    <w:rsid w:val="006A45D9"/>
    <w:rsid w:val="006A54E6"/>
    <w:rsid w:val="006A5E30"/>
    <w:rsid w:val="006A62EB"/>
    <w:rsid w:val="006B1E0A"/>
    <w:rsid w:val="006B3A6A"/>
    <w:rsid w:val="006B4A32"/>
    <w:rsid w:val="006B654A"/>
    <w:rsid w:val="006C0025"/>
    <w:rsid w:val="006C008B"/>
    <w:rsid w:val="006C2617"/>
    <w:rsid w:val="006C68C2"/>
    <w:rsid w:val="006C7A53"/>
    <w:rsid w:val="006C7D21"/>
    <w:rsid w:val="006D0CAF"/>
    <w:rsid w:val="006D0EA9"/>
    <w:rsid w:val="006D1225"/>
    <w:rsid w:val="006D1E3C"/>
    <w:rsid w:val="006D24CC"/>
    <w:rsid w:val="006D502A"/>
    <w:rsid w:val="006D57B8"/>
    <w:rsid w:val="006D589E"/>
    <w:rsid w:val="006D5D5C"/>
    <w:rsid w:val="006E1F86"/>
    <w:rsid w:val="006E4159"/>
    <w:rsid w:val="006E450F"/>
    <w:rsid w:val="006E4822"/>
    <w:rsid w:val="006E5FB9"/>
    <w:rsid w:val="006E604F"/>
    <w:rsid w:val="006E7F0A"/>
    <w:rsid w:val="006E7F42"/>
    <w:rsid w:val="006F156D"/>
    <w:rsid w:val="006F2AB3"/>
    <w:rsid w:val="006F390D"/>
    <w:rsid w:val="006F3E26"/>
    <w:rsid w:val="006F4225"/>
    <w:rsid w:val="006F4E59"/>
    <w:rsid w:val="006F63B7"/>
    <w:rsid w:val="006F73E0"/>
    <w:rsid w:val="006F7640"/>
    <w:rsid w:val="007009BB"/>
    <w:rsid w:val="00700EAD"/>
    <w:rsid w:val="00701455"/>
    <w:rsid w:val="007016B8"/>
    <w:rsid w:val="00702DEA"/>
    <w:rsid w:val="00704452"/>
    <w:rsid w:val="00705B61"/>
    <w:rsid w:val="0071742B"/>
    <w:rsid w:val="0071753B"/>
    <w:rsid w:val="00717DDE"/>
    <w:rsid w:val="00720E34"/>
    <w:rsid w:val="00721FCB"/>
    <w:rsid w:val="00723612"/>
    <w:rsid w:val="00724091"/>
    <w:rsid w:val="00726D98"/>
    <w:rsid w:val="00730209"/>
    <w:rsid w:val="007307FC"/>
    <w:rsid w:val="00732DF7"/>
    <w:rsid w:val="007339EB"/>
    <w:rsid w:val="007339F6"/>
    <w:rsid w:val="0073487D"/>
    <w:rsid w:val="007354DD"/>
    <w:rsid w:val="00736920"/>
    <w:rsid w:val="00736E2F"/>
    <w:rsid w:val="0073723C"/>
    <w:rsid w:val="0074346A"/>
    <w:rsid w:val="007452AF"/>
    <w:rsid w:val="00745576"/>
    <w:rsid w:val="00747E64"/>
    <w:rsid w:val="00750742"/>
    <w:rsid w:val="0075133E"/>
    <w:rsid w:val="00757FA2"/>
    <w:rsid w:val="0076005F"/>
    <w:rsid w:val="00762663"/>
    <w:rsid w:val="00763AC4"/>
    <w:rsid w:val="00765492"/>
    <w:rsid w:val="007654C0"/>
    <w:rsid w:val="00766C5F"/>
    <w:rsid w:val="0076717F"/>
    <w:rsid w:val="00767783"/>
    <w:rsid w:val="007706A4"/>
    <w:rsid w:val="00770BA1"/>
    <w:rsid w:val="00772378"/>
    <w:rsid w:val="00772AD9"/>
    <w:rsid w:val="00773D9C"/>
    <w:rsid w:val="007748A2"/>
    <w:rsid w:val="00774E39"/>
    <w:rsid w:val="00776098"/>
    <w:rsid w:val="00784B06"/>
    <w:rsid w:val="007862C7"/>
    <w:rsid w:val="00790517"/>
    <w:rsid w:val="00792235"/>
    <w:rsid w:val="0079367F"/>
    <w:rsid w:val="007958A2"/>
    <w:rsid w:val="00796399"/>
    <w:rsid w:val="00796818"/>
    <w:rsid w:val="007A1FD2"/>
    <w:rsid w:val="007A205A"/>
    <w:rsid w:val="007A2BF4"/>
    <w:rsid w:val="007A2F82"/>
    <w:rsid w:val="007A4AAF"/>
    <w:rsid w:val="007A513C"/>
    <w:rsid w:val="007A6408"/>
    <w:rsid w:val="007A6A95"/>
    <w:rsid w:val="007A7AC6"/>
    <w:rsid w:val="007B0467"/>
    <w:rsid w:val="007B2823"/>
    <w:rsid w:val="007B4753"/>
    <w:rsid w:val="007B6695"/>
    <w:rsid w:val="007B68C4"/>
    <w:rsid w:val="007B72B1"/>
    <w:rsid w:val="007B7729"/>
    <w:rsid w:val="007C0441"/>
    <w:rsid w:val="007C110A"/>
    <w:rsid w:val="007C1342"/>
    <w:rsid w:val="007C1B09"/>
    <w:rsid w:val="007C1EEC"/>
    <w:rsid w:val="007C226D"/>
    <w:rsid w:val="007C24AC"/>
    <w:rsid w:val="007C6C7E"/>
    <w:rsid w:val="007D0AC4"/>
    <w:rsid w:val="007D1B3D"/>
    <w:rsid w:val="007D23B9"/>
    <w:rsid w:val="007D28E3"/>
    <w:rsid w:val="007D317A"/>
    <w:rsid w:val="007D36B4"/>
    <w:rsid w:val="007D5DB8"/>
    <w:rsid w:val="007D680A"/>
    <w:rsid w:val="007E09DA"/>
    <w:rsid w:val="007E1A46"/>
    <w:rsid w:val="007E6666"/>
    <w:rsid w:val="007E6DDD"/>
    <w:rsid w:val="007F1B6D"/>
    <w:rsid w:val="007F2B70"/>
    <w:rsid w:val="007F395C"/>
    <w:rsid w:val="007F441C"/>
    <w:rsid w:val="007F5F2A"/>
    <w:rsid w:val="007F74C3"/>
    <w:rsid w:val="0080003D"/>
    <w:rsid w:val="0080073C"/>
    <w:rsid w:val="00800BC0"/>
    <w:rsid w:val="00801029"/>
    <w:rsid w:val="0080127B"/>
    <w:rsid w:val="00802762"/>
    <w:rsid w:val="00803129"/>
    <w:rsid w:val="00804544"/>
    <w:rsid w:val="0080711E"/>
    <w:rsid w:val="00810147"/>
    <w:rsid w:val="008110F2"/>
    <w:rsid w:val="008113FF"/>
    <w:rsid w:val="00812F98"/>
    <w:rsid w:val="008138CB"/>
    <w:rsid w:val="0081393E"/>
    <w:rsid w:val="00813C50"/>
    <w:rsid w:val="00813DCD"/>
    <w:rsid w:val="0081634A"/>
    <w:rsid w:val="008214E5"/>
    <w:rsid w:val="00822E58"/>
    <w:rsid w:val="0082416E"/>
    <w:rsid w:val="00824CCB"/>
    <w:rsid w:val="008253F7"/>
    <w:rsid w:val="00832261"/>
    <w:rsid w:val="008331F8"/>
    <w:rsid w:val="00835A23"/>
    <w:rsid w:val="00835F5B"/>
    <w:rsid w:val="0083711C"/>
    <w:rsid w:val="0083773E"/>
    <w:rsid w:val="008407A2"/>
    <w:rsid w:val="00841374"/>
    <w:rsid w:val="008438B7"/>
    <w:rsid w:val="00846AB2"/>
    <w:rsid w:val="00847959"/>
    <w:rsid w:val="00851202"/>
    <w:rsid w:val="008526FC"/>
    <w:rsid w:val="00853479"/>
    <w:rsid w:val="00853839"/>
    <w:rsid w:val="00853FA1"/>
    <w:rsid w:val="00854C09"/>
    <w:rsid w:val="00855564"/>
    <w:rsid w:val="00856865"/>
    <w:rsid w:val="008568B4"/>
    <w:rsid w:val="00857C6D"/>
    <w:rsid w:val="008606F1"/>
    <w:rsid w:val="00861066"/>
    <w:rsid w:val="0086399C"/>
    <w:rsid w:val="008646EE"/>
    <w:rsid w:val="008656C1"/>
    <w:rsid w:val="00866659"/>
    <w:rsid w:val="00870DFF"/>
    <w:rsid w:val="00872161"/>
    <w:rsid w:val="00873799"/>
    <w:rsid w:val="00873C3B"/>
    <w:rsid w:val="008740E7"/>
    <w:rsid w:val="00875FA1"/>
    <w:rsid w:val="00876B13"/>
    <w:rsid w:val="00877066"/>
    <w:rsid w:val="008801CF"/>
    <w:rsid w:val="008801F5"/>
    <w:rsid w:val="00881584"/>
    <w:rsid w:val="00882468"/>
    <w:rsid w:val="00882A85"/>
    <w:rsid w:val="00885073"/>
    <w:rsid w:val="008863A7"/>
    <w:rsid w:val="00891601"/>
    <w:rsid w:val="008A04A0"/>
    <w:rsid w:val="008A0CDC"/>
    <w:rsid w:val="008A100A"/>
    <w:rsid w:val="008B02C1"/>
    <w:rsid w:val="008B3A6F"/>
    <w:rsid w:val="008B4E5A"/>
    <w:rsid w:val="008B5138"/>
    <w:rsid w:val="008B59FC"/>
    <w:rsid w:val="008C0B8E"/>
    <w:rsid w:val="008C2F0C"/>
    <w:rsid w:val="008C6B05"/>
    <w:rsid w:val="008C6D51"/>
    <w:rsid w:val="008C76F5"/>
    <w:rsid w:val="008D022A"/>
    <w:rsid w:val="008D1211"/>
    <w:rsid w:val="008D20D6"/>
    <w:rsid w:val="008D231B"/>
    <w:rsid w:val="008D3116"/>
    <w:rsid w:val="008D5C55"/>
    <w:rsid w:val="008D759D"/>
    <w:rsid w:val="008D7F81"/>
    <w:rsid w:val="008E1434"/>
    <w:rsid w:val="008E4F6A"/>
    <w:rsid w:val="008E5BA5"/>
    <w:rsid w:val="008F2348"/>
    <w:rsid w:val="008F4AF2"/>
    <w:rsid w:val="008F4DA9"/>
    <w:rsid w:val="008F7D98"/>
    <w:rsid w:val="009002AF"/>
    <w:rsid w:val="009021C0"/>
    <w:rsid w:val="00905226"/>
    <w:rsid w:val="00906577"/>
    <w:rsid w:val="009067F6"/>
    <w:rsid w:val="0091107E"/>
    <w:rsid w:val="00912A19"/>
    <w:rsid w:val="00912AD2"/>
    <w:rsid w:val="00922E5A"/>
    <w:rsid w:val="00924FB2"/>
    <w:rsid w:val="009273EE"/>
    <w:rsid w:val="00927BC1"/>
    <w:rsid w:val="009303F0"/>
    <w:rsid w:val="00930ECC"/>
    <w:rsid w:val="009320B2"/>
    <w:rsid w:val="00932281"/>
    <w:rsid w:val="00934094"/>
    <w:rsid w:val="00935B65"/>
    <w:rsid w:val="00936E16"/>
    <w:rsid w:val="00937F03"/>
    <w:rsid w:val="00940370"/>
    <w:rsid w:val="009446B0"/>
    <w:rsid w:val="00945EF7"/>
    <w:rsid w:val="00946565"/>
    <w:rsid w:val="00951213"/>
    <w:rsid w:val="00952105"/>
    <w:rsid w:val="00956626"/>
    <w:rsid w:val="00956D59"/>
    <w:rsid w:val="00961130"/>
    <w:rsid w:val="00962F63"/>
    <w:rsid w:val="00963BA5"/>
    <w:rsid w:val="00963DD9"/>
    <w:rsid w:val="0096616B"/>
    <w:rsid w:val="009676CB"/>
    <w:rsid w:val="0097044A"/>
    <w:rsid w:val="00971BFB"/>
    <w:rsid w:val="00972D3A"/>
    <w:rsid w:val="00973280"/>
    <w:rsid w:val="00973317"/>
    <w:rsid w:val="009738F8"/>
    <w:rsid w:val="00975059"/>
    <w:rsid w:val="00975D47"/>
    <w:rsid w:val="00975F32"/>
    <w:rsid w:val="00981304"/>
    <w:rsid w:val="00982048"/>
    <w:rsid w:val="00982ED9"/>
    <w:rsid w:val="00983D2C"/>
    <w:rsid w:val="00984A41"/>
    <w:rsid w:val="009870E3"/>
    <w:rsid w:val="0098764A"/>
    <w:rsid w:val="00987808"/>
    <w:rsid w:val="00990FC1"/>
    <w:rsid w:val="00991055"/>
    <w:rsid w:val="0099154E"/>
    <w:rsid w:val="0099415E"/>
    <w:rsid w:val="00994191"/>
    <w:rsid w:val="009966EE"/>
    <w:rsid w:val="009973E9"/>
    <w:rsid w:val="009A076D"/>
    <w:rsid w:val="009A3F80"/>
    <w:rsid w:val="009A4E23"/>
    <w:rsid w:val="009A5DEA"/>
    <w:rsid w:val="009A648D"/>
    <w:rsid w:val="009B0826"/>
    <w:rsid w:val="009B24F2"/>
    <w:rsid w:val="009B3806"/>
    <w:rsid w:val="009B3C26"/>
    <w:rsid w:val="009B408B"/>
    <w:rsid w:val="009B5D3C"/>
    <w:rsid w:val="009B7E41"/>
    <w:rsid w:val="009C0E50"/>
    <w:rsid w:val="009C10CA"/>
    <w:rsid w:val="009C5458"/>
    <w:rsid w:val="009C5ABC"/>
    <w:rsid w:val="009D1319"/>
    <w:rsid w:val="009D13EB"/>
    <w:rsid w:val="009D16C1"/>
    <w:rsid w:val="009D199E"/>
    <w:rsid w:val="009D2180"/>
    <w:rsid w:val="009D3A3D"/>
    <w:rsid w:val="009D3DC7"/>
    <w:rsid w:val="009D4112"/>
    <w:rsid w:val="009D4E11"/>
    <w:rsid w:val="009D6005"/>
    <w:rsid w:val="009D6415"/>
    <w:rsid w:val="009D6F25"/>
    <w:rsid w:val="009E2A99"/>
    <w:rsid w:val="009E504A"/>
    <w:rsid w:val="009F05B9"/>
    <w:rsid w:val="009F35BB"/>
    <w:rsid w:val="009F42C0"/>
    <w:rsid w:val="009F55DE"/>
    <w:rsid w:val="009F61D9"/>
    <w:rsid w:val="00A0002F"/>
    <w:rsid w:val="00A00238"/>
    <w:rsid w:val="00A003F4"/>
    <w:rsid w:val="00A020AC"/>
    <w:rsid w:val="00A02A3A"/>
    <w:rsid w:val="00A04B20"/>
    <w:rsid w:val="00A06EA2"/>
    <w:rsid w:val="00A072D9"/>
    <w:rsid w:val="00A077FA"/>
    <w:rsid w:val="00A145DF"/>
    <w:rsid w:val="00A14FE9"/>
    <w:rsid w:val="00A22524"/>
    <w:rsid w:val="00A22627"/>
    <w:rsid w:val="00A23426"/>
    <w:rsid w:val="00A23DAC"/>
    <w:rsid w:val="00A24703"/>
    <w:rsid w:val="00A26626"/>
    <w:rsid w:val="00A30ABF"/>
    <w:rsid w:val="00A31054"/>
    <w:rsid w:val="00A329F5"/>
    <w:rsid w:val="00A34DFA"/>
    <w:rsid w:val="00A35454"/>
    <w:rsid w:val="00A362C7"/>
    <w:rsid w:val="00A40AA2"/>
    <w:rsid w:val="00A4284A"/>
    <w:rsid w:val="00A47634"/>
    <w:rsid w:val="00A477D0"/>
    <w:rsid w:val="00A500B4"/>
    <w:rsid w:val="00A503EC"/>
    <w:rsid w:val="00A50418"/>
    <w:rsid w:val="00A512C4"/>
    <w:rsid w:val="00A5333C"/>
    <w:rsid w:val="00A546B5"/>
    <w:rsid w:val="00A55750"/>
    <w:rsid w:val="00A55895"/>
    <w:rsid w:val="00A56941"/>
    <w:rsid w:val="00A56CDF"/>
    <w:rsid w:val="00A62BF8"/>
    <w:rsid w:val="00A63A97"/>
    <w:rsid w:val="00A67541"/>
    <w:rsid w:val="00A70C09"/>
    <w:rsid w:val="00A71859"/>
    <w:rsid w:val="00A7480D"/>
    <w:rsid w:val="00A75295"/>
    <w:rsid w:val="00A75394"/>
    <w:rsid w:val="00A76F00"/>
    <w:rsid w:val="00A81A57"/>
    <w:rsid w:val="00A822D9"/>
    <w:rsid w:val="00A83378"/>
    <w:rsid w:val="00A83D98"/>
    <w:rsid w:val="00A86360"/>
    <w:rsid w:val="00A90879"/>
    <w:rsid w:val="00A90A71"/>
    <w:rsid w:val="00A91A54"/>
    <w:rsid w:val="00A91B42"/>
    <w:rsid w:val="00A91CF4"/>
    <w:rsid w:val="00A9259F"/>
    <w:rsid w:val="00A93187"/>
    <w:rsid w:val="00A93DCF"/>
    <w:rsid w:val="00A9471D"/>
    <w:rsid w:val="00A94947"/>
    <w:rsid w:val="00A95935"/>
    <w:rsid w:val="00A9698F"/>
    <w:rsid w:val="00A97200"/>
    <w:rsid w:val="00A97AF2"/>
    <w:rsid w:val="00AA1FCC"/>
    <w:rsid w:val="00AA2D66"/>
    <w:rsid w:val="00AA34D7"/>
    <w:rsid w:val="00AA38F2"/>
    <w:rsid w:val="00AA4191"/>
    <w:rsid w:val="00AA4E0D"/>
    <w:rsid w:val="00AA5B0E"/>
    <w:rsid w:val="00AA5BDB"/>
    <w:rsid w:val="00AA628E"/>
    <w:rsid w:val="00AA693B"/>
    <w:rsid w:val="00AA69F3"/>
    <w:rsid w:val="00AA72D8"/>
    <w:rsid w:val="00AB01A0"/>
    <w:rsid w:val="00AB180D"/>
    <w:rsid w:val="00AB262C"/>
    <w:rsid w:val="00AB3739"/>
    <w:rsid w:val="00AB400A"/>
    <w:rsid w:val="00AB539B"/>
    <w:rsid w:val="00AB5759"/>
    <w:rsid w:val="00AB5A1F"/>
    <w:rsid w:val="00AB5EAE"/>
    <w:rsid w:val="00AB6716"/>
    <w:rsid w:val="00AB6C01"/>
    <w:rsid w:val="00AB7F91"/>
    <w:rsid w:val="00AC11F4"/>
    <w:rsid w:val="00AC2DF0"/>
    <w:rsid w:val="00AC2E67"/>
    <w:rsid w:val="00AC33D6"/>
    <w:rsid w:val="00AC5D7B"/>
    <w:rsid w:val="00AC6853"/>
    <w:rsid w:val="00AC7247"/>
    <w:rsid w:val="00AD2647"/>
    <w:rsid w:val="00AD2EE3"/>
    <w:rsid w:val="00AD551F"/>
    <w:rsid w:val="00AD68CB"/>
    <w:rsid w:val="00AE7671"/>
    <w:rsid w:val="00AE793C"/>
    <w:rsid w:val="00AF063F"/>
    <w:rsid w:val="00AF163B"/>
    <w:rsid w:val="00AF212F"/>
    <w:rsid w:val="00AF2FFF"/>
    <w:rsid w:val="00AF3A60"/>
    <w:rsid w:val="00AF3B2B"/>
    <w:rsid w:val="00AF7DB9"/>
    <w:rsid w:val="00B0159C"/>
    <w:rsid w:val="00B0320A"/>
    <w:rsid w:val="00B03C27"/>
    <w:rsid w:val="00B1088A"/>
    <w:rsid w:val="00B10C10"/>
    <w:rsid w:val="00B11DA2"/>
    <w:rsid w:val="00B12149"/>
    <w:rsid w:val="00B21F20"/>
    <w:rsid w:val="00B22FF1"/>
    <w:rsid w:val="00B23510"/>
    <w:rsid w:val="00B244D8"/>
    <w:rsid w:val="00B25CC7"/>
    <w:rsid w:val="00B309C5"/>
    <w:rsid w:val="00B3433B"/>
    <w:rsid w:val="00B34E16"/>
    <w:rsid w:val="00B37892"/>
    <w:rsid w:val="00B40B21"/>
    <w:rsid w:val="00B40DE9"/>
    <w:rsid w:val="00B40E62"/>
    <w:rsid w:val="00B413ED"/>
    <w:rsid w:val="00B415C4"/>
    <w:rsid w:val="00B4215B"/>
    <w:rsid w:val="00B45583"/>
    <w:rsid w:val="00B45A77"/>
    <w:rsid w:val="00B45C55"/>
    <w:rsid w:val="00B460AA"/>
    <w:rsid w:val="00B46FA1"/>
    <w:rsid w:val="00B52784"/>
    <w:rsid w:val="00B55841"/>
    <w:rsid w:val="00B55FAD"/>
    <w:rsid w:val="00B576A7"/>
    <w:rsid w:val="00B576EB"/>
    <w:rsid w:val="00B5792D"/>
    <w:rsid w:val="00B60199"/>
    <w:rsid w:val="00B61282"/>
    <w:rsid w:val="00B62840"/>
    <w:rsid w:val="00B628F8"/>
    <w:rsid w:val="00B64BC2"/>
    <w:rsid w:val="00B67187"/>
    <w:rsid w:val="00B70492"/>
    <w:rsid w:val="00B712CE"/>
    <w:rsid w:val="00B71F6A"/>
    <w:rsid w:val="00B731DA"/>
    <w:rsid w:val="00B73CDB"/>
    <w:rsid w:val="00B74645"/>
    <w:rsid w:val="00B74E72"/>
    <w:rsid w:val="00B751EB"/>
    <w:rsid w:val="00B7642C"/>
    <w:rsid w:val="00B80086"/>
    <w:rsid w:val="00B82D56"/>
    <w:rsid w:val="00B8361A"/>
    <w:rsid w:val="00B837B7"/>
    <w:rsid w:val="00B846F4"/>
    <w:rsid w:val="00B84E44"/>
    <w:rsid w:val="00B85412"/>
    <w:rsid w:val="00B85A4D"/>
    <w:rsid w:val="00B85B87"/>
    <w:rsid w:val="00B86503"/>
    <w:rsid w:val="00B86A7C"/>
    <w:rsid w:val="00B87D5C"/>
    <w:rsid w:val="00B90417"/>
    <w:rsid w:val="00B904DA"/>
    <w:rsid w:val="00B9079D"/>
    <w:rsid w:val="00B90E49"/>
    <w:rsid w:val="00B91CE2"/>
    <w:rsid w:val="00B97DB7"/>
    <w:rsid w:val="00BA01F6"/>
    <w:rsid w:val="00BA3321"/>
    <w:rsid w:val="00BA5685"/>
    <w:rsid w:val="00BA5746"/>
    <w:rsid w:val="00BA59A2"/>
    <w:rsid w:val="00BA5C66"/>
    <w:rsid w:val="00BA5C7A"/>
    <w:rsid w:val="00BA707F"/>
    <w:rsid w:val="00BA7A90"/>
    <w:rsid w:val="00BA7F6C"/>
    <w:rsid w:val="00BB0278"/>
    <w:rsid w:val="00BB0FDE"/>
    <w:rsid w:val="00BB18C3"/>
    <w:rsid w:val="00BB1CDD"/>
    <w:rsid w:val="00BB4703"/>
    <w:rsid w:val="00BB5F6C"/>
    <w:rsid w:val="00BB61DB"/>
    <w:rsid w:val="00BB719A"/>
    <w:rsid w:val="00BC04D1"/>
    <w:rsid w:val="00BC12CC"/>
    <w:rsid w:val="00BC32DB"/>
    <w:rsid w:val="00BC3693"/>
    <w:rsid w:val="00BC5F62"/>
    <w:rsid w:val="00BD5815"/>
    <w:rsid w:val="00BE1A75"/>
    <w:rsid w:val="00BE1BFD"/>
    <w:rsid w:val="00BE21AF"/>
    <w:rsid w:val="00BE4170"/>
    <w:rsid w:val="00BE57BC"/>
    <w:rsid w:val="00BF216B"/>
    <w:rsid w:val="00BF4566"/>
    <w:rsid w:val="00BF4AF6"/>
    <w:rsid w:val="00BF5BB2"/>
    <w:rsid w:val="00C0089A"/>
    <w:rsid w:val="00C02E57"/>
    <w:rsid w:val="00C03D86"/>
    <w:rsid w:val="00C11B61"/>
    <w:rsid w:val="00C139E2"/>
    <w:rsid w:val="00C16FFA"/>
    <w:rsid w:val="00C20751"/>
    <w:rsid w:val="00C20AA9"/>
    <w:rsid w:val="00C21914"/>
    <w:rsid w:val="00C2426C"/>
    <w:rsid w:val="00C24FD3"/>
    <w:rsid w:val="00C25297"/>
    <w:rsid w:val="00C26E88"/>
    <w:rsid w:val="00C30E0C"/>
    <w:rsid w:val="00C314CA"/>
    <w:rsid w:val="00C315D0"/>
    <w:rsid w:val="00C33CA4"/>
    <w:rsid w:val="00C36C98"/>
    <w:rsid w:val="00C4215B"/>
    <w:rsid w:val="00C42DED"/>
    <w:rsid w:val="00C45ED1"/>
    <w:rsid w:val="00C46049"/>
    <w:rsid w:val="00C4655E"/>
    <w:rsid w:val="00C4788D"/>
    <w:rsid w:val="00C50491"/>
    <w:rsid w:val="00C50DD5"/>
    <w:rsid w:val="00C53275"/>
    <w:rsid w:val="00C56416"/>
    <w:rsid w:val="00C5760F"/>
    <w:rsid w:val="00C600FE"/>
    <w:rsid w:val="00C61E80"/>
    <w:rsid w:val="00C6241C"/>
    <w:rsid w:val="00C62D8B"/>
    <w:rsid w:val="00C643D8"/>
    <w:rsid w:val="00C653B6"/>
    <w:rsid w:val="00C66029"/>
    <w:rsid w:val="00C660A9"/>
    <w:rsid w:val="00C66277"/>
    <w:rsid w:val="00C71729"/>
    <w:rsid w:val="00C746E3"/>
    <w:rsid w:val="00C74770"/>
    <w:rsid w:val="00C74E03"/>
    <w:rsid w:val="00C827D8"/>
    <w:rsid w:val="00C8656A"/>
    <w:rsid w:val="00C868C8"/>
    <w:rsid w:val="00C86C5D"/>
    <w:rsid w:val="00C901C1"/>
    <w:rsid w:val="00C96AEA"/>
    <w:rsid w:val="00C974FE"/>
    <w:rsid w:val="00CA00F0"/>
    <w:rsid w:val="00CA3151"/>
    <w:rsid w:val="00CA536B"/>
    <w:rsid w:val="00CA5D21"/>
    <w:rsid w:val="00CA5EEB"/>
    <w:rsid w:val="00CB01C0"/>
    <w:rsid w:val="00CB0A71"/>
    <w:rsid w:val="00CB196C"/>
    <w:rsid w:val="00CB26E4"/>
    <w:rsid w:val="00CB54D3"/>
    <w:rsid w:val="00CB5FFA"/>
    <w:rsid w:val="00CB75F4"/>
    <w:rsid w:val="00CB7ACA"/>
    <w:rsid w:val="00CC074B"/>
    <w:rsid w:val="00CC0772"/>
    <w:rsid w:val="00CC786D"/>
    <w:rsid w:val="00CC79A7"/>
    <w:rsid w:val="00CD062F"/>
    <w:rsid w:val="00CD318B"/>
    <w:rsid w:val="00CE3848"/>
    <w:rsid w:val="00CE4AD8"/>
    <w:rsid w:val="00CE51ED"/>
    <w:rsid w:val="00CE5FE0"/>
    <w:rsid w:val="00CE68D1"/>
    <w:rsid w:val="00CE728C"/>
    <w:rsid w:val="00CF0385"/>
    <w:rsid w:val="00CF0610"/>
    <w:rsid w:val="00CF12CF"/>
    <w:rsid w:val="00CF22F6"/>
    <w:rsid w:val="00CF3489"/>
    <w:rsid w:val="00CF5D07"/>
    <w:rsid w:val="00CF641F"/>
    <w:rsid w:val="00CF6958"/>
    <w:rsid w:val="00CF751D"/>
    <w:rsid w:val="00D00703"/>
    <w:rsid w:val="00D018A1"/>
    <w:rsid w:val="00D026F6"/>
    <w:rsid w:val="00D05956"/>
    <w:rsid w:val="00D0794E"/>
    <w:rsid w:val="00D110C5"/>
    <w:rsid w:val="00D12B77"/>
    <w:rsid w:val="00D147B9"/>
    <w:rsid w:val="00D17534"/>
    <w:rsid w:val="00D212FD"/>
    <w:rsid w:val="00D21486"/>
    <w:rsid w:val="00D22E8E"/>
    <w:rsid w:val="00D23798"/>
    <w:rsid w:val="00D2476A"/>
    <w:rsid w:val="00D24C3B"/>
    <w:rsid w:val="00D24F5E"/>
    <w:rsid w:val="00D25730"/>
    <w:rsid w:val="00D264DF"/>
    <w:rsid w:val="00D27A69"/>
    <w:rsid w:val="00D3076D"/>
    <w:rsid w:val="00D35629"/>
    <w:rsid w:val="00D378BF"/>
    <w:rsid w:val="00D402C0"/>
    <w:rsid w:val="00D404F9"/>
    <w:rsid w:val="00D40715"/>
    <w:rsid w:val="00D42583"/>
    <w:rsid w:val="00D44567"/>
    <w:rsid w:val="00D4622D"/>
    <w:rsid w:val="00D46231"/>
    <w:rsid w:val="00D467FF"/>
    <w:rsid w:val="00D608F9"/>
    <w:rsid w:val="00D60BEE"/>
    <w:rsid w:val="00D61943"/>
    <w:rsid w:val="00D61EEA"/>
    <w:rsid w:val="00D636A5"/>
    <w:rsid w:val="00D646B8"/>
    <w:rsid w:val="00D67C45"/>
    <w:rsid w:val="00D70885"/>
    <w:rsid w:val="00D70A28"/>
    <w:rsid w:val="00D72D62"/>
    <w:rsid w:val="00D738A1"/>
    <w:rsid w:val="00D74366"/>
    <w:rsid w:val="00D7734F"/>
    <w:rsid w:val="00D83DD6"/>
    <w:rsid w:val="00D84146"/>
    <w:rsid w:val="00D85464"/>
    <w:rsid w:val="00D90CD4"/>
    <w:rsid w:val="00D9119A"/>
    <w:rsid w:val="00D911C6"/>
    <w:rsid w:val="00D914D9"/>
    <w:rsid w:val="00D93259"/>
    <w:rsid w:val="00D976E2"/>
    <w:rsid w:val="00D977F8"/>
    <w:rsid w:val="00DA1EDB"/>
    <w:rsid w:val="00DA25A1"/>
    <w:rsid w:val="00DA318A"/>
    <w:rsid w:val="00DA3A0C"/>
    <w:rsid w:val="00DA4231"/>
    <w:rsid w:val="00DA4708"/>
    <w:rsid w:val="00DA4C4F"/>
    <w:rsid w:val="00DA556C"/>
    <w:rsid w:val="00DA6152"/>
    <w:rsid w:val="00DA77BA"/>
    <w:rsid w:val="00DB0315"/>
    <w:rsid w:val="00DB0A3E"/>
    <w:rsid w:val="00DB0B33"/>
    <w:rsid w:val="00DB540C"/>
    <w:rsid w:val="00DB75FD"/>
    <w:rsid w:val="00DC080B"/>
    <w:rsid w:val="00DC0B69"/>
    <w:rsid w:val="00DC0C00"/>
    <w:rsid w:val="00DC2252"/>
    <w:rsid w:val="00DC48A0"/>
    <w:rsid w:val="00DC5722"/>
    <w:rsid w:val="00DC727D"/>
    <w:rsid w:val="00DC7F50"/>
    <w:rsid w:val="00DD249D"/>
    <w:rsid w:val="00DD3CDE"/>
    <w:rsid w:val="00DD4D13"/>
    <w:rsid w:val="00DD741B"/>
    <w:rsid w:val="00DE19CD"/>
    <w:rsid w:val="00DE20F8"/>
    <w:rsid w:val="00DE2588"/>
    <w:rsid w:val="00DE28F3"/>
    <w:rsid w:val="00DE2C3A"/>
    <w:rsid w:val="00DE2CBF"/>
    <w:rsid w:val="00DE3038"/>
    <w:rsid w:val="00DE4C5E"/>
    <w:rsid w:val="00DE4E2D"/>
    <w:rsid w:val="00DE5AEA"/>
    <w:rsid w:val="00DF1FEA"/>
    <w:rsid w:val="00DF35DF"/>
    <w:rsid w:val="00DF6240"/>
    <w:rsid w:val="00DF674A"/>
    <w:rsid w:val="00DF74C1"/>
    <w:rsid w:val="00DF75DD"/>
    <w:rsid w:val="00DF7D22"/>
    <w:rsid w:val="00E01BF5"/>
    <w:rsid w:val="00E034F5"/>
    <w:rsid w:val="00E03CEE"/>
    <w:rsid w:val="00E04825"/>
    <w:rsid w:val="00E04E04"/>
    <w:rsid w:val="00E05F28"/>
    <w:rsid w:val="00E07008"/>
    <w:rsid w:val="00E12E6B"/>
    <w:rsid w:val="00E130B1"/>
    <w:rsid w:val="00E1365A"/>
    <w:rsid w:val="00E16EA2"/>
    <w:rsid w:val="00E16FDD"/>
    <w:rsid w:val="00E172F3"/>
    <w:rsid w:val="00E22CD8"/>
    <w:rsid w:val="00E24563"/>
    <w:rsid w:val="00E24F48"/>
    <w:rsid w:val="00E309F6"/>
    <w:rsid w:val="00E30CDF"/>
    <w:rsid w:val="00E31121"/>
    <w:rsid w:val="00E32D85"/>
    <w:rsid w:val="00E359F3"/>
    <w:rsid w:val="00E41937"/>
    <w:rsid w:val="00E459E9"/>
    <w:rsid w:val="00E46355"/>
    <w:rsid w:val="00E47020"/>
    <w:rsid w:val="00E4778F"/>
    <w:rsid w:val="00E47B09"/>
    <w:rsid w:val="00E50809"/>
    <w:rsid w:val="00E512D9"/>
    <w:rsid w:val="00E5602E"/>
    <w:rsid w:val="00E56257"/>
    <w:rsid w:val="00E56979"/>
    <w:rsid w:val="00E56B54"/>
    <w:rsid w:val="00E56E47"/>
    <w:rsid w:val="00E57B74"/>
    <w:rsid w:val="00E57DF8"/>
    <w:rsid w:val="00E607F9"/>
    <w:rsid w:val="00E609A9"/>
    <w:rsid w:val="00E6128D"/>
    <w:rsid w:val="00E6342A"/>
    <w:rsid w:val="00E63C77"/>
    <w:rsid w:val="00E66B7C"/>
    <w:rsid w:val="00E70237"/>
    <w:rsid w:val="00E703C2"/>
    <w:rsid w:val="00E7050F"/>
    <w:rsid w:val="00E728E5"/>
    <w:rsid w:val="00E742FD"/>
    <w:rsid w:val="00E75AF8"/>
    <w:rsid w:val="00E81212"/>
    <w:rsid w:val="00E81D68"/>
    <w:rsid w:val="00E82256"/>
    <w:rsid w:val="00E83946"/>
    <w:rsid w:val="00E83FDF"/>
    <w:rsid w:val="00E8496D"/>
    <w:rsid w:val="00E85FB3"/>
    <w:rsid w:val="00E86C57"/>
    <w:rsid w:val="00E875A5"/>
    <w:rsid w:val="00E9121C"/>
    <w:rsid w:val="00E91BA6"/>
    <w:rsid w:val="00E9218D"/>
    <w:rsid w:val="00E9493D"/>
    <w:rsid w:val="00E95D1D"/>
    <w:rsid w:val="00E95F21"/>
    <w:rsid w:val="00EA50C9"/>
    <w:rsid w:val="00EA6E12"/>
    <w:rsid w:val="00EB0777"/>
    <w:rsid w:val="00EB1272"/>
    <w:rsid w:val="00EB1F3D"/>
    <w:rsid w:val="00EB3DD5"/>
    <w:rsid w:val="00EB69D0"/>
    <w:rsid w:val="00EB6E89"/>
    <w:rsid w:val="00EC0B60"/>
    <w:rsid w:val="00EC0F7B"/>
    <w:rsid w:val="00EC10E8"/>
    <w:rsid w:val="00EC569A"/>
    <w:rsid w:val="00EC5ACB"/>
    <w:rsid w:val="00EC5F91"/>
    <w:rsid w:val="00EC61E2"/>
    <w:rsid w:val="00EC6716"/>
    <w:rsid w:val="00EC6C8E"/>
    <w:rsid w:val="00EC6FFB"/>
    <w:rsid w:val="00EC798F"/>
    <w:rsid w:val="00EC7C3B"/>
    <w:rsid w:val="00EC7E41"/>
    <w:rsid w:val="00EC7FD2"/>
    <w:rsid w:val="00ED0761"/>
    <w:rsid w:val="00ED0B94"/>
    <w:rsid w:val="00ED1015"/>
    <w:rsid w:val="00ED193B"/>
    <w:rsid w:val="00ED2201"/>
    <w:rsid w:val="00ED33F2"/>
    <w:rsid w:val="00ED3464"/>
    <w:rsid w:val="00ED4AD6"/>
    <w:rsid w:val="00ED645E"/>
    <w:rsid w:val="00ED6600"/>
    <w:rsid w:val="00EE03C5"/>
    <w:rsid w:val="00EE1E4A"/>
    <w:rsid w:val="00EE3FD8"/>
    <w:rsid w:val="00EE65AC"/>
    <w:rsid w:val="00EE6C20"/>
    <w:rsid w:val="00EE7B3A"/>
    <w:rsid w:val="00EF37DA"/>
    <w:rsid w:val="00EF3D4A"/>
    <w:rsid w:val="00EF40A3"/>
    <w:rsid w:val="00EF4AE5"/>
    <w:rsid w:val="00EF5925"/>
    <w:rsid w:val="00EF69C5"/>
    <w:rsid w:val="00EF7181"/>
    <w:rsid w:val="00F0138C"/>
    <w:rsid w:val="00F02866"/>
    <w:rsid w:val="00F123B4"/>
    <w:rsid w:val="00F138F8"/>
    <w:rsid w:val="00F1755F"/>
    <w:rsid w:val="00F22494"/>
    <w:rsid w:val="00F225E9"/>
    <w:rsid w:val="00F23DFE"/>
    <w:rsid w:val="00F2491D"/>
    <w:rsid w:val="00F24CA6"/>
    <w:rsid w:val="00F26ED4"/>
    <w:rsid w:val="00F27135"/>
    <w:rsid w:val="00F279AA"/>
    <w:rsid w:val="00F3253D"/>
    <w:rsid w:val="00F32AC4"/>
    <w:rsid w:val="00F32EF0"/>
    <w:rsid w:val="00F3338B"/>
    <w:rsid w:val="00F34955"/>
    <w:rsid w:val="00F34B7F"/>
    <w:rsid w:val="00F3537E"/>
    <w:rsid w:val="00F35E32"/>
    <w:rsid w:val="00F35F70"/>
    <w:rsid w:val="00F371E8"/>
    <w:rsid w:val="00F42999"/>
    <w:rsid w:val="00F43A71"/>
    <w:rsid w:val="00F453DF"/>
    <w:rsid w:val="00F45664"/>
    <w:rsid w:val="00F45F14"/>
    <w:rsid w:val="00F47808"/>
    <w:rsid w:val="00F52A36"/>
    <w:rsid w:val="00F55165"/>
    <w:rsid w:val="00F560D2"/>
    <w:rsid w:val="00F570C8"/>
    <w:rsid w:val="00F579D8"/>
    <w:rsid w:val="00F606F1"/>
    <w:rsid w:val="00F60B8C"/>
    <w:rsid w:val="00F61B4E"/>
    <w:rsid w:val="00F62C09"/>
    <w:rsid w:val="00F6408B"/>
    <w:rsid w:val="00F65D18"/>
    <w:rsid w:val="00F706E4"/>
    <w:rsid w:val="00F720E8"/>
    <w:rsid w:val="00F732DC"/>
    <w:rsid w:val="00F753A4"/>
    <w:rsid w:val="00F758E8"/>
    <w:rsid w:val="00F76291"/>
    <w:rsid w:val="00F76E95"/>
    <w:rsid w:val="00F778DF"/>
    <w:rsid w:val="00F80E99"/>
    <w:rsid w:val="00F82C6F"/>
    <w:rsid w:val="00F836F6"/>
    <w:rsid w:val="00F838A8"/>
    <w:rsid w:val="00F839A5"/>
    <w:rsid w:val="00F861FD"/>
    <w:rsid w:val="00F86D40"/>
    <w:rsid w:val="00F87C34"/>
    <w:rsid w:val="00F90951"/>
    <w:rsid w:val="00F92079"/>
    <w:rsid w:val="00F93EFA"/>
    <w:rsid w:val="00F9457B"/>
    <w:rsid w:val="00F9506D"/>
    <w:rsid w:val="00F95C82"/>
    <w:rsid w:val="00FA0AF1"/>
    <w:rsid w:val="00FA10BC"/>
    <w:rsid w:val="00FA11F5"/>
    <w:rsid w:val="00FA2023"/>
    <w:rsid w:val="00FA4C7A"/>
    <w:rsid w:val="00FA4DD5"/>
    <w:rsid w:val="00FA6487"/>
    <w:rsid w:val="00FA65C5"/>
    <w:rsid w:val="00FA6BD8"/>
    <w:rsid w:val="00FA7C36"/>
    <w:rsid w:val="00FB13F7"/>
    <w:rsid w:val="00FB199A"/>
    <w:rsid w:val="00FB4C76"/>
    <w:rsid w:val="00FB744E"/>
    <w:rsid w:val="00FB7D33"/>
    <w:rsid w:val="00FC1DEC"/>
    <w:rsid w:val="00FC2239"/>
    <w:rsid w:val="00FC2EDB"/>
    <w:rsid w:val="00FC31F0"/>
    <w:rsid w:val="00FC4601"/>
    <w:rsid w:val="00FC4F21"/>
    <w:rsid w:val="00FC5D4F"/>
    <w:rsid w:val="00FC69C7"/>
    <w:rsid w:val="00FC75C0"/>
    <w:rsid w:val="00FC75CD"/>
    <w:rsid w:val="00FC7AB8"/>
    <w:rsid w:val="00FD1D81"/>
    <w:rsid w:val="00FD2A7C"/>
    <w:rsid w:val="00FD42FB"/>
    <w:rsid w:val="00FD497E"/>
    <w:rsid w:val="00FD4BB6"/>
    <w:rsid w:val="00FD6629"/>
    <w:rsid w:val="00FD7B9C"/>
    <w:rsid w:val="00FE20C8"/>
    <w:rsid w:val="00FE32EC"/>
    <w:rsid w:val="00FE6B49"/>
    <w:rsid w:val="00FE6EE5"/>
    <w:rsid w:val="00FE6FD5"/>
    <w:rsid w:val="00FE73F6"/>
    <w:rsid w:val="00FF08CA"/>
    <w:rsid w:val="00FF22D1"/>
    <w:rsid w:val="00FF2DD2"/>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04467"/>
  <w15:docId w15:val="{AD4EA525-719E-43CA-81F2-1ED20D3B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091"/>
    <w:pPr>
      <w:widowControl w:val="0"/>
      <w:jc w:val="both"/>
    </w:pPr>
  </w:style>
  <w:style w:type="paragraph" w:styleId="1">
    <w:name w:val="heading 1"/>
    <w:basedOn w:val="a"/>
    <w:next w:val="a"/>
    <w:link w:val="10"/>
    <w:uiPriority w:val="9"/>
    <w:qFormat/>
    <w:rsid w:val="0072409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6602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4091"/>
    <w:rPr>
      <w:rFonts w:asciiTheme="majorHAnsi" w:eastAsiaTheme="majorEastAsia" w:hAnsiTheme="majorHAnsi" w:cstheme="majorBidi"/>
      <w:sz w:val="24"/>
      <w:szCs w:val="24"/>
    </w:rPr>
  </w:style>
  <w:style w:type="paragraph" w:customStyle="1" w:styleId="MTDisplayEquation">
    <w:name w:val="MTDisplayEquation"/>
    <w:basedOn w:val="a"/>
    <w:next w:val="a"/>
    <w:link w:val="MTDisplayEquation0"/>
    <w:rsid w:val="00724091"/>
    <w:pPr>
      <w:widowControl/>
      <w:tabs>
        <w:tab w:val="center" w:pos="4240"/>
        <w:tab w:val="right" w:pos="8500"/>
      </w:tabs>
      <w:spacing w:line="300" w:lineRule="auto"/>
    </w:pPr>
    <w:rPr>
      <w:rFonts w:ascii="Times New Roman" w:hAnsi="Times New Roman" w:cs="Times New Roman"/>
      <w:sz w:val="24"/>
    </w:rPr>
  </w:style>
  <w:style w:type="character" w:customStyle="1" w:styleId="MTDisplayEquation0">
    <w:name w:val="MTDisplayEquation (文字)"/>
    <w:basedOn w:val="a0"/>
    <w:link w:val="MTDisplayEquation"/>
    <w:rsid w:val="00724091"/>
    <w:rPr>
      <w:rFonts w:ascii="Times New Roman" w:hAnsi="Times New Roman" w:cs="Times New Roman"/>
      <w:sz w:val="24"/>
    </w:rPr>
  </w:style>
  <w:style w:type="paragraph" w:customStyle="1" w:styleId="EndNoteBibliographyTitle">
    <w:name w:val="EndNote Bibliography Title"/>
    <w:basedOn w:val="a"/>
    <w:link w:val="EndNoteBibliographyTitle0"/>
    <w:rsid w:val="00724091"/>
    <w:pPr>
      <w:jc w:val="center"/>
    </w:pPr>
    <w:rPr>
      <w:rFonts w:ascii="Times New Roman" w:hAnsi="Times New Roman" w:cs="Times New Roman"/>
      <w:noProof/>
      <w:sz w:val="24"/>
    </w:rPr>
  </w:style>
  <w:style w:type="character" w:customStyle="1" w:styleId="EndNoteBibliographyTitle0">
    <w:name w:val="EndNote Bibliography Title (文字)"/>
    <w:basedOn w:val="a0"/>
    <w:link w:val="EndNoteBibliographyTitle"/>
    <w:rsid w:val="00724091"/>
    <w:rPr>
      <w:rFonts w:ascii="Times New Roman" w:hAnsi="Times New Roman" w:cs="Times New Roman"/>
      <w:noProof/>
      <w:sz w:val="24"/>
    </w:rPr>
  </w:style>
  <w:style w:type="paragraph" w:customStyle="1" w:styleId="EndNoteBibliography">
    <w:name w:val="EndNote Bibliography"/>
    <w:basedOn w:val="a"/>
    <w:link w:val="EndNoteBibliography0"/>
    <w:rsid w:val="00724091"/>
    <w:pPr>
      <w:spacing w:line="480" w:lineRule="auto"/>
    </w:pPr>
    <w:rPr>
      <w:rFonts w:ascii="Times New Roman" w:hAnsi="Times New Roman" w:cs="Times New Roman"/>
      <w:noProof/>
      <w:sz w:val="24"/>
    </w:rPr>
  </w:style>
  <w:style w:type="character" w:customStyle="1" w:styleId="EndNoteBibliography0">
    <w:name w:val="EndNote Bibliography (文字)"/>
    <w:basedOn w:val="a0"/>
    <w:link w:val="EndNoteBibliography"/>
    <w:rsid w:val="00724091"/>
    <w:rPr>
      <w:rFonts w:ascii="Times New Roman" w:hAnsi="Times New Roman" w:cs="Times New Roman"/>
      <w:noProof/>
      <w:sz w:val="24"/>
    </w:rPr>
  </w:style>
  <w:style w:type="paragraph" w:styleId="a3">
    <w:name w:val="header"/>
    <w:basedOn w:val="a"/>
    <w:link w:val="a4"/>
    <w:uiPriority w:val="99"/>
    <w:unhideWhenUsed/>
    <w:rsid w:val="003B7E56"/>
    <w:pPr>
      <w:tabs>
        <w:tab w:val="center" w:pos="4252"/>
        <w:tab w:val="right" w:pos="8504"/>
      </w:tabs>
      <w:snapToGrid w:val="0"/>
    </w:pPr>
  </w:style>
  <w:style w:type="character" w:customStyle="1" w:styleId="a4">
    <w:name w:val="ヘッダー (文字)"/>
    <w:basedOn w:val="a0"/>
    <w:link w:val="a3"/>
    <w:uiPriority w:val="99"/>
    <w:rsid w:val="003B7E56"/>
  </w:style>
  <w:style w:type="paragraph" w:styleId="a5">
    <w:name w:val="footer"/>
    <w:basedOn w:val="a"/>
    <w:link w:val="a6"/>
    <w:uiPriority w:val="99"/>
    <w:unhideWhenUsed/>
    <w:rsid w:val="003B7E56"/>
    <w:pPr>
      <w:tabs>
        <w:tab w:val="center" w:pos="4252"/>
        <w:tab w:val="right" w:pos="8504"/>
      </w:tabs>
      <w:snapToGrid w:val="0"/>
    </w:pPr>
  </w:style>
  <w:style w:type="character" w:customStyle="1" w:styleId="a6">
    <w:name w:val="フッター (文字)"/>
    <w:basedOn w:val="a0"/>
    <w:link w:val="a5"/>
    <w:uiPriority w:val="99"/>
    <w:rsid w:val="003B7E56"/>
  </w:style>
  <w:style w:type="paragraph" w:styleId="a7">
    <w:name w:val="Balloon Text"/>
    <w:basedOn w:val="a"/>
    <w:link w:val="a8"/>
    <w:uiPriority w:val="99"/>
    <w:semiHidden/>
    <w:unhideWhenUsed/>
    <w:rsid w:val="001D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4F74"/>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C66029"/>
    <w:rPr>
      <w:rFonts w:asciiTheme="majorHAnsi" w:eastAsiaTheme="majorEastAsia" w:hAnsiTheme="majorHAnsi" w:cstheme="majorBidi"/>
    </w:rPr>
  </w:style>
  <w:style w:type="character" w:styleId="a9">
    <w:name w:val="annotation reference"/>
    <w:basedOn w:val="a0"/>
    <w:uiPriority w:val="99"/>
    <w:semiHidden/>
    <w:unhideWhenUsed/>
    <w:rsid w:val="00156089"/>
    <w:rPr>
      <w:sz w:val="18"/>
      <w:szCs w:val="18"/>
    </w:rPr>
  </w:style>
  <w:style w:type="paragraph" w:styleId="aa">
    <w:name w:val="annotation text"/>
    <w:basedOn w:val="a"/>
    <w:link w:val="ab"/>
    <w:uiPriority w:val="99"/>
    <w:semiHidden/>
    <w:unhideWhenUsed/>
    <w:rsid w:val="00156089"/>
    <w:pPr>
      <w:jc w:val="left"/>
    </w:pPr>
  </w:style>
  <w:style w:type="character" w:customStyle="1" w:styleId="ab">
    <w:name w:val="コメント文字列 (文字)"/>
    <w:basedOn w:val="a0"/>
    <w:link w:val="aa"/>
    <w:uiPriority w:val="99"/>
    <w:semiHidden/>
    <w:rsid w:val="00156089"/>
  </w:style>
  <w:style w:type="paragraph" w:styleId="ac">
    <w:name w:val="annotation subject"/>
    <w:basedOn w:val="aa"/>
    <w:next w:val="aa"/>
    <w:link w:val="ad"/>
    <w:uiPriority w:val="99"/>
    <w:semiHidden/>
    <w:unhideWhenUsed/>
    <w:rsid w:val="00156089"/>
    <w:rPr>
      <w:b/>
      <w:bCs/>
    </w:rPr>
  </w:style>
  <w:style w:type="character" w:customStyle="1" w:styleId="ad">
    <w:name w:val="コメント内容 (文字)"/>
    <w:basedOn w:val="ab"/>
    <w:link w:val="ac"/>
    <w:uiPriority w:val="99"/>
    <w:semiHidden/>
    <w:rsid w:val="00156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89580">
      <w:bodyDiv w:val="1"/>
      <w:marLeft w:val="0"/>
      <w:marRight w:val="0"/>
      <w:marTop w:val="0"/>
      <w:marBottom w:val="0"/>
      <w:divBdr>
        <w:top w:val="none" w:sz="0" w:space="0" w:color="auto"/>
        <w:left w:val="none" w:sz="0" w:space="0" w:color="auto"/>
        <w:bottom w:val="none" w:sz="0" w:space="0" w:color="auto"/>
        <w:right w:val="none" w:sz="0" w:space="0" w:color="auto"/>
      </w:divBdr>
    </w:div>
    <w:div w:id="969938345">
      <w:bodyDiv w:val="1"/>
      <w:marLeft w:val="0"/>
      <w:marRight w:val="0"/>
      <w:marTop w:val="0"/>
      <w:marBottom w:val="0"/>
      <w:divBdr>
        <w:top w:val="none" w:sz="0" w:space="0" w:color="auto"/>
        <w:left w:val="none" w:sz="0" w:space="0" w:color="auto"/>
        <w:bottom w:val="none" w:sz="0" w:space="0" w:color="auto"/>
        <w:right w:val="none" w:sz="0" w:space="0" w:color="auto"/>
      </w:divBdr>
    </w:div>
    <w:div w:id="1062797429">
      <w:bodyDiv w:val="1"/>
      <w:marLeft w:val="0"/>
      <w:marRight w:val="0"/>
      <w:marTop w:val="0"/>
      <w:marBottom w:val="0"/>
      <w:divBdr>
        <w:top w:val="none" w:sz="0" w:space="0" w:color="auto"/>
        <w:left w:val="none" w:sz="0" w:space="0" w:color="auto"/>
        <w:bottom w:val="none" w:sz="0" w:space="0" w:color="auto"/>
        <w:right w:val="none" w:sz="0" w:space="0" w:color="auto"/>
      </w:divBdr>
    </w:div>
    <w:div w:id="1356612677">
      <w:bodyDiv w:val="1"/>
      <w:marLeft w:val="0"/>
      <w:marRight w:val="0"/>
      <w:marTop w:val="0"/>
      <w:marBottom w:val="0"/>
      <w:divBdr>
        <w:top w:val="none" w:sz="0" w:space="0" w:color="auto"/>
        <w:left w:val="none" w:sz="0" w:space="0" w:color="auto"/>
        <w:bottom w:val="none" w:sz="0" w:space="0" w:color="auto"/>
        <w:right w:val="none" w:sz="0" w:space="0" w:color="auto"/>
      </w:divBdr>
    </w:div>
    <w:div w:id="1664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B411-CCB2-484C-A684-F39F16DE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3228</Words>
  <Characters>18401</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Takeuchi</dc:creator>
  <cp:keywords/>
  <dc:description/>
  <cp:lastModifiedBy>Takeuchi Yoshinori</cp:lastModifiedBy>
  <cp:revision>22</cp:revision>
  <dcterms:created xsi:type="dcterms:W3CDTF">2018-06-07T04:32:00Z</dcterms:created>
  <dcterms:modified xsi:type="dcterms:W3CDTF">2018-09-14T03:11:00Z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