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84" w:rsidRPr="004D1C1F" w:rsidRDefault="00240223">
      <w:pPr>
        <w:rPr>
          <w:rFonts w:ascii="Times New Roman" w:hAnsi="Times New Roman" w:cs="Times New Roman"/>
          <w:b/>
          <w:sz w:val="24"/>
        </w:rPr>
      </w:pPr>
      <w:r w:rsidRPr="004D1C1F">
        <w:rPr>
          <w:rFonts w:ascii="Times New Roman" w:hAnsi="Times New Roman" w:cs="Times New Roman"/>
          <w:b/>
          <w:sz w:val="24"/>
        </w:rPr>
        <w:t xml:space="preserve">Supplemental Table </w:t>
      </w:r>
      <w:r w:rsidR="004D1C1F" w:rsidRPr="004D1C1F">
        <w:rPr>
          <w:rFonts w:ascii="Times New Roman" w:hAnsi="Times New Roman" w:cs="Times New Roman"/>
          <w:b/>
          <w:sz w:val="24"/>
        </w:rPr>
        <w:t>2</w:t>
      </w:r>
      <w:r w:rsidRPr="004D1C1F">
        <w:rPr>
          <w:rFonts w:ascii="Times New Roman" w:hAnsi="Times New Roman" w:cs="Times New Roman"/>
          <w:b/>
          <w:sz w:val="24"/>
        </w:rPr>
        <w:t xml:space="preserve">. </w:t>
      </w:r>
      <w:r w:rsidRPr="004D1C1F">
        <w:rPr>
          <w:rFonts w:ascii="Times New Roman" w:hAnsi="Times New Roman" w:cs="Times New Roman" w:hint="eastAsia"/>
          <w:b/>
          <w:sz w:val="24"/>
        </w:rPr>
        <w:t>Compar</w:t>
      </w:r>
      <w:r w:rsidRPr="004D1C1F">
        <w:rPr>
          <w:rFonts w:ascii="Times New Roman" w:hAnsi="Times New Roman" w:cs="Times New Roman"/>
          <w:b/>
          <w:sz w:val="24"/>
        </w:rPr>
        <w:t>ison</w:t>
      </w:r>
      <w:r w:rsidRPr="004D1C1F">
        <w:rPr>
          <w:rFonts w:ascii="Times New Roman" w:hAnsi="Times New Roman" w:cs="Times New Roman" w:hint="eastAsia"/>
          <w:b/>
          <w:sz w:val="24"/>
        </w:rPr>
        <w:t xml:space="preserve"> of </w:t>
      </w:r>
      <w:r w:rsidRPr="004D1C1F">
        <w:rPr>
          <w:rFonts w:ascii="Times New Roman" w:hAnsi="Times New Roman" w:cs="Times New Roman"/>
          <w:b/>
          <w:sz w:val="24"/>
        </w:rPr>
        <w:t>measurement methods of indices in two studies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  <w:gridCol w:w="5448"/>
      </w:tblGrid>
      <w:tr w:rsidR="00240223" w:rsidRPr="00240223" w:rsidTr="00240223">
        <w:trPr>
          <w:trHeight w:val="270"/>
        </w:trPr>
        <w:tc>
          <w:tcPr>
            <w:tcW w:w="2405" w:type="dxa"/>
            <w:tcBorders>
              <w:bottom w:val="single" w:sz="4" w:space="0" w:color="auto"/>
            </w:tcBorders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Ind</w:t>
            </w:r>
            <w:r w:rsidRPr="004D1C1F">
              <w:rPr>
                <w:rFonts w:ascii="Times New Roman" w:hAnsi="Times New Roman" w:cs="Times New Roman"/>
                <w:sz w:val="24"/>
              </w:rPr>
              <w:t>e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>x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CHNS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CUADHS</w:t>
            </w:r>
          </w:p>
        </w:tc>
      </w:tr>
      <w:tr w:rsidR="00240223" w:rsidRPr="00240223" w:rsidTr="003373A9">
        <w:trPr>
          <w:trHeight w:val="682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r w:rsidRPr="004D1C1F">
              <w:rPr>
                <w:rFonts w:ascii="Times New Roman" w:hAnsi="Times New Roman" w:cs="Times New Roman" w:hint="eastAsia"/>
                <w:sz w:val="24"/>
              </w:rPr>
              <w:t>Waist circumference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240223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 w:hint="eastAsia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with an inelastic tape to the nearest 0.1</w:t>
            </w:r>
            <w:r w:rsidRPr="004D1C1F">
              <w:rPr>
                <w:rFonts w:ascii="MS Mincho" w:eastAsia="MS Mincho" w:hAnsi="MS Mincho" w:cs="MS Mincho" w:hint="eastAsia"/>
                <w:sz w:val="24"/>
              </w:rPr>
              <w:t> 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 xml:space="preserve">centimeter directly above </w:t>
            </w:r>
            <w:r w:rsidRPr="004D1C1F">
              <w:rPr>
                <w:rFonts w:ascii="Times New Roman" w:hAnsi="Times New Roman" w:cs="Times New Roman"/>
                <w:sz w:val="24"/>
              </w:rPr>
              <w:t>the umbilicus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 xml:space="preserve"> for 1 centimeter around the waist at the end of exhalation , and do keep the tape level</w:t>
            </w:r>
          </w:p>
        </w:tc>
        <w:tc>
          <w:tcPr>
            <w:tcW w:w="5448" w:type="dxa"/>
            <w:tcBorders>
              <w:top w:val="single" w:sz="4" w:space="0" w:color="auto"/>
            </w:tcBorders>
            <w:hideMark/>
          </w:tcPr>
          <w:p w:rsidR="004D1C1F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 w:hint="eastAsia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with an inelastic tape to the nearest 0.1</w:t>
            </w:r>
            <w:r w:rsidRPr="004D1C1F">
              <w:rPr>
                <w:rFonts w:ascii="MS Mincho" w:eastAsia="MS Mincho" w:hAnsi="MS Mincho" w:cs="MS Mincho" w:hint="eastAsia"/>
                <w:sz w:val="24"/>
              </w:rPr>
              <w:t> 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>cm at a midpoint between the bottom of the rib cage and the top of the iliac crest at the end of exhalation</w:t>
            </w:r>
          </w:p>
        </w:tc>
      </w:tr>
      <w:tr w:rsidR="00240223" w:rsidRPr="00240223" w:rsidTr="003373A9">
        <w:trPr>
          <w:trHeight w:val="705"/>
        </w:trPr>
        <w:tc>
          <w:tcPr>
            <w:tcW w:w="2405" w:type="dxa"/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OLE_LINK2"/>
            <w:bookmarkStart w:id="2" w:name="OLE_LINK3"/>
            <w:r w:rsidRPr="004D1C1F">
              <w:rPr>
                <w:rFonts w:ascii="Times New Roman" w:hAnsi="Times New Roman" w:cs="Times New Roman" w:hint="eastAsia"/>
                <w:sz w:val="24"/>
              </w:rPr>
              <w:t>Triglycerides</w:t>
            </w:r>
            <w:bookmarkEnd w:id="1"/>
            <w:bookmarkEnd w:id="2"/>
            <w:r w:rsidRPr="004D1C1F">
              <w:rPr>
                <w:rFonts w:ascii="Times New Roman" w:hAnsi="Times New Roman" w:cs="Times New Roman"/>
                <w:sz w:val="24"/>
              </w:rPr>
              <w:t>, TC</w:t>
            </w:r>
          </w:p>
        </w:tc>
        <w:tc>
          <w:tcPr>
            <w:tcW w:w="6095" w:type="dxa"/>
            <w:hideMark/>
          </w:tcPr>
          <w:p w:rsidR="00240223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by glyc</w:t>
            </w:r>
            <w:bookmarkStart w:id="3" w:name="_GoBack"/>
            <w:bookmarkEnd w:id="3"/>
            <w:r w:rsidRPr="004D1C1F">
              <w:rPr>
                <w:rFonts w:ascii="Times New Roman" w:hAnsi="Times New Roman" w:cs="Times New Roman" w:hint="eastAsia"/>
                <w:sz w:val="24"/>
              </w:rPr>
              <w:t xml:space="preserve">erol lipase </w:t>
            </w:r>
            <w:proofErr w:type="gramStart"/>
            <w:r w:rsidRPr="004D1C1F">
              <w:rPr>
                <w:rFonts w:ascii="Times New Roman" w:hAnsi="Times New Roman" w:cs="Times New Roman" w:hint="eastAsia"/>
                <w:sz w:val="24"/>
              </w:rPr>
              <w:t>oxidase(</w:t>
            </w:r>
            <w:proofErr w:type="gramEnd"/>
            <w:r w:rsidRPr="004D1C1F">
              <w:rPr>
                <w:rFonts w:ascii="Times New Roman" w:hAnsi="Times New Roman" w:cs="Times New Roman" w:hint="eastAsia"/>
                <w:sz w:val="24"/>
              </w:rPr>
              <w:t>GPO-PAP) method  in serum, which was collected by centrifuging the sample 3000g for 15minutes</w:t>
            </w:r>
          </w:p>
        </w:tc>
        <w:tc>
          <w:tcPr>
            <w:tcW w:w="5448" w:type="dxa"/>
            <w:hideMark/>
          </w:tcPr>
          <w:p w:rsidR="00240223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by enzymatic process (dissociation) method in serum, which was collected by centrifuging the sample 3000g for 15minutes</w:t>
            </w:r>
          </w:p>
        </w:tc>
      </w:tr>
      <w:tr w:rsidR="00240223" w:rsidRPr="00240223" w:rsidTr="004D1C1F">
        <w:trPr>
          <w:trHeight w:val="606"/>
        </w:trPr>
        <w:tc>
          <w:tcPr>
            <w:tcW w:w="2405" w:type="dxa"/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High-density lipoprotein cholesterol, HDL-C</w:t>
            </w:r>
          </w:p>
        </w:tc>
        <w:tc>
          <w:tcPr>
            <w:tcW w:w="6095" w:type="dxa"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by enzymatic process(direct) method in serum, which was collected by centrifuging the sample 3000g for 15minutes</w:t>
            </w:r>
          </w:p>
        </w:tc>
        <w:tc>
          <w:tcPr>
            <w:tcW w:w="5448" w:type="dxa"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Same as C</w:t>
            </w:r>
            <w:r w:rsidR="004D1C1F" w:rsidRPr="004D1C1F">
              <w:rPr>
                <w:rFonts w:ascii="Times New Roman" w:hAnsi="Times New Roman" w:cs="Times New Roman" w:hint="eastAsia"/>
                <w:sz w:val="24"/>
              </w:rPr>
              <w:t>UADHS</w:t>
            </w:r>
          </w:p>
        </w:tc>
      </w:tr>
      <w:tr w:rsidR="00240223" w:rsidRPr="00240223" w:rsidTr="004D1C1F">
        <w:trPr>
          <w:trHeight w:val="544"/>
        </w:trPr>
        <w:tc>
          <w:tcPr>
            <w:tcW w:w="2405" w:type="dxa"/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Fasting glucose</w:t>
            </w:r>
          </w:p>
        </w:tc>
        <w:tc>
          <w:tcPr>
            <w:tcW w:w="6095" w:type="dxa"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 xml:space="preserve">Measured by glucose oxidase </w:t>
            </w:r>
            <w:proofErr w:type="gramStart"/>
            <w:r w:rsidRPr="004D1C1F">
              <w:rPr>
                <w:rFonts w:ascii="Times New Roman" w:hAnsi="Times New Roman" w:cs="Times New Roman" w:hint="eastAsia"/>
                <w:sz w:val="24"/>
              </w:rPr>
              <w:t>method(</w:t>
            </w:r>
            <w:proofErr w:type="gramEnd"/>
            <w:r w:rsidRPr="004D1C1F">
              <w:rPr>
                <w:rFonts w:ascii="Times New Roman" w:hAnsi="Times New Roman" w:cs="Times New Roman" w:hint="eastAsia"/>
                <w:sz w:val="24"/>
              </w:rPr>
              <w:t>GOD) in serum, which was collected by centrifuging the sample 3000g for 15minutes</w:t>
            </w:r>
          </w:p>
        </w:tc>
        <w:tc>
          <w:tcPr>
            <w:tcW w:w="5448" w:type="dxa"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Same as C</w:t>
            </w:r>
            <w:r w:rsidR="004D1C1F" w:rsidRPr="004D1C1F">
              <w:rPr>
                <w:rFonts w:ascii="Times New Roman" w:hAnsi="Times New Roman" w:cs="Times New Roman" w:hint="eastAsia"/>
                <w:sz w:val="24"/>
              </w:rPr>
              <w:t>UADHS</w:t>
            </w:r>
          </w:p>
        </w:tc>
      </w:tr>
      <w:tr w:rsidR="00240223" w:rsidRPr="00240223" w:rsidTr="004D1C1F">
        <w:trPr>
          <w:trHeight w:val="1205"/>
        </w:trPr>
        <w:tc>
          <w:tcPr>
            <w:tcW w:w="2405" w:type="dxa"/>
            <w:noWrap/>
            <w:hideMark/>
          </w:tcPr>
          <w:p w:rsidR="00240223" w:rsidRPr="004D1C1F" w:rsidRDefault="00240223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Blood pressure</w:t>
            </w:r>
          </w:p>
        </w:tc>
        <w:tc>
          <w:tcPr>
            <w:tcW w:w="6095" w:type="dxa"/>
            <w:hideMark/>
          </w:tcPr>
          <w:p w:rsidR="00240223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by electronic sphygmomanometer (OMRON HEM-7124, Omron health (China) co. LTD) after the subjects 5 minutes of seated rest and no physical activity in 30 minutes for once, repeated once when the measurements were suspicious</w:t>
            </w:r>
          </w:p>
        </w:tc>
        <w:tc>
          <w:tcPr>
            <w:tcW w:w="5448" w:type="dxa"/>
            <w:hideMark/>
          </w:tcPr>
          <w:p w:rsidR="00240223" w:rsidRPr="004D1C1F" w:rsidRDefault="004D1C1F" w:rsidP="004D1C1F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4D1C1F">
              <w:rPr>
                <w:rFonts w:ascii="Times New Roman" w:hAnsi="Times New Roman" w:cs="Times New Roman" w:hint="eastAsia"/>
                <w:sz w:val="24"/>
              </w:rPr>
              <w:t>Measured by standard mercury sphygmomanometers after 10</w:t>
            </w:r>
            <w:r w:rsidRPr="004D1C1F">
              <w:rPr>
                <w:rFonts w:ascii="MS Mincho" w:eastAsia="MS Mincho" w:hAnsi="MS Mincho" w:cs="MS Mincho" w:hint="eastAsia"/>
                <w:sz w:val="24"/>
              </w:rPr>
              <w:t> 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>minutes of seated rest and a 30</w:t>
            </w:r>
            <w:r w:rsidRPr="004D1C1F">
              <w:rPr>
                <w:rFonts w:ascii="MS Mincho" w:eastAsia="MS Mincho" w:hAnsi="MS Mincho" w:cs="MS Mincho" w:hint="eastAsia"/>
                <w:sz w:val="24"/>
              </w:rPr>
              <w:t> </w:t>
            </w:r>
            <w:r w:rsidRPr="004D1C1F">
              <w:rPr>
                <w:rFonts w:ascii="Times New Roman" w:hAnsi="Times New Roman" w:cs="Times New Roman" w:hint="eastAsia"/>
                <w:sz w:val="24"/>
              </w:rPr>
              <w:t>s interval between cuff inflations for three times</w:t>
            </w:r>
          </w:p>
        </w:tc>
      </w:tr>
    </w:tbl>
    <w:p w:rsidR="00DD4256" w:rsidRDefault="00DD4256" w:rsidP="00A533FB"/>
    <w:sectPr w:rsidR="00DD4256" w:rsidSect="002402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9D" w:rsidRDefault="0016319D" w:rsidP="00DD4256">
      <w:r>
        <w:separator/>
      </w:r>
    </w:p>
  </w:endnote>
  <w:endnote w:type="continuationSeparator" w:id="0">
    <w:p w:rsidR="0016319D" w:rsidRDefault="0016319D" w:rsidP="00D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9D" w:rsidRDefault="0016319D" w:rsidP="00DD4256">
      <w:r>
        <w:separator/>
      </w:r>
    </w:p>
  </w:footnote>
  <w:footnote w:type="continuationSeparator" w:id="0">
    <w:p w:rsidR="0016319D" w:rsidRDefault="0016319D" w:rsidP="00D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71"/>
    <w:rsid w:val="00055A99"/>
    <w:rsid w:val="000C6334"/>
    <w:rsid w:val="0016319D"/>
    <w:rsid w:val="00240223"/>
    <w:rsid w:val="002F1D71"/>
    <w:rsid w:val="003373A9"/>
    <w:rsid w:val="00387E2B"/>
    <w:rsid w:val="00396A84"/>
    <w:rsid w:val="004D1C1F"/>
    <w:rsid w:val="0051013E"/>
    <w:rsid w:val="00566A9C"/>
    <w:rsid w:val="005B6DD6"/>
    <w:rsid w:val="006147EE"/>
    <w:rsid w:val="006509EF"/>
    <w:rsid w:val="00860C22"/>
    <w:rsid w:val="008E013D"/>
    <w:rsid w:val="0096500D"/>
    <w:rsid w:val="009A177B"/>
    <w:rsid w:val="00A533FB"/>
    <w:rsid w:val="00A919AB"/>
    <w:rsid w:val="00A923FB"/>
    <w:rsid w:val="00DD4256"/>
    <w:rsid w:val="00E21C1E"/>
    <w:rsid w:val="00F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55B5"/>
  <w15:chartTrackingRefBased/>
  <w15:docId w15:val="{666DDAF8-7664-46AD-A890-9895619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2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256"/>
    <w:rPr>
      <w:sz w:val="18"/>
      <w:szCs w:val="18"/>
    </w:rPr>
  </w:style>
  <w:style w:type="table" w:styleId="a7">
    <w:name w:val="Table Grid"/>
    <w:basedOn w:val="a1"/>
    <w:uiPriority w:val="39"/>
    <w:rsid w:val="0024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赵文之</dc:creator>
  <cp:keywords/>
  <dc:description/>
  <cp:lastModifiedBy>赵 文芝</cp:lastModifiedBy>
  <cp:revision>7</cp:revision>
  <dcterms:created xsi:type="dcterms:W3CDTF">2017-08-16T07:26:00Z</dcterms:created>
  <dcterms:modified xsi:type="dcterms:W3CDTF">2018-09-06T13:59:00Z</dcterms:modified>
</cp:coreProperties>
</file>