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13634" w14:textId="20F54475" w:rsidR="00B928F5" w:rsidRPr="006A555D" w:rsidRDefault="00184B23" w:rsidP="00C52311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lang w:val="en-US"/>
        </w:rPr>
      </w:pPr>
      <w:r w:rsidRPr="00184B23">
        <w:rPr>
          <w:color w:val="000000" w:themeColor="text1"/>
          <w:lang w:val="en-US"/>
        </w:rPr>
        <w:t>Supplementary Information</w:t>
      </w:r>
      <w:r w:rsidR="006A555D" w:rsidRPr="006A555D">
        <w:rPr>
          <w:color w:val="000000" w:themeColor="text1"/>
          <w:lang w:val="en-US"/>
        </w:rPr>
        <w:t xml:space="preserve"> </w:t>
      </w:r>
      <w:r w:rsidR="00B928F5" w:rsidRPr="006A555D">
        <w:rPr>
          <w:color w:val="000000" w:themeColor="text1"/>
          <w:lang w:val="en-US"/>
        </w:rPr>
        <w:t>for</w:t>
      </w:r>
    </w:p>
    <w:p w14:paraId="4CCCDA67" w14:textId="77777777" w:rsidR="007975C4" w:rsidRDefault="0048232D" w:rsidP="00573E65">
      <w:pPr>
        <w:spacing w:after="120" w:line="360" w:lineRule="auto"/>
        <w:jc w:val="center"/>
        <w:rPr>
          <w:b/>
          <w:sz w:val="28"/>
          <w:szCs w:val="28"/>
          <w:lang w:val="en-GB"/>
        </w:rPr>
      </w:pPr>
      <w:r w:rsidRPr="00932DFE">
        <w:rPr>
          <w:b/>
          <w:sz w:val="28"/>
          <w:szCs w:val="28"/>
          <w:lang w:val="en-GB"/>
        </w:rPr>
        <w:t>Effect of small water retention structures on diffusive CO</w:t>
      </w:r>
      <w:r w:rsidRPr="00932DFE">
        <w:rPr>
          <w:b/>
          <w:sz w:val="28"/>
          <w:szCs w:val="28"/>
          <w:vertAlign w:val="subscript"/>
          <w:lang w:val="en-GB"/>
        </w:rPr>
        <w:t>2</w:t>
      </w:r>
      <w:r w:rsidRPr="00932DFE">
        <w:rPr>
          <w:b/>
          <w:sz w:val="28"/>
          <w:szCs w:val="28"/>
          <w:lang w:val="en-GB"/>
        </w:rPr>
        <w:t xml:space="preserve"> and CH</w:t>
      </w:r>
      <w:r w:rsidRPr="00932DFE">
        <w:rPr>
          <w:b/>
          <w:sz w:val="28"/>
          <w:szCs w:val="28"/>
          <w:vertAlign w:val="subscript"/>
          <w:lang w:val="en-GB"/>
        </w:rPr>
        <w:t>4</w:t>
      </w:r>
      <w:r w:rsidRPr="00932DFE">
        <w:rPr>
          <w:b/>
          <w:sz w:val="28"/>
          <w:szCs w:val="28"/>
          <w:lang w:val="en-GB"/>
        </w:rPr>
        <w:t xml:space="preserve"> emissions </w:t>
      </w:r>
      <w:r w:rsidR="007975C4" w:rsidRPr="007975C4">
        <w:rPr>
          <w:b/>
          <w:sz w:val="28"/>
          <w:szCs w:val="28"/>
          <w:lang w:val="en-GB"/>
        </w:rPr>
        <w:t>along a highly impounded river</w:t>
      </w:r>
    </w:p>
    <w:p w14:paraId="27DE39A8" w14:textId="4703FEEE" w:rsidR="00573E65" w:rsidRPr="00BA343E" w:rsidRDefault="00573E65" w:rsidP="00D12121">
      <w:pPr>
        <w:spacing w:line="360" w:lineRule="auto"/>
        <w:jc w:val="center"/>
        <w:rPr>
          <w:iCs/>
          <w:vertAlign w:val="superscript"/>
          <w:lang w:val="es-ES"/>
        </w:rPr>
      </w:pPr>
      <w:r w:rsidRPr="00BA343E">
        <w:rPr>
          <w:lang w:val="es-ES"/>
        </w:rPr>
        <w:t>Lluís Gómez-Gener</w:t>
      </w:r>
      <w:r w:rsidRPr="00BA343E">
        <w:rPr>
          <w:vertAlign w:val="superscript"/>
          <w:lang w:val="es-ES"/>
        </w:rPr>
        <w:t>1</w:t>
      </w:r>
      <w:r w:rsidR="00285D63">
        <w:rPr>
          <w:vertAlign w:val="superscript"/>
          <w:lang w:val="es-ES"/>
        </w:rPr>
        <w:t>, 2</w:t>
      </w:r>
      <w:r w:rsidRPr="00BA343E">
        <w:rPr>
          <w:lang w:val="es-ES"/>
        </w:rPr>
        <w:t>, Marina Gubau</w:t>
      </w:r>
      <w:r>
        <w:rPr>
          <w:vertAlign w:val="superscript"/>
          <w:lang w:val="es-ES"/>
        </w:rPr>
        <w:t>2</w:t>
      </w:r>
      <w:r w:rsidRPr="00BA343E">
        <w:rPr>
          <w:lang w:val="es-ES"/>
        </w:rPr>
        <w:t xml:space="preserve">, </w:t>
      </w:r>
      <w:r w:rsidRPr="00BA343E">
        <w:rPr>
          <w:iCs/>
          <w:lang w:val="es-ES"/>
        </w:rPr>
        <w:t>Daniel von Schiller</w:t>
      </w:r>
      <w:r>
        <w:rPr>
          <w:iCs/>
          <w:vertAlign w:val="superscript"/>
          <w:lang w:val="es-ES"/>
        </w:rPr>
        <w:t>3</w:t>
      </w:r>
      <w:r w:rsidRPr="00BA343E">
        <w:rPr>
          <w:iCs/>
          <w:lang w:val="es-ES"/>
        </w:rPr>
        <w:t>, Rafael Marcé</w:t>
      </w:r>
      <w:r>
        <w:rPr>
          <w:iCs/>
          <w:vertAlign w:val="superscript"/>
          <w:lang w:val="es-ES"/>
        </w:rPr>
        <w:t>4</w:t>
      </w:r>
      <w:r w:rsidRPr="00BA343E">
        <w:rPr>
          <w:iCs/>
          <w:vertAlign w:val="superscript"/>
          <w:lang w:val="es-ES"/>
        </w:rPr>
        <w:t xml:space="preserve"> </w:t>
      </w:r>
      <w:r w:rsidRPr="00BA343E">
        <w:rPr>
          <w:lang w:val="es-ES"/>
        </w:rPr>
        <w:t xml:space="preserve">and </w:t>
      </w:r>
      <w:proofErr w:type="spellStart"/>
      <w:r w:rsidRPr="00BA343E">
        <w:rPr>
          <w:iCs/>
          <w:lang w:val="es-ES"/>
        </w:rPr>
        <w:t>Biel</w:t>
      </w:r>
      <w:proofErr w:type="spellEnd"/>
      <w:r w:rsidRPr="00BA343E">
        <w:rPr>
          <w:iCs/>
          <w:lang w:val="es-ES"/>
        </w:rPr>
        <w:t xml:space="preserve"> Obrador</w:t>
      </w:r>
      <w:r>
        <w:rPr>
          <w:iCs/>
          <w:vertAlign w:val="superscript"/>
          <w:lang w:val="es-ES"/>
        </w:rPr>
        <w:t>2</w:t>
      </w:r>
    </w:p>
    <w:p w14:paraId="13569A61" w14:textId="77777777" w:rsidR="00573E65" w:rsidRPr="008A2C34" w:rsidRDefault="00573E65" w:rsidP="00D12121">
      <w:pPr>
        <w:spacing w:line="360" w:lineRule="auto"/>
        <w:rPr>
          <w:lang w:val="es-ES"/>
        </w:rPr>
      </w:pPr>
    </w:p>
    <w:p w14:paraId="070FCCD7" w14:textId="3530FA9B" w:rsidR="00573E65" w:rsidRDefault="00573E65" w:rsidP="00285D63">
      <w:pPr>
        <w:spacing w:after="240" w:line="360" w:lineRule="auto"/>
        <w:jc w:val="center"/>
        <w:rPr>
          <w:i/>
          <w:iCs/>
        </w:rPr>
      </w:pPr>
      <w:r>
        <w:rPr>
          <w:i/>
          <w:iCs/>
        </w:rPr>
        <w:t>.</w:t>
      </w:r>
      <w:r w:rsidR="00285D63">
        <w:rPr>
          <w:i/>
          <w:iCs/>
          <w:vertAlign w:val="superscript"/>
        </w:rPr>
        <w:t>1</w:t>
      </w:r>
      <w:r>
        <w:rPr>
          <w:i/>
          <w:iCs/>
          <w:vertAlign w:val="superscript"/>
        </w:rPr>
        <w:t xml:space="preserve"> </w:t>
      </w:r>
      <w:r w:rsidRPr="00BA343E">
        <w:rPr>
          <w:i/>
          <w:iCs/>
        </w:rPr>
        <w:t>Department of Evolutionary Biology, Ecology and Environmental Sciences, University of Barcelona, Av. Diagonal 643, 08028 Barcelona, Spain.</w:t>
      </w:r>
    </w:p>
    <w:p w14:paraId="421BA8AE" w14:textId="4390D876" w:rsidR="00285D63" w:rsidRPr="001E6065" w:rsidRDefault="00285D63" w:rsidP="00285D63">
      <w:pPr>
        <w:spacing w:after="240" w:line="360" w:lineRule="auto"/>
        <w:jc w:val="center"/>
        <w:rPr>
          <w:i/>
          <w:iCs/>
        </w:rPr>
      </w:pPr>
      <w:proofErr w:type="gramStart"/>
      <w:r>
        <w:rPr>
          <w:i/>
          <w:iCs/>
          <w:vertAlign w:val="superscript"/>
        </w:rPr>
        <w:t>2</w:t>
      </w:r>
      <w:proofErr w:type="gramEnd"/>
      <w:r w:rsidRPr="00BA343E">
        <w:rPr>
          <w:i/>
          <w:iCs/>
          <w:vertAlign w:val="superscript"/>
        </w:rPr>
        <w:t xml:space="preserve"> </w:t>
      </w:r>
      <w:r w:rsidRPr="001E6065">
        <w:rPr>
          <w:i/>
          <w:iCs/>
        </w:rPr>
        <w:t xml:space="preserve">Department of Ecology </w:t>
      </w:r>
      <w:r>
        <w:rPr>
          <w:i/>
          <w:iCs/>
        </w:rPr>
        <w:t xml:space="preserve">and Environmental Science, </w:t>
      </w:r>
      <w:proofErr w:type="spellStart"/>
      <w:r w:rsidRPr="001E6065">
        <w:rPr>
          <w:i/>
          <w:iCs/>
        </w:rPr>
        <w:t>Umeå</w:t>
      </w:r>
      <w:proofErr w:type="spellEnd"/>
      <w:r w:rsidRPr="001E6065">
        <w:rPr>
          <w:i/>
          <w:iCs/>
        </w:rPr>
        <w:t xml:space="preserve"> University, </w:t>
      </w:r>
      <w:proofErr w:type="spellStart"/>
      <w:r w:rsidRPr="001E6065">
        <w:rPr>
          <w:i/>
          <w:iCs/>
        </w:rPr>
        <w:t>Umeå</w:t>
      </w:r>
      <w:proofErr w:type="spellEnd"/>
      <w:r w:rsidRPr="001E6065">
        <w:rPr>
          <w:i/>
          <w:iCs/>
        </w:rPr>
        <w:t>,</w:t>
      </w:r>
      <w:r>
        <w:rPr>
          <w:i/>
          <w:iCs/>
        </w:rPr>
        <w:t xml:space="preserve"> Linnaeus </w:t>
      </w:r>
      <w:proofErr w:type="spellStart"/>
      <w:r>
        <w:rPr>
          <w:i/>
          <w:iCs/>
        </w:rPr>
        <w:t>väg</w:t>
      </w:r>
      <w:proofErr w:type="spellEnd"/>
      <w:r>
        <w:rPr>
          <w:i/>
          <w:iCs/>
        </w:rPr>
        <w:t xml:space="preserve"> 6, 901</w:t>
      </w:r>
      <w:r w:rsidRPr="001E6065">
        <w:rPr>
          <w:i/>
          <w:iCs/>
        </w:rPr>
        <w:t xml:space="preserve">87 </w:t>
      </w:r>
      <w:proofErr w:type="spellStart"/>
      <w:r w:rsidRPr="001E6065">
        <w:rPr>
          <w:i/>
          <w:iCs/>
        </w:rPr>
        <w:t>Umeå</w:t>
      </w:r>
      <w:proofErr w:type="spellEnd"/>
      <w:r>
        <w:rPr>
          <w:i/>
          <w:iCs/>
        </w:rPr>
        <w:t>,</w:t>
      </w:r>
      <w:r w:rsidRPr="001E6065">
        <w:rPr>
          <w:i/>
          <w:iCs/>
        </w:rPr>
        <w:t xml:space="preserve"> Sweden</w:t>
      </w:r>
      <w:r>
        <w:rPr>
          <w:i/>
          <w:iCs/>
        </w:rPr>
        <w:t>.</w:t>
      </w:r>
    </w:p>
    <w:p w14:paraId="04321479" w14:textId="77777777" w:rsidR="00573E65" w:rsidRPr="00BA343E" w:rsidRDefault="00573E65" w:rsidP="00285D63">
      <w:pPr>
        <w:autoSpaceDE w:val="0"/>
        <w:autoSpaceDN w:val="0"/>
        <w:adjustRightInd w:val="0"/>
        <w:spacing w:after="240" w:line="360" w:lineRule="auto"/>
        <w:jc w:val="center"/>
        <w:rPr>
          <w:i/>
          <w:iCs/>
        </w:rPr>
      </w:pPr>
      <w:proofErr w:type="gramStart"/>
      <w:r>
        <w:rPr>
          <w:i/>
          <w:iCs/>
          <w:vertAlign w:val="superscript"/>
        </w:rPr>
        <w:t>3</w:t>
      </w:r>
      <w:proofErr w:type="gramEnd"/>
      <w:r w:rsidRPr="00BA343E">
        <w:rPr>
          <w:i/>
          <w:iCs/>
          <w:vertAlign w:val="superscript"/>
        </w:rPr>
        <w:t xml:space="preserve"> </w:t>
      </w:r>
      <w:r w:rsidRPr="00BA343E">
        <w:rPr>
          <w:i/>
          <w:iCs/>
        </w:rPr>
        <w:t xml:space="preserve">Department of Plant Biology and Ecology, University of the Basque Country, </w:t>
      </w:r>
      <w:proofErr w:type="spellStart"/>
      <w:r w:rsidRPr="00BA343E">
        <w:rPr>
          <w:i/>
          <w:iCs/>
        </w:rPr>
        <w:t>Apdo</w:t>
      </w:r>
      <w:proofErr w:type="spellEnd"/>
      <w:r w:rsidRPr="00BA343E">
        <w:rPr>
          <w:i/>
          <w:iCs/>
        </w:rPr>
        <w:t>. 644, 48080 Bilbao, Spain.</w:t>
      </w:r>
    </w:p>
    <w:p w14:paraId="10481A8F" w14:textId="77777777" w:rsidR="00573E65" w:rsidRPr="00BA343E" w:rsidRDefault="00573E65" w:rsidP="00285D63">
      <w:pPr>
        <w:spacing w:line="360" w:lineRule="auto"/>
        <w:jc w:val="center"/>
        <w:rPr>
          <w:i/>
          <w:iCs/>
        </w:rPr>
      </w:pPr>
      <w:r>
        <w:rPr>
          <w:i/>
          <w:iCs/>
          <w:vertAlign w:val="superscript"/>
        </w:rPr>
        <w:t>4</w:t>
      </w:r>
      <w:r w:rsidRPr="00BA343E">
        <w:rPr>
          <w:i/>
          <w:iCs/>
          <w:vertAlign w:val="superscript"/>
        </w:rPr>
        <w:t xml:space="preserve"> </w:t>
      </w:r>
      <w:r w:rsidRPr="00BA343E">
        <w:rPr>
          <w:i/>
          <w:iCs/>
        </w:rPr>
        <w:t xml:space="preserve">Catalan Institute for Water Research (ICRA), </w:t>
      </w:r>
      <w:proofErr w:type="spellStart"/>
      <w:r w:rsidRPr="00BA343E">
        <w:rPr>
          <w:i/>
          <w:iCs/>
        </w:rPr>
        <w:t>Carrer</w:t>
      </w:r>
      <w:proofErr w:type="spellEnd"/>
      <w:r w:rsidRPr="00BA343E">
        <w:rPr>
          <w:i/>
          <w:iCs/>
        </w:rPr>
        <w:t xml:space="preserve"> Emili </w:t>
      </w:r>
      <w:proofErr w:type="spellStart"/>
      <w:r w:rsidRPr="00BA343E">
        <w:rPr>
          <w:i/>
          <w:iCs/>
        </w:rPr>
        <w:t>Grahit</w:t>
      </w:r>
      <w:proofErr w:type="spellEnd"/>
      <w:r w:rsidRPr="00BA343E">
        <w:rPr>
          <w:i/>
          <w:iCs/>
        </w:rPr>
        <w:t xml:space="preserve"> 101, </w:t>
      </w:r>
      <w:r>
        <w:rPr>
          <w:i/>
          <w:iCs/>
        </w:rPr>
        <w:t>17003 Girona,</w:t>
      </w:r>
      <w:r w:rsidRPr="00BA343E">
        <w:rPr>
          <w:i/>
          <w:iCs/>
        </w:rPr>
        <w:t xml:space="preserve"> Spain.</w:t>
      </w:r>
    </w:p>
    <w:p w14:paraId="5FA9F591" w14:textId="77777777" w:rsidR="006A555D" w:rsidRPr="00573E65" w:rsidRDefault="006A555D" w:rsidP="006A555D">
      <w:pPr>
        <w:jc w:val="center"/>
        <w:rPr>
          <w:iCs/>
        </w:rPr>
      </w:pPr>
    </w:p>
    <w:p w14:paraId="163EAA0C" w14:textId="77777777" w:rsidR="0048232D" w:rsidRDefault="0048232D" w:rsidP="006A555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lang w:val="en-GB"/>
        </w:rPr>
      </w:pPr>
    </w:p>
    <w:p w14:paraId="7D0E5730" w14:textId="77777777" w:rsidR="00F95D8B" w:rsidRDefault="00F95D8B">
      <w:pPr>
        <w:rPr>
          <w:lang w:val="en-GB"/>
        </w:rPr>
      </w:pPr>
      <w:r>
        <w:rPr>
          <w:lang w:val="en-GB"/>
        </w:rPr>
        <w:br w:type="page"/>
      </w:r>
    </w:p>
    <w:p w14:paraId="2A33BB8F" w14:textId="73911FAF" w:rsidR="0092328A" w:rsidRPr="00BC3287" w:rsidRDefault="00184B23" w:rsidP="0092328A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b/>
          <w:u w:val="single"/>
          <w:lang w:val="en-GB"/>
        </w:rPr>
      </w:pPr>
      <w:r w:rsidRPr="00BC3287">
        <w:rPr>
          <w:b/>
          <w:u w:val="single"/>
          <w:lang w:val="en-GB"/>
        </w:rPr>
        <w:lastRenderedPageBreak/>
        <w:t>Supplementary</w:t>
      </w:r>
      <w:r w:rsidR="00FF3DD7" w:rsidRPr="00BC3287">
        <w:rPr>
          <w:b/>
          <w:u w:val="single"/>
          <w:lang w:val="en-GB"/>
        </w:rPr>
        <w:t xml:space="preserve"> Figures</w:t>
      </w:r>
    </w:p>
    <w:p w14:paraId="1DAF1ED0" w14:textId="6B365766" w:rsidR="00B24117" w:rsidRDefault="00193C16" w:rsidP="00B7041F">
      <w:pPr>
        <w:pStyle w:val="NormalWeb"/>
        <w:shd w:val="clear" w:color="auto" w:fill="FFFFFF"/>
        <w:spacing w:before="0" w:beforeAutospacing="0" w:after="300" w:afterAutospacing="0" w:line="480" w:lineRule="auto"/>
        <w:rPr>
          <w:lang w:val="en-GB"/>
        </w:rPr>
      </w:pPr>
      <w:r>
        <w:rPr>
          <w:noProof/>
          <w:lang w:val="ca-ES" w:eastAsia="ca-ES" w:bidi="bo-CN"/>
        </w:rPr>
        <w:drawing>
          <wp:inline distT="0" distB="0" distL="0" distR="0" wp14:anchorId="2B7F9A4E" wp14:editId="7290C16A">
            <wp:extent cx="5581650" cy="2489200"/>
            <wp:effectExtent l="0" t="0" r="0" b="6350"/>
            <wp:docPr id="3" name="Imagen 1" descr="kco2_kch4_fco2_fc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o2_kch4_fco2_fch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B08">
        <w:rPr>
          <w:b/>
          <w:lang w:val="en-GB"/>
        </w:rPr>
        <w:t>Fig.</w:t>
      </w:r>
      <w:r w:rsidR="00B7041F" w:rsidRPr="00CC4BE9">
        <w:rPr>
          <w:b/>
          <w:lang w:val="en-GB"/>
        </w:rPr>
        <w:t xml:space="preserve"> </w:t>
      </w:r>
      <w:r w:rsidR="008C32F3" w:rsidRPr="00CC4BE9">
        <w:rPr>
          <w:b/>
          <w:lang w:val="en-GB"/>
        </w:rPr>
        <w:t>S1</w:t>
      </w:r>
      <w:r w:rsidR="00184B23">
        <w:rPr>
          <w:b/>
          <w:lang w:val="en-GB"/>
        </w:rPr>
        <w:t>.</w:t>
      </w:r>
      <w:r w:rsidR="008C32F3" w:rsidRPr="00CC4BE9">
        <w:rPr>
          <w:b/>
          <w:lang w:val="en-GB"/>
        </w:rPr>
        <w:t xml:space="preserve"> a </w:t>
      </w:r>
      <w:r w:rsidR="008C32F3" w:rsidRPr="00CC4BE9">
        <w:rPr>
          <w:lang w:val="en-GB"/>
        </w:rPr>
        <w:t>CO</w:t>
      </w:r>
      <w:r w:rsidR="008C32F3" w:rsidRPr="00CC4BE9">
        <w:rPr>
          <w:vertAlign w:val="subscript"/>
          <w:lang w:val="en-GB"/>
        </w:rPr>
        <w:t>2</w:t>
      </w:r>
      <w:r w:rsidR="008C32F3" w:rsidRPr="00CC4BE9">
        <w:rPr>
          <w:lang w:val="en-GB"/>
        </w:rPr>
        <w:t xml:space="preserve"> emission flux (CO</w:t>
      </w:r>
      <w:r w:rsidR="008C32F3" w:rsidRPr="00CC4BE9">
        <w:rPr>
          <w:vertAlign w:val="subscript"/>
          <w:lang w:val="en-GB"/>
        </w:rPr>
        <w:t>2</w:t>
      </w:r>
      <w:r w:rsidR="008C32F3" w:rsidRPr="00CC4BE9">
        <w:rPr>
          <w:lang w:val="en-GB"/>
        </w:rPr>
        <w:t xml:space="preserve"> flux) as a function of the gas transfer velocity of CO</w:t>
      </w:r>
      <w:r w:rsidR="008C32F3" w:rsidRPr="00CC4BE9">
        <w:rPr>
          <w:vertAlign w:val="subscript"/>
          <w:lang w:val="en-GB"/>
        </w:rPr>
        <w:t>2</w:t>
      </w:r>
      <w:r w:rsidR="008C32F3" w:rsidRPr="00CC4BE9">
        <w:rPr>
          <w:lang w:val="en-GB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m:rPr>
                <m:nor/>
              </m:rPr>
              <w:rPr>
                <w:i/>
                <w:iCs/>
                <w:lang w:val="en-GB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lang w:val="en-GB"/>
                  </w:rPr>
                </m:ctrlPr>
              </m:sSubPr>
              <m:e>
                <m:r>
                  <m:rPr>
                    <m:nor/>
                  </m:rPr>
                  <w:rPr>
                    <w:lang w:val="en-GB"/>
                  </w:rPr>
                  <m:t>CO</m:t>
                </m:r>
              </m:e>
              <m:sub>
                <m:r>
                  <m:rPr>
                    <m:nor/>
                  </m:rPr>
                  <w:rPr>
                    <w:lang w:val="en-GB"/>
                  </w:rPr>
                  <m:t>2</m:t>
                </m:r>
              </m:sub>
            </m:sSub>
          </m:sub>
        </m:sSub>
      </m:oMath>
      <w:r w:rsidR="008C32F3" w:rsidRPr="00CC4BE9">
        <w:rPr>
          <w:lang w:val="en-GB"/>
        </w:rPr>
        <w:t>) and b CH</w:t>
      </w:r>
      <w:r w:rsidR="008C32F3" w:rsidRPr="00CC4BE9">
        <w:rPr>
          <w:vertAlign w:val="subscript"/>
          <w:lang w:val="en-GB"/>
        </w:rPr>
        <w:t>4</w:t>
      </w:r>
      <w:r w:rsidR="008C32F3" w:rsidRPr="00CC4BE9">
        <w:rPr>
          <w:lang w:val="en-GB"/>
        </w:rPr>
        <w:t xml:space="preserve"> emission flux (CH</w:t>
      </w:r>
      <w:r w:rsidR="008C32F3" w:rsidRPr="00CC4BE9">
        <w:rPr>
          <w:vertAlign w:val="subscript"/>
          <w:lang w:val="en-GB"/>
        </w:rPr>
        <w:t>4</w:t>
      </w:r>
      <w:r w:rsidR="008C32F3" w:rsidRPr="00CC4BE9">
        <w:rPr>
          <w:lang w:val="en-GB"/>
        </w:rPr>
        <w:t xml:space="preserve"> flux) as a function of</w:t>
      </w:r>
      <w:r w:rsidR="00724965">
        <w:rPr>
          <w:lang w:val="en-GB"/>
        </w:rPr>
        <w:t xml:space="preserve"> the gas transfer velocity of CH</w:t>
      </w:r>
      <w:r w:rsidR="00724965">
        <w:rPr>
          <w:vertAlign w:val="subscript"/>
          <w:lang w:val="en-GB"/>
        </w:rPr>
        <w:t>4</w:t>
      </w:r>
      <w:r w:rsidR="008C32F3" w:rsidRPr="00CC4BE9">
        <w:rPr>
          <w:lang w:val="en-GB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m:rPr>
                <m:nor/>
              </m:rPr>
              <w:rPr>
                <w:i/>
                <w:iCs/>
                <w:lang w:val="en-GB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lang w:val="en-GB"/>
                  </w:rPr>
                </m:ctrlPr>
              </m:sSubPr>
              <m:e>
                <m:r>
                  <m:rPr>
                    <m:nor/>
                  </m:rPr>
                  <w:rPr>
                    <w:lang w:val="en-GB"/>
                  </w:rPr>
                  <m:t>CH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4</m:t>
                </m:r>
              </m:sub>
            </m:sSub>
          </m:sub>
        </m:sSub>
      </m:oMath>
      <w:r w:rsidR="008C32F3" w:rsidRPr="00CC4BE9">
        <w:rPr>
          <w:lang w:val="en-GB"/>
        </w:rPr>
        <w:t>) of the 11 study sites for the three different impoundment units (i.e., upstream river, impound</w:t>
      </w:r>
      <w:r w:rsidR="006547CB">
        <w:rPr>
          <w:lang w:val="en-GB"/>
        </w:rPr>
        <w:t>ed</w:t>
      </w:r>
      <w:r w:rsidR="008C32F3" w:rsidRPr="00CC4BE9">
        <w:rPr>
          <w:lang w:val="en-GB"/>
        </w:rPr>
        <w:t xml:space="preserve"> water and downstream river) during the three sampled seasons (i.e., spring, summer and winter).</w:t>
      </w:r>
      <w:r w:rsidR="0066664A" w:rsidRPr="00CC4BE9">
        <w:rPr>
          <w:lang w:val="en-GB"/>
        </w:rPr>
        <w:t xml:space="preserve"> The solid lines correspond to the regression model lines best fitting the data. Model equations </w:t>
      </w:r>
      <w:proofErr w:type="gramStart"/>
      <w:r w:rsidR="0066664A" w:rsidRPr="00CC4BE9">
        <w:rPr>
          <w:lang w:val="en-GB"/>
        </w:rPr>
        <w:t>are also shown</w:t>
      </w:r>
      <w:proofErr w:type="gramEnd"/>
      <w:r w:rsidR="0066664A" w:rsidRPr="00CC4BE9">
        <w:rPr>
          <w:lang w:val="en-GB"/>
        </w:rPr>
        <w:t xml:space="preserve"> close to model lines.</w:t>
      </w:r>
    </w:p>
    <w:p w14:paraId="56410F85" w14:textId="77777777" w:rsidR="00B24117" w:rsidRDefault="00B24117">
      <w:pPr>
        <w:rPr>
          <w:lang w:val="en-GB"/>
        </w:rPr>
      </w:pPr>
      <w:r>
        <w:rPr>
          <w:lang w:val="en-GB"/>
        </w:rPr>
        <w:br w:type="page"/>
      </w:r>
    </w:p>
    <w:p w14:paraId="623DDE70" w14:textId="067F23D0" w:rsidR="00FF3DD7" w:rsidRDefault="00FF3DD7">
      <w:pPr>
        <w:rPr>
          <w:lang w:val="en-GB" w:eastAsia="en-US"/>
        </w:rPr>
      </w:pPr>
    </w:p>
    <w:p w14:paraId="7792BA7A" w14:textId="73417F47" w:rsidR="00BC3287" w:rsidRPr="00BC3287" w:rsidRDefault="00BC3287" w:rsidP="009D1A17">
      <w:pPr>
        <w:tabs>
          <w:tab w:val="left" w:pos="426"/>
        </w:tabs>
        <w:spacing w:line="480" w:lineRule="auto"/>
        <w:rPr>
          <w:b/>
          <w:u w:val="single"/>
        </w:rPr>
      </w:pPr>
      <w:r w:rsidRPr="00BC3287">
        <w:rPr>
          <w:b/>
          <w:u w:val="single"/>
        </w:rPr>
        <w:t>Supplementary Tables</w:t>
      </w:r>
    </w:p>
    <w:p w14:paraId="7D916A28" w14:textId="6F3E03AC" w:rsidR="009D1A17" w:rsidRDefault="009D1A17" w:rsidP="00BC3287">
      <w:pPr>
        <w:tabs>
          <w:tab w:val="left" w:pos="426"/>
        </w:tabs>
        <w:spacing w:after="120" w:line="360" w:lineRule="auto"/>
        <w:rPr>
          <w:lang w:val="en-GB"/>
        </w:rPr>
      </w:pPr>
      <w:r w:rsidRPr="008841BC">
        <w:rPr>
          <w:b/>
        </w:rPr>
        <w:t xml:space="preserve">Table </w:t>
      </w:r>
      <w:r>
        <w:rPr>
          <w:b/>
        </w:rPr>
        <w:t>S</w:t>
      </w:r>
      <w:r w:rsidR="00BC3287">
        <w:rPr>
          <w:b/>
        </w:rPr>
        <w:t>1</w:t>
      </w:r>
      <w:r w:rsidRPr="008841BC">
        <w:rPr>
          <w:b/>
        </w:rPr>
        <w:t xml:space="preserve">. </w:t>
      </w:r>
      <w:r>
        <w:rPr>
          <w:lang w:val="en-GB"/>
        </w:rPr>
        <w:t xml:space="preserve">Overview of </w:t>
      </w:r>
      <w:r w:rsidR="00E12E4F">
        <w:rPr>
          <w:lang w:val="en-GB"/>
        </w:rPr>
        <w:t xml:space="preserve">the </w:t>
      </w:r>
      <w:r w:rsidR="006444BA">
        <w:rPr>
          <w:lang w:val="en-GB"/>
        </w:rPr>
        <w:t>potential</w:t>
      </w:r>
      <w:r>
        <w:rPr>
          <w:lang w:val="en-GB"/>
        </w:rPr>
        <w:t xml:space="preserve"> explanatory variables</w:t>
      </w:r>
      <w:r w:rsidR="009531D5">
        <w:rPr>
          <w:lang w:val="en-GB"/>
        </w:rPr>
        <w:t xml:space="preserve"> of </w:t>
      </w:r>
      <w:r w:rsidR="009531D5" w:rsidRPr="00932DFE">
        <w:rPr>
          <w:i/>
          <w:lang w:val="en-GB"/>
        </w:rPr>
        <w:t>p</w:t>
      </w:r>
      <w:r w:rsidR="009531D5" w:rsidRPr="00932DFE">
        <w:rPr>
          <w:lang w:val="en-GB"/>
        </w:rPr>
        <w:t>CO</w:t>
      </w:r>
      <w:r w:rsidR="009531D5" w:rsidRPr="00932DFE">
        <w:rPr>
          <w:vertAlign w:val="subscript"/>
          <w:lang w:val="en-GB"/>
        </w:rPr>
        <w:t>2</w:t>
      </w:r>
      <w:proofErr w:type="gramStart"/>
      <w:r w:rsidR="009531D5">
        <w:rPr>
          <w:vertAlign w:val="subscript"/>
          <w:lang w:val="en-GB"/>
        </w:rPr>
        <w:t>,w</w:t>
      </w:r>
      <w:proofErr w:type="gramEnd"/>
      <w:r w:rsidR="009531D5">
        <w:rPr>
          <w:lang w:val="en-GB"/>
        </w:rPr>
        <w:t xml:space="preserve"> and </w:t>
      </w:r>
      <w:r w:rsidR="009531D5" w:rsidRPr="00932DFE">
        <w:rPr>
          <w:i/>
          <w:lang w:val="en-GB"/>
        </w:rPr>
        <w:t>p</w:t>
      </w:r>
      <w:r w:rsidR="009531D5" w:rsidRPr="00932DFE">
        <w:rPr>
          <w:lang w:val="en-GB"/>
        </w:rPr>
        <w:t>C</w:t>
      </w:r>
      <w:r w:rsidR="009531D5">
        <w:rPr>
          <w:lang w:val="en-GB"/>
        </w:rPr>
        <w:t>H</w:t>
      </w:r>
      <w:r w:rsidR="009531D5">
        <w:rPr>
          <w:vertAlign w:val="subscript"/>
          <w:lang w:val="en-GB"/>
        </w:rPr>
        <w:t>4,w</w:t>
      </w:r>
      <w:r w:rsidR="009531D5">
        <w:rPr>
          <w:lang w:val="en-GB"/>
        </w:rPr>
        <w:t xml:space="preserve"> </w:t>
      </w:r>
      <w:r>
        <w:rPr>
          <w:lang w:val="en-GB"/>
        </w:rPr>
        <w:t xml:space="preserve">included in </w:t>
      </w:r>
      <w:r w:rsidR="003F45C5">
        <w:rPr>
          <w:lang w:val="en-GB"/>
        </w:rPr>
        <w:t xml:space="preserve">the </w:t>
      </w:r>
      <w:r w:rsidRPr="003D011F">
        <w:rPr>
          <w:lang w:val="en-GB"/>
        </w:rPr>
        <w:t>partial</w:t>
      </w:r>
      <w:r>
        <w:rPr>
          <w:lang w:val="en-GB"/>
        </w:rPr>
        <w:t xml:space="preserve"> least square (PLS)</w:t>
      </w:r>
      <w:r w:rsidRPr="003D011F">
        <w:rPr>
          <w:lang w:val="en-GB"/>
        </w:rPr>
        <w:t xml:space="preserve"> models</w:t>
      </w:r>
      <w:r w:rsidR="009531D5">
        <w:rPr>
          <w:lang w:val="en-GB"/>
        </w:rPr>
        <w:t>.</w:t>
      </w:r>
    </w:p>
    <w:p w14:paraId="4EA26D2D" w14:textId="77777777" w:rsidR="00941F57" w:rsidRPr="00EE7324" w:rsidRDefault="009D60C3" w:rsidP="002F3B64">
      <w:pPr>
        <w:tabs>
          <w:tab w:val="left" w:pos="426"/>
        </w:tabs>
        <w:spacing w:line="480" w:lineRule="auto"/>
        <w:jc w:val="center"/>
      </w:pPr>
      <w:r w:rsidRPr="009D60C3">
        <w:rPr>
          <w:noProof/>
          <w:lang w:val="ca-ES" w:eastAsia="ca-ES" w:bidi="bo-CN"/>
        </w:rPr>
        <w:drawing>
          <wp:inline distT="0" distB="0" distL="0" distR="0" wp14:anchorId="20DBB3C8" wp14:editId="0CE0EEB0">
            <wp:extent cx="4512827" cy="3753293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631" cy="381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33FDF" w14:textId="0D783B62" w:rsidR="004F32E9" w:rsidRDefault="008D7119" w:rsidP="00061CC2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color w:val="000000" w:themeColor="text1"/>
          <w:sz w:val="20"/>
          <w:szCs w:val="20"/>
        </w:rPr>
      </w:pPr>
      <w:r w:rsidRPr="008D7119">
        <w:rPr>
          <w:color w:val="000000" w:themeColor="text1"/>
          <w:sz w:val="20"/>
          <w:szCs w:val="20"/>
        </w:rPr>
        <w:t>Mean water velocity</w:t>
      </w:r>
      <w:r>
        <w:rPr>
          <w:color w:val="000000" w:themeColor="text1"/>
          <w:sz w:val="20"/>
          <w:szCs w:val="20"/>
        </w:rPr>
        <w:t>, mean width</w:t>
      </w:r>
      <w:r w:rsidRPr="008D7119">
        <w:rPr>
          <w:color w:val="000000" w:themeColor="text1"/>
          <w:sz w:val="20"/>
          <w:szCs w:val="20"/>
        </w:rPr>
        <w:t xml:space="preserve"> and</w:t>
      </w:r>
      <w:r>
        <w:rPr>
          <w:color w:val="000000" w:themeColor="text1"/>
          <w:sz w:val="20"/>
          <w:szCs w:val="20"/>
        </w:rPr>
        <w:t xml:space="preserve"> mean</w:t>
      </w:r>
      <w:r w:rsidRPr="008D7119">
        <w:rPr>
          <w:color w:val="000000" w:themeColor="text1"/>
          <w:sz w:val="20"/>
          <w:szCs w:val="20"/>
        </w:rPr>
        <w:t xml:space="preserve"> </w:t>
      </w:r>
      <w:r w:rsidR="0022752A" w:rsidRPr="008D7119">
        <w:rPr>
          <w:color w:val="000000" w:themeColor="text1"/>
          <w:sz w:val="20"/>
          <w:szCs w:val="20"/>
        </w:rPr>
        <w:t>depth</w:t>
      </w:r>
      <w:r w:rsidRPr="008D7119">
        <w:rPr>
          <w:color w:val="000000" w:themeColor="text1"/>
          <w:sz w:val="20"/>
          <w:szCs w:val="20"/>
        </w:rPr>
        <w:t xml:space="preserve"> of </w:t>
      </w:r>
      <w:r w:rsidR="00061CC2">
        <w:rPr>
          <w:color w:val="000000" w:themeColor="text1"/>
          <w:sz w:val="20"/>
          <w:szCs w:val="20"/>
        </w:rPr>
        <w:t xml:space="preserve">the impounded water </w:t>
      </w:r>
      <w:r w:rsidR="004F32E9">
        <w:rPr>
          <w:color w:val="000000" w:themeColor="text1"/>
          <w:sz w:val="20"/>
          <w:szCs w:val="20"/>
        </w:rPr>
        <w:t>of</w:t>
      </w:r>
      <w:r w:rsidR="00061CC2" w:rsidRPr="008D7119">
        <w:rPr>
          <w:color w:val="000000" w:themeColor="text1"/>
          <w:sz w:val="20"/>
          <w:szCs w:val="20"/>
        </w:rPr>
        <w:t xml:space="preserve"> each </w:t>
      </w:r>
      <w:r w:rsidR="00061CC2">
        <w:rPr>
          <w:color w:val="000000" w:themeColor="text1"/>
          <w:sz w:val="20"/>
          <w:szCs w:val="20"/>
        </w:rPr>
        <w:t>SWRT</w:t>
      </w:r>
      <w:r w:rsidR="00061CC2" w:rsidRPr="008D7119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and </w:t>
      </w:r>
      <w:r w:rsidR="004F32E9">
        <w:rPr>
          <w:color w:val="000000" w:themeColor="text1"/>
          <w:sz w:val="20"/>
          <w:szCs w:val="20"/>
        </w:rPr>
        <w:t xml:space="preserve">their </w:t>
      </w:r>
      <w:r w:rsidR="009531D5">
        <w:rPr>
          <w:color w:val="000000" w:themeColor="text1"/>
          <w:sz w:val="20"/>
          <w:szCs w:val="20"/>
        </w:rPr>
        <w:t xml:space="preserve">adjacent </w:t>
      </w:r>
      <w:r>
        <w:rPr>
          <w:color w:val="000000" w:themeColor="text1"/>
          <w:sz w:val="20"/>
          <w:szCs w:val="20"/>
        </w:rPr>
        <w:t xml:space="preserve">riverine section </w:t>
      </w:r>
      <w:r w:rsidRPr="008D7119">
        <w:rPr>
          <w:color w:val="000000" w:themeColor="text1"/>
          <w:sz w:val="20"/>
          <w:szCs w:val="20"/>
        </w:rPr>
        <w:t>was determined in the field every sampling campaign.</w:t>
      </w:r>
      <w:r w:rsidR="009531D5">
        <w:rPr>
          <w:color w:val="000000" w:themeColor="text1"/>
          <w:sz w:val="20"/>
          <w:szCs w:val="20"/>
        </w:rPr>
        <w:t xml:space="preserve"> The discharge of each riverine section (upstream and downstream to the SWRS) was derived by combining the mean water velocity with the mean width and depth.</w:t>
      </w:r>
      <w:r w:rsidRPr="008D7119">
        <w:rPr>
          <w:color w:val="000000" w:themeColor="text1"/>
          <w:sz w:val="20"/>
          <w:szCs w:val="20"/>
        </w:rPr>
        <w:t xml:space="preserve"> </w:t>
      </w:r>
    </w:p>
    <w:p w14:paraId="56F636C3" w14:textId="77777777" w:rsidR="004F32E9" w:rsidRDefault="008D7119" w:rsidP="00061CC2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color w:val="000000" w:themeColor="text1"/>
          <w:sz w:val="20"/>
          <w:szCs w:val="20"/>
        </w:rPr>
      </w:pPr>
      <w:r w:rsidRPr="008D7119">
        <w:rPr>
          <w:color w:val="000000" w:themeColor="text1"/>
          <w:sz w:val="20"/>
          <w:szCs w:val="20"/>
        </w:rPr>
        <w:t xml:space="preserve">The </w:t>
      </w:r>
      <w:r w:rsidRPr="009531D5">
        <w:rPr>
          <w:i/>
          <w:iCs/>
          <w:color w:val="000000" w:themeColor="text1"/>
          <w:sz w:val="20"/>
          <w:szCs w:val="20"/>
        </w:rPr>
        <w:t>surface area</w:t>
      </w:r>
      <w:r w:rsidRPr="008D7119">
        <w:rPr>
          <w:color w:val="000000" w:themeColor="text1"/>
          <w:sz w:val="20"/>
          <w:szCs w:val="20"/>
        </w:rPr>
        <w:t xml:space="preserve"> </w:t>
      </w:r>
      <w:r w:rsidR="009531D5">
        <w:rPr>
          <w:color w:val="000000" w:themeColor="text1"/>
          <w:sz w:val="20"/>
          <w:szCs w:val="20"/>
        </w:rPr>
        <w:t>(</w:t>
      </w:r>
      <w:r w:rsidR="009531D5" w:rsidRPr="004F32E9">
        <w:rPr>
          <w:b/>
          <w:bCs/>
          <w:i/>
          <w:iCs/>
          <w:color w:val="000000" w:themeColor="text1"/>
          <w:sz w:val="20"/>
          <w:szCs w:val="20"/>
        </w:rPr>
        <w:t>Area</w:t>
      </w:r>
      <w:r w:rsidR="009531D5">
        <w:rPr>
          <w:color w:val="000000" w:themeColor="text1"/>
          <w:sz w:val="20"/>
          <w:szCs w:val="20"/>
        </w:rPr>
        <w:t>) impounded at</w:t>
      </w:r>
      <w:r w:rsidRPr="008D7119">
        <w:rPr>
          <w:color w:val="000000" w:themeColor="text1"/>
          <w:sz w:val="20"/>
          <w:szCs w:val="20"/>
        </w:rPr>
        <w:t xml:space="preserve"> each </w:t>
      </w:r>
      <w:r w:rsidR="009531D5">
        <w:rPr>
          <w:color w:val="000000" w:themeColor="text1"/>
          <w:sz w:val="20"/>
          <w:szCs w:val="20"/>
        </w:rPr>
        <w:t>SWRT</w:t>
      </w:r>
      <w:r w:rsidRPr="008D7119">
        <w:rPr>
          <w:color w:val="000000" w:themeColor="text1"/>
          <w:sz w:val="20"/>
          <w:szCs w:val="20"/>
        </w:rPr>
        <w:t xml:space="preserve"> was derived from a high resolution </w:t>
      </w:r>
      <w:proofErr w:type="spellStart"/>
      <w:r w:rsidRPr="008D7119">
        <w:rPr>
          <w:color w:val="000000" w:themeColor="text1"/>
          <w:sz w:val="20"/>
          <w:szCs w:val="20"/>
        </w:rPr>
        <w:t>orthophoto</w:t>
      </w:r>
      <w:proofErr w:type="spellEnd"/>
      <w:r w:rsidRPr="008D7119">
        <w:rPr>
          <w:color w:val="000000" w:themeColor="text1"/>
          <w:sz w:val="20"/>
          <w:szCs w:val="20"/>
        </w:rPr>
        <w:t xml:space="preserve"> </w:t>
      </w:r>
      <w:r w:rsidRPr="00061CC2">
        <w:rPr>
          <w:color w:val="000000" w:themeColor="text1"/>
          <w:sz w:val="20"/>
          <w:szCs w:val="20"/>
        </w:rPr>
        <w:t>by using the geometrical tool of Google Earth Pro (</w:t>
      </w:r>
      <w:hyperlink r:id="rId7" w:history="1">
        <w:r w:rsidRPr="00061CC2">
          <w:rPr>
            <w:rStyle w:val="Hipervnculo"/>
            <w:color w:val="0070C0"/>
            <w:sz w:val="20"/>
            <w:szCs w:val="20"/>
          </w:rPr>
          <w:t>https://www.google.com/intl/es/earth/index.html</w:t>
        </w:r>
      </w:hyperlink>
      <w:r w:rsidRPr="00061CC2">
        <w:rPr>
          <w:color w:val="000000" w:themeColor="text1"/>
          <w:sz w:val="20"/>
          <w:szCs w:val="20"/>
        </w:rPr>
        <w:t>)</w:t>
      </w:r>
      <w:r w:rsidR="009531D5" w:rsidRPr="00061CC2">
        <w:rPr>
          <w:color w:val="000000" w:themeColor="text1"/>
          <w:sz w:val="20"/>
          <w:szCs w:val="20"/>
        </w:rPr>
        <w:t xml:space="preserve">. </w:t>
      </w:r>
    </w:p>
    <w:p w14:paraId="3E9FAE22" w14:textId="77777777" w:rsidR="004F32E9" w:rsidRDefault="009531D5" w:rsidP="00061CC2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color w:val="000000" w:themeColor="text1"/>
          <w:sz w:val="20"/>
          <w:szCs w:val="20"/>
        </w:rPr>
      </w:pPr>
      <w:r w:rsidRPr="00061CC2">
        <w:rPr>
          <w:color w:val="000000" w:themeColor="text1"/>
          <w:sz w:val="20"/>
          <w:szCs w:val="20"/>
        </w:rPr>
        <w:t xml:space="preserve">The </w:t>
      </w:r>
      <w:r w:rsidRPr="00061CC2">
        <w:rPr>
          <w:i/>
          <w:iCs/>
          <w:color w:val="000000" w:themeColor="text1"/>
          <w:sz w:val="20"/>
          <w:szCs w:val="20"/>
        </w:rPr>
        <w:t>volume</w:t>
      </w:r>
      <w:r w:rsidR="00061CC2">
        <w:rPr>
          <w:i/>
          <w:iCs/>
          <w:color w:val="000000" w:themeColor="text1"/>
          <w:sz w:val="20"/>
          <w:szCs w:val="20"/>
        </w:rPr>
        <w:t xml:space="preserve"> (</w:t>
      </w:r>
      <w:r w:rsidR="00061CC2" w:rsidRPr="004F32E9">
        <w:rPr>
          <w:b/>
          <w:bCs/>
          <w:i/>
          <w:iCs/>
          <w:color w:val="000000" w:themeColor="text1"/>
          <w:sz w:val="20"/>
          <w:szCs w:val="20"/>
        </w:rPr>
        <w:t>Volume</w:t>
      </w:r>
      <w:r w:rsidR="00061CC2">
        <w:rPr>
          <w:i/>
          <w:iCs/>
          <w:color w:val="000000" w:themeColor="text1"/>
          <w:sz w:val="20"/>
          <w:szCs w:val="20"/>
        </w:rPr>
        <w:t>)</w:t>
      </w:r>
      <w:r w:rsidRPr="00061CC2">
        <w:rPr>
          <w:color w:val="000000" w:themeColor="text1"/>
          <w:sz w:val="20"/>
          <w:szCs w:val="20"/>
        </w:rPr>
        <w:t xml:space="preserve"> impounded at each SWRT was</w:t>
      </w:r>
      <w:r w:rsidR="00061CC2">
        <w:rPr>
          <w:color w:val="000000" w:themeColor="text1"/>
          <w:sz w:val="20"/>
          <w:szCs w:val="20"/>
        </w:rPr>
        <w:t xml:space="preserve"> derived</w:t>
      </w:r>
      <w:r w:rsidRPr="00061CC2">
        <w:rPr>
          <w:color w:val="000000" w:themeColor="text1"/>
          <w:sz w:val="20"/>
          <w:szCs w:val="20"/>
        </w:rPr>
        <w:t xml:space="preserve"> from the mean depth and the surface area of each impoundment</w:t>
      </w:r>
      <w:r w:rsidRPr="009531D5">
        <w:rPr>
          <w:color w:val="000000" w:themeColor="text1"/>
          <w:sz w:val="20"/>
          <w:szCs w:val="20"/>
        </w:rPr>
        <w:t xml:space="preserve">. </w:t>
      </w:r>
      <w:r w:rsidR="00061CC2" w:rsidRPr="00061CC2">
        <w:rPr>
          <w:color w:val="000000" w:themeColor="text1"/>
          <w:sz w:val="20"/>
          <w:szCs w:val="20"/>
        </w:rPr>
        <w:t xml:space="preserve">Further validation of the surface area and volume was performed from digitized bathymetric maps using a geospatial-processing software (ArcMap 10, </w:t>
      </w:r>
      <w:proofErr w:type="spellStart"/>
      <w:r w:rsidR="00061CC2" w:rsidRPr="00061CC2">
        <w:rPr>
          <w:color w:val="000000" w:themeColor="text1"/>
          <w:sz w:val="20"/>
          <w:szCs w:val="20"/>
        </w:rPr>
        <w:t>ArcGis</w:t>
      </w:r>
      <w:proofErr w:type="spellEnd"/>
      <w:r w:rsidR="00061CC2" w:rsidRPr="00061CC2">
        <w:rPr>
          <w:color w:val="000000" w:themeColor="text1"/>
          <w:sz w:val="20"/>
          <w:szCs w:val="20"/>
        </w:rPr>
        <w:t>, USA).</w:t>
      </w:r>
      <w:r w:rsidR="00061CC2">
        <w:rPr>
          <w:color w:val="000000" w:themeColor="text1"/>
          <w:sz w:val="20"/>
          <w:szCs w:val="20"/>
        </w:rPr>
        <w:t xml:space="preserve"> </w:t>
      </w:r>
    </w:p>
    <w:p w14:paraId="0EE81948" w14:textId="77777777" w:rsidR="009531D5" w:rsidRPr="001A371B" w:rsidRDefault="004F32E9" w:rsidP="00061CC2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="009531D5" w:rsidRPr="009531D5">
        <w:rPr>
          <w:color w:val="000000" w:themeColor="text1"/>
          <w:sz w:val="20"/>
          <w:szCs w:val="20"/>
        </w:rPr>
        <w:t xml:space="preserve">he </w:t>
      </w:r>
      <w:r w:rsidR="009531D5" w:rsidRPr="009531D5">
        <w:rPr>
          <w:i/>
          <w:color w:val="000000" w:themeColor="text1"/>
          <w:sz w:val="20"/>
          <w:szCs w:val="20"/>
        </w:rPr>
        <w:t>water residence time</w:t>
      </w:r>
      <w:r w:rsidR="00061CC2">
        <w:rPr>
          <w:i/>
          <w:color w:val="000000" w:themeColor="text1"/>
          <w:sz w:val="20"/>
          <w:szCs w:val="20"/>
        </w:rPr>
        <w:t xml:space="preserve"> (</w:t>
      </w:r>
      <w:r w:rsidR="00061CC2" w:rsidRPr="00061CC2">
        <w:rPr>
          <w:b/>
          <w:bCs/>
          <w:i/>
          <w:color w:val="000000" w:themeColor="text1"/>
          <w:sz w:val="20"/>
          <w:szCs w:val="20"/>
        </w:rPr>
        <w:t>WRT</w:t>
      </w:r>
      <w:r w:rsidR="00061CC2">
        <w:rPr>
          <w:i/>
          <w:color w:val="000000" w:themeColor="text1"/>
          <w:sz w:val="20"/>
          <w:szCs w:val="20"/>
        </w:rPr>
        <w:t>)</w:t>
      </w:r>
      <w:r w:rsidR="009531D5" w:rsidRPr="009531D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of the water impounded at each SWRT was obtained </w:t>
      </w:r>
      <w:r w:rsidR="009531D5" w:rsidRPr="009531D5">
        <w:rPr>
          <w:color w:val="000000" w:themeColor="text1"/>
          <w:sz w:val="20"/>
          <w:szCs w:val="20"/>
        </w:rPr>
        <w:t>by dividing the impounded water volume by the inflowing water discharge at each system.</w:t>
      </w:r>
      <w:r w:rsidR="00061CC2">
        <w:rPr>
          <w:color w:val="000000" w:themeColor="text1"/>
          <w:sz w:val="20"/>
          <w:szCs w:val="20"/>
        </w:rPr>
        <w:t xml:space="preserve"> </w:t>
      </w:r>
    </w:p>
    <w:p w14:paraId="791EAB35" w14:textId="77777777" w:rsidR="004F32E9" w:rsidRDefault="00326C44" w:rsidP="00061CC2">
      <w:pPr>
        <w:spacing w:line="288" w:lineRule="auto"/>
        <w:rPr>
          <w:sz w:val="20"/>
          <w:szCs w:val="20"/>
        </w:rPr>
      </w:pPr>
      <w:r w:rsidRPr="00AA1A0E">
        <w:rPr>
          <w:sz w:val="20"/>
          <w:szCs w:val="20"/>
        </w:rPr>
        <w:t xml:space="preserve">Reported surface water </w:t>
      </w:r>
      <w:proofErr w:type="spellStart"/>
      <w:r w:rsidRPr="00AA1A0E">
        <w:rPr>
          <w:sz w:val="20"/>
          <w:szCs w:val="20"/>
        </w:rPr>
        <w:t>physico</w:t>
      </w:r>
      <w:proofErr w:type="spellEnd"/>
      <w:r w:rsidR="00483F47" w:rsidRPr="00AA1A0E">
        <w:rPr>
          <w:sz w:val="20"/>
          <w:szCs w:val="20"/>
        </w:rPr>
        <w:t>-</w:t>
      </w:r>
      <w:r w:rsidRPr="00AA1A0E">
        <w:rPr>
          <w:sz w:val="20"/>
          <w:szCs w:val="20"/>
        </w:rPr>
        <w:t xml:space="preserve">chemical parameters are means of three measurements (n=3) </w:t>
      </w:r>
      <w:r w:rsidR="00061CC2">
        <w:rPr>
          <w:sz w:val="20"/>
          <w:szCs w:val="20"/>
        </w:rPr>
        <w:t xml:space="preserve">made </w:t>
      </w:r>
      <w:r w:rsidRPr="00AA1A0E">
        <w:rPr>
          <w:sz w:val="20"/>
          <w:szCs w:val="20"/>
        </w:rPr>
        <w:t>at the same location where the flux measurements were carried out</w:t>
      </w:r>
      <w:r w:rsidR="00483F47" w:rsidRPr="00AA1A0E">
        <w:rPr>
          <w:sz w:val="20"/>
          <w:szCs w:val="20"/>
        </w:rPr>
        <w:t xml:space="preserve">. </w:t>
      </w:r>
    </w:p>
    <w:p w14:paraId="289AF81B" w14:textId="77777777" w:rsidR="00326C44" w:rsidRPr="00AA1A0E" w:rsidRDefault="00326C44" w:rsidP="00061CC2">
      <w:pPr>
        <w:spacing w:line="288" w:lineRule="auto"/>
        <w:rPr>
          <w:sz w:val="20"/>
          <w:szCs w:val="20"/>
        </w:rPr>
      </w:pPr>
      <w:r w:rsidRPr="00AA1A0E">
        <w:rPr>
          <w:i/>
          <w:sz w:val="20"/>
          <w:szCs w:val="20"/>
        </w:rPr>
        <w:t>Surface water temperature</w:t>
      </w:r>
      <w:r w:rsidR="00AA1A0E">
        <w:rPr>
          <w:i/>
          <w:sz w:val="20"/>
          <w:szCs w:val="20"/>
        </w:rPr>
        <w:t xml:space="preserve"> (</w:t>
      </w:r>
      <w:r w:rsidR="00AA1A0E" w:rsidRPr="004F32E9">
        <w:rPr>
          <w:b/>
          <w:bCs/>
          <w:i/>
          <w:sz w:val="20"/>
          <w:szCs w:val="20"/>
        </w:rPr>
        <w:t>Temp</w:t>
      </w:r>
      <w:r w:rsidR="00AA1A0E">
        <w:rPr>
          <w:i/>
          <w:sz w:val="20"/>
          <w:szCs w:val="20"/>
        </w:rPr>
        <w:t>)</w:t>
      </w:r>
      <w:r w:rsidR="00483F47" w:rsidRPr="00AA1A0E">
        <w:rPr>
          <w:sz w:val="20"/>
          <w:szCs w:val="20"/>
        </w:rPr>
        <w:t xml:space="preserve">, </w:t>
      </w:r>
      <w:r w:rsidR="00483F47" w:rsidRPr="00AA1A0E">
        <w:rPr>
          <w:i/>
          <w:sz w:val="20"/>
          <w:szCs w:val="20"/>
        </w:rPr>
        <w:t>electrical</w:t>
      </w:r>
      <w:r w:rsidRPr="00AA1A0E">
        <w:rPr>
          <w:sz w:val="20"/>
          <w:szCs w:val="20"/>
        </w:rPr>
        <w:t xml:space="preserve"> </w:t>
      </w:r>
      <w:r w:rsidRPr="00AA1A0E">
        <w:rPr>
          <w:i/>
          <w:sz w:val="20"/>
          <w:szCs w:val="20"/>
        </w:rPr>
        <w:t>conductivity</w:t>
      </w:r>
      <w:r w:rsidR="00AA1A0E">
        <w:rPr>
          <w:i/>
          <w:sz w:val="20"/>
          <w:szCs w:val="20"/>
        </w:rPr>
        <w:t xml:space="preserve"> (</w:t>
      </w:r>
      <w:r w:rsidR="00AA1A0E" w:rsidRPr="004F32E9">
        <w:rPr>
          <w:b/>
          <w:bCs/>
          <w:i/>
          <w:sz w:val="20"/>
          <w:szCs w:val="20"/>
        </w:rPr>
        <w:t>EC</w:t>
      </w:r>
      <w:r w:rsidR="00AA1A0E">
        <w:rPr>
          <w:i/>
          <w:sz w:val="20"/>
          <w:szCs w:val="20"/>
        </w:rPr>
        <w:t>)</w:t>
      </w:r>
      <w:r w:rsidR="00953322" w:rsidRPr="00AA1A0E">
        <w:rPr>
          <w:sz w:val="20"/>
          <w:szCs w:val="20"/>
        </w:rPr>
        <w:t xml:space="preserve">, </w:t>
      </w:r>
      <w:r w:rsidR="00953322" w:rsidRPr="004F32E9">
        <w:rPr>
          <w:i/>
          <w:sz w:val="20"/>
          <w:szCs w:val="20"/>
        </w:rPr>
        <w:t>pH</w:t>
      </w:r>
      <w:r w:rsidR="004F32E9">
        <w:rPr>
          <w:b/>
          <w:bCs/>
          <w:i/>
          <w:sz w:val="20"/>
          <w:szCs w:val="20"/>
        </w:rPr>
        <w:t xml:space="preserve"> (pH)</w:t>
      </w:r>
      <w:r w:rsidR="00953322" w:rsidRPr="00AA1A0E">
        <w:rPr>
          <w:sz w:val="20"/>
          <w:szCs w:val="20"/>
        </w:rPr>
        <w:t xml:space="preserve"> and </w:t>
      </w:r>
      <w:r w:rsidR="00953322" w:rsidRPr="00AA1A0E">
        <w:rPr>
          <w:i/>
          <w:sz w:val="20"/>
          <w:szCs w:val="20"/>
        </w:rPr>
        <w:t>oxygen saturation</w:t>
      </w:r>
      <w:r w:rsidR="00AA1A0E">
        <w:rPr>
          <w:i/>
          <w:sz w:val="20"/>
          <w:szCs w:val="20"/>
        </w:rPr>
        <w:t xml:space="preserve"> (</w:t>
      </w:r>
      <w:r w:rsidR="00AA1A0E" w:rsidRPr="00061CC2">
        <w:rPr>
          <w:b/>
          <w:bCs/>
          <w:i/>
          <w:sz w:val="20"/>
          <w:szCs w:val="20"/>
        </w:rPr>
        <w:t>DO Sat</w:t>
      </w:r>
      <w:r w:rsidR="00AA1A0E">
        <w:rPr>
          <w:i/>
          <w:sz w:val="20"/>
          <w:szCs w:val="20"/>
        </w:rPr>
        <w:t>)</w:t>
      </w:r>
      <w:r w:rsidR="00953322" w:rsidRPr="00AA1A0E">
        <w:rPr>
          <w:sz w:val="20"/>
          <w:szCs w:val="20"/>
        </w:rPr>
        <w:t xml:space="preserve"> </w:t>
      </w:r>
      <w:r w:rsidRPr="00AA1A0E">
        <w:rPr>
          <w:sz w:val="20"/>
          <w:szCs w:val="20"/>
        </w:rPr>
        <w:t>were measured with a portable probe (</w:t>
      </w:r>
      <w:r w:rsidR="00483F47" w:rsidRPr="00AA1A0E">
        <w:rPr>
          <w:sz w:val="20"/>
          <w:szCs w:val="20"/>
        </w:rPr>
        <w:t>WTW, Germany)</w:t>
      </w:r>
      <w:r w:rsidR="00061CC2">
        <w:rPr>
          <w:sz w:val="20"/>
          <w:szCs w:val="20"/>
        </w:rPr>
        <w:t>.</w:t>
      </w:r>
      <w:r w:rsidR="00483F47" w:rsidRPr="00AA1A0E">
        <w:rPr>
          <w:sz w:val="20"/>
          <w:szCs w:val="20"/>
        </w:rPr>
        <w:t xml:space="preserve"> </w:t>
      </w:r>
    </w:p>
    <w:p w14:paraId="5C2CF45B" w14:textId="77777777" w:rsidR="00326C44" w:rsidRPr="00AA1A0E" w:rsidRDefault="00326C44" w:rsidP="00061CC2">
      <w:pPr>
        <w:spacing w:line="288" w:lineRule="auto"/>
        <w:rPr>
          <w:color w:val="000000" w:themeColor="text1"/>
          <w:sz w:val="20"/>
          <w:szCs w:val="20"/>
        </w:rPr>
      </w:pPr>
      <w:r w:rsidRPr="00AA1A0E">
        <w:rPr>
          <w:i/>
          <w:sz w:val="20"/>
          <w:szCs w:val="20"/>
        </w:rPr>
        <w:t>Dissolved organic carbon</w:t>
      </w:r>
      <w:r w:rsidR="00AA1A0E">
        <w:rPr>
          <w:i/>
          <w:sz w:val="20"/>
          <w:szCs w:val="20"/>
        </w:rPr>
        <w:t xml:space="preserve"> (</w:t>
      </w:r>
      <w:r w:rsidR="00AA1A0E" w:rsidRPr="004F32E9">
        <w:rPr>
          <w:b/>
          <w:bCs/>
          <w:i/>
          <w:sz w:val="20"/>
          <w:szCs w:val="20"/>
        </w:rPr>
        <w:t>DOC</w:t>
      </w:r>
      <w:r w:rsidR="00AA1A0E">
        <w:rPr>
          <w:i/>
          <w:sz w:val="20"/>
          <w:szCs w:val="20"/>
        </w:rPr>
        <w:t>)</w:t>
      </w:r>
      <w:r w:rsidR="00953322" w:rsidRPr="00AA1A0E">
        <w:rPr>
          <w:i/>
          <w:sz w:val="20"/>
          <w:szCs w:val="20"/>
        </w:rPr>
        <w:t xml:space="preserve"> and total dissolved </w:t>
      </w:r>
      <w:r w:rsidR="00AA1A0E">
        <w:rPr>
          <w:i/>
          <w:sz w:val="20"/>
          <w:szCs w:val="20"/>
        </w:rPr>
        <w:t>nitrogen (</w:t>
      </w:r>
      <w:r w:rsidR="00AA1A0E" w:rsidRPr="00061CC2">
        <w:rPr>
          <w:b/>
          <w:bCs/>
          <w:i/>
          <w:sz w:val="20"/>
          <w:szCs w:val="20"/>
        </w:rPr>
        <w:t>TDN</w:t>
      </w:r>
      <w:r w:rsidR="00AA1A0E">
        <w:rPr>
          <w:i/>
          <w:sz w:val="20"/>
          <w:szCs w:val="20"/>
        </w:rPr>
        <w:t xml:space="preserve">) </w:t>
      </w:r>
      <w:r w:rsidR="00953322" w:rsidRPr="00AA1A0E">
        <w:rPr>
          <w:sz w:val="20"/>
          <w:szCs w:val="20"/>
        </w:rPr>
        <w:t>concentration</w:t>
      </w:r>
      <w:r w:rsidRPr="00AA1A0E">
        <w:rPr>
          <w:sz w:val="20"/>
          <w:szCs w:val="20"/>
        </w:rPr>
        <w:t xml:space="preserve"> in water </w:t>
      </w:r>
      <w:r w:rsidR="00953322" w:rsidRPr="00AA1A0E">
        <w:rPr>
          <w:sz w:val="20"/>
          <w:szCs w:val="20"/>
        </w:rPr>
        <w:t>was</w:t>
      </w:r>
      <w:r w:rsidRPr="00AA1A0E">
        <w:rPr>
          <w:sz w:val="20"/>
          <w:szCs w:val="20"/>
        </w:rPr>
        <w:t xml:space="preserve"> measured from 0.45 µm-filtered water samples with a total organic carbon </w:t>
      </w:r>
      <w:r w:rsidR="00AA1A0E" w:rsidRPr="00AA1A0E">
        <w:rPr>
          <w:sz w:val="20"/>
          <w:szCs w:val="20"/>
        </w:rPr>
        <w:t>analyzer</w:t>
      </w:r>
      <w:r w:rsidRPr="00AA1A0E">
        <w:rPr>
          <w:sz w:val="20"/>
          <w:szCs w:val="20"/>
        </w:rPr>
        <w:t xml:space="preserve"> (TOC-V CSH, Shimadzu, Japan). The samples for </w:t>
      </w:r>
      <w:r w:rsidRPr="00061CC2">
        <w:rPr>
          <w:i/>
          <w:iCs/>
          <w:sz w:val="20"/>
          <w:szCs w:val="20"/>
        </w:rPr>
        <w:t xml:space="preserve">DOC </w:t>
      </w:r>
      <w:r w:rsidRPr="00AA1A0E">
        <w:rPr>
          <w:sz w:val="20"/>
          <w:szCs w:val="20"/>
        </w:rPr>
        <w:t>determination were previously acidified to eliminate dissolved inorganic constituents</w:t>
      </w:r>
      <w:r w:rsidR="00953322" w:rsidRPr="00AA1A0E">
        <w:rPr>
          <w:sz w:val="20"/>
          <w:szCs w:val="20"/>
        </w:rPr>
        <w:t xml:space="preserve">. </w:t>
      </w:r>
      <w:r w:rsidR="00953322" w:rsidRPr="00AA1A0E">
        <w:rPr>
          <w:color w:val="000000" w:themeColor="text1"/>
          <w:sz w:val="20"/>
          <w:szCs w:val="20"/>
        </w:rPr>
        <w:t xml:space="preserve">The filters were air-dried and packed into plastic bags for transportation; </w:t>
      </w:r>
      <w:r w:rsidR="00953322" w:rsidRPr="00AA1A0E">
        <w:rPr>
          <w:i/>
          <w:iCs/>
          <w:color w:val="000000" w:themeColor="text1"/>
          <w:sz w:val="20"/>
          <w:szCs w:val="20"/>
        </w:rPr>
        <w:t>particulate organic carbon</w:t>
      </w:r>
      <w:r w:rsidR="00953322" w:rsidRPr="00AA1A0E">
        <w:rPr>
          <w:color w:val="000000" w:themeColor="text1"/>
          <w:sz w:val="20"/>
          <w:szCs w:val="20"/>
        </w:rPr>
        <w:t xml:space="preserve"> (</w:t>
      </w:r>
      <w:r w:rsidR="00953322" w:rsidRPr="004F32E9">
        <w:rPr>
          <w:b/>
          <w:bCs/>
          <w:i/>
          <w:iCs/>
          <w:color w:val="000000" w:themeColor="text1"/>
          <w:sz w:val="20"/>
          <w:szCs w:val="20"/>
        </w:rPr>
        <w:t>POC</w:t>
      </w:r>
      <w:r w:rsidR="00953322" w:rsidRPr="00AA1A0E">
        <w:rPr>
          <w:color w:val="000000" w:themeColor="text1"/>
          <w:sz w:val="20"/>
          <w:szCs w:val="20"/>
        </w:rPr>
        <w:t>) concentrations were determi</w:t>
      </w:r>
      <w:r w:rsidR="002C708C" w:rsidRPr="00AA1A0E">
        <w:rPr>
          <w:color w:val="000000" w:themeColor="text1"/>
          <w:sz w:val="20"/>
          <w:szCs w:val="20"/>
        </w:rPr>
        <w:t>ned by loss on ignition (at 375º</w:t>
      </w:r>
      <w:r w:rsidR="00AA1A0E" w:rsidRPr="00AA1A0E">
        <w:rPr>
          <w:color w:val="000000" w:themeColor="text1"/>
          <w:sz w:val="20"/>
          <w:szCs w:val="20"/>
        </w:rPr>
        <w:t>C for 16 h)</w:t>
      </w:r>
      <w:r w:rsidR="00953322" w:rsidRPr="00AA1A0E">
        <w:rPr>
          <w:color w:val="000000" w:themeColor="text1"/>
          <w:sz w:val="20"/>
          <w:szCs w:val="20"/>
        </w:rPr>
        <w:t xml:space="preserve">. An additional filter was used to quantify the </w:t>
      </w:r>
      <w:r w:rsidR="002C708C" w:rsidRPr="00AA1A0E">
        <w:rPr>
          <w:color w:val="000000" w:themeColor="text1"/>
          <w:sz w:val="20"/>
          <w:szCs w:val="20"/>
        </w:rPr>
        <w:t>photosynthetic</w:t>
      </w:r>
      <w:r w:rsidR="00953322" w:rsidRPr="00AA1A0E">
        <w:rPr>
          <w:color w:val="000000" w:themeColor="text1"/>
          <w:sz w:val="20"/>
          <w:szCs w:val="20"/>
        </w:rPr>
        <w:t xml:space="preserve"> pigments (</w:t>
      </w:r>
      <w:proofErr w:type="spellStart"/>
      <w:r w:rsidR="00953322" w:rsidRPr="004F32E9">
        <w:rPr>
          <w:b/>
          <w:bCs/>
          <w:i/>
          <w:iCs/>
          <w:color w:val="000000" w:themeColor="text1"/>
          <w:sz w:val="20"/>
          <w:szCs w:val="20"/>
        </w:rPr>
        <w:t>Chl</w:t>
      </w:r>
      <w:proofErr w:type="spellEnd"/>
      <w:r w:rsidR="00953322" w:rsidRPr="004F32E9">
        <w:rPr>
          <w:b/>
          <w:bCs/>
          <w:i/>
          <w:iCs/>
          <w:color w:val="000000" w:themeColor="text1"/>
          <w:sz w:val="20"/>
          <w:szCs w:val="20"/>
        </w:rPr>
        <w:t>-a</w:t>
      </w:r>
      <w:r w:rsidR="00953322" w:rsidRPr="00AA1A0E">
        <w:rPr>
          <w:color w:val="000000" w:themeColor="text1"/>
          <w:sz w:val="20"/>
          <w:szCs w:val="20"/>
        </w:rPr>
        <w:t xml:space="preserve">) </w:t>
      </w:r>
      <w:r w:rsidR="002C708C" w:rsidRPr="00AA1A0E">
        <w:rPr>
          <w:color w:val="000000" w:themeColor="text1"/>
          <w:sz w:val="20"/>
          <w:szCs w:val="20"/>
        </w:rPr>
        <w:t>spectrophotometrically</w:t>
      </w:r>
      <w:r w:rsidR="00953322" w:rsidRPr="00AA1A0E">
        <w:rPr>
          <w:color w:val="000000" w:themeColor="text1"/>
          <w:sz w:val="20"/>
          <w:szCs w:val="20"/>
        </w:rPr>
        <w:t xml:space="preserve"> after their extraction with 90% acetone.</w:t>
      </w:r>
    </w:p>
    <w:p w14:paraId="43A72B03" w14:textId="77777777" w:rsidR="00756C2C" w:rsidRDefault="00953322" w:rsidP="00061CC2">
      <w:pPr>
        <w:spacing w:line="288" w:lineRule="auto"/>
        <w:rPr>
          <w:color w:val="000000" w:themeColor="text1"/>
          <w:sz w:val="20"/>
          <w:szCs w:val="20"/>
          <w:lang w:val="en-GB"/>
        </w:rPr>
      </w:pPr>
      <w:r w:rsidRPr="004F32E9">
        <w:rPr>
          <w:i/>
          <w:iCs/>
          <w:color w:val="000000" w:themeColor="text1"/>
          <w:sz w:val="20"/>
          <w:szCs w:val="20"/>
        </w:rPr>
        <w:lastRenderedPageBreak/>
        <w:t>Total nitrogen</w:t>
      </w:r>
      <w:r w:rsidR="004F32E9" w:rsidRPr="004F32E9">
        <w:rPr>
          <w:i/>
          <w:iCs/>
          <w:color w:val="000000" w:themeColor="text1"/>
          <w:sz w:val="20"/>
          <w:szCs w:val="20"/>
        </w:rPr>
        <w:t xml:space="preserve"> (</w:t>
      </w:r>
      <w:r w:rsidR="004F32E9" w:rsidRPr="004F32E9">
        <w:rPr>
          <w:b/>
          <w:bCs/>
          <w:i/>
          <w:iCs/>
          <w:color w:val="000000" w:themeColor="text1"/>
          <w:sz w:val="20"/>
          <w:szCs w:val="20"/>
        </w:rPr>
        <w:t>TN</w:t>
      </w:r>
      <w:r w:rsidR="004F32E9" w:rsidRPr="004F32E9">
        <w:rPr>
          <w:i/>
          <w:iCs/>
          <w:color w:val="000000" w:themeColor="text1"/>
          <w:sz w:val="20"/>
          <w:szCs w:val="20"/>
        </w:rPr>
        <w:t>)</w:t>
      </w:r>
      <w:r w:rsidRPr="004F32E9">
        <w:rPr>
          <w:i/>
          <w:iCs/>
          <w:color w:val="000000" w:themeColor="text1"/>
          <w:sz w:val="20"/>
          <w:szCs w:val="20"/>
        </w:rPr>
        <w:t xml:space="preserve"> and phosphorus samples</w:t>
      </w:r>
      <w:r w:rsidR="004F32E9" w:rsidRPr="004F32E9">
        <w:rPr>
          <w:i/>
          <w:iCs/>
          <w:color w:val="000000" w:themeColor="text1"/>
          <w:sz w:val="20"/>
          <w:szCs w:val="20"/>
        </w:rPr>
        <w:t xml:space="preserve"> (</w:t>
      </w:r>
      <w:r w:rsidR="004F32E9" w:rsidRPr="004F32E9">
        <w:rPr>
          <w:b/>
          <w:bCs/>
          <w:i/>
          <w:iCs/>
          <w:color w:val="000000" w:themeColor="text1"/>
          <w:sz w:val="20"/>
          <w:szCs w:val="20"/>
        </w:rPr>
        <w:t>TP</w:t>
      </w:r>
      <w:r w:rsidR="004F32E9" w:rsidRPr="004F32E9">
        <w:rPr>
          <w:i/>
          <w:iCs/>
          <w:color w:val="000000" w:themeColor="text1"/>
          <w:sz w:val="20"/>
          <w:szCs w:val="20"/>
        </w:rPr>
        <w:t>)</w:t>
      </w:r>
      <w:r w:rsidRPr="00AA1A0E">
        <w:rPr>
          <w:color w:val="000000" w:themeColor="text1"/>
          <w:sz w:val="20"/>
          <w:szCs w:val="20"/>
        </w:rPr>
        <w:t xml:space="preserve"> were analyzed </w:t>
      </w:r>
      <w:r w:rsidR="002C708C" w:rsidRPr="00AA1A0E">
        <w:rPr>
          <w:color w:val="000000" w:themeColor="text1"/>
          <w:sz w:val="20"/>
          <w:szCs w:val="20"/>
        </w:rPr>
        <w:t>spectrophotometrically</w:t>
      </w:r>
      <w:r w:rsidRPr="00AA1A0E">
        <w:rPr>
          <w:color w:val="000000" w:themeColor="text1"/>
          <w:sz w:val="20"/>
          <w:szCs w:val="20"/>
        </w:rPr>
        <w:t xml:space="preserve"> following alkaline persulfate digestion. </w:t>
      </w:r>
    </w:p>
    <w:p w14:paraId="02DEDFC8" w14:textId="78A9C054" w:rsidR="00327C1F" w:rsidRDefault="00061CC2" w:rsidP="00327C1F">
      <w:pPr>
        <w:spacing w:line="288" w:lineRule="auto"/>
        <w:rPr>
          <w:color w:val="000000" w:themeColor="text1"/>
          <w:sz w:val="20"/>
          <w:szCs w:val="20"/>
          <w:lang w:val="en-GB"/>
        </w:rPr>
      </w:pPr>
      <w:r w:rsidRPr="004F32E9">
        <w:rPr>
          <w:i/>
          <w:iCs/>
          <w:color w:val="000000" w:themeColor="text1"/>
          <w:sz w:val="20"/>
          <w:szCs w:val="20"/>
          <w:lang w:val="en-GB"/>
        </w:rPr>
        <w:t>Alkalinity</w:t>
      </w:r>
      <w:r w:rsidR="004F32E9" w:rsidRPr="004F32E9">
        <w:rPr>
          <w:i/>
          <w:iCs/>
          <w:color w:val="000000" w:themeColor="text1"/>
          <w:sz w:val="20"/>
          <w:szCs w:val="20"/>
          <w:lang w:val="en-GB"/>
        </w:rPr>
        <w:t xml:space="preserve"> (</w:t>
      </w:r>
      <w:proofErr w:type="spellStart"/>
      <w:r w:rsidR="004F32E9" w:rsidRPr="004F32E9">
        <w:rPr>
          <w:b/>
          <w:bCs/>
          <w:i/>
          <w:iCs/>
          <w:color w:val="000000" w:themeColor="text1"/>
          <w:sz w:val="20"/>
          <w:szCs w:val="20"/>
          <w:lang w:val="en-GB"/>
        </w:rPr>
        <w:t>Alk</w:t>
      </w:r>
      <w:proofErr w:type="spellEnd"/>
      <w:r w:rsidR="004F32E9" w:rsidRPr="004F32E9">
        <w:rPr>
          <w:i/>
          <w:iCs/>
          <w:color w:val="000000" w:themeColor="text1"/>
          <w:sz w:val="20"/>
          <w:szCs w:val="20"/>
          <w:lang w:val="en-GB"/>
        </w:rPr>
        <w:t>)</w:t>
      </w:r>
      <w:r w:rsidRPr="00061CC2">
        <w:rPr>
          <w:color w:val="000000" w:themeColor="text1"/>
          <w:sz w:val="20"/>
          <w:szCs w:val="20"/>
          <w:lang w:val="en-GB"/>
        </w:rPr>
        <w:t xml:space="preserve"> was measured following Gran method. We used an</w:t>
      </w:r>
      <w:r>
        <w:rPr>
          <w:color w:val="000000" w:themeColor="text1"/>
          <w:sz w:val="20"/>
          <w:szCs w:val="20"/>
          <w:lang w:val="en-GB"/>
        </w:rPr>
        <w:t xml:space="preserve"> </w:t>
      </w:r>
      <w:r w:rsidRPr="00061CC2">
        <w:rPr>
          <w:color w:val="000000" w:themeColor="text1"/>
          <w:sz w:val="20"/>
          <w:szCs w:val="20"/>
          <w:lang w:val="en-GB"/>
        </w:rPr>
        <w:t xml:space="preserve">automatic </w:t>
      </w:r>
      <w:proofErr w:type="spellStart"/>
      <w:r w:rsidRPr="00061CC2">
        <w:rPr>
          <w:color w:val="000000" w:themeColor="text1"/>
          <w:sz w:val="20"/>
          <w:szCs w:val="20"/>
          <w:lang w:val="en-GB"/>
        </w:rPr>
        <w:t>Metrohm</w:t>
      </w:r>
      <w:proofErr w:type="spellEnd"/>
      <w:r w:rsidR="004F32E9" w:rsidRPr="004F32E9">
        <w:t xml:space="preserve"> </w:t>
      </w:r>
      <w:r w:rsidR="004F32E9" w:rsidRPr="004F32E9">
        <w:rPr>
          <w:color w:val="000000" w:themeColor="text1"/>
          <w:sz w:val="20"/>
          <w:szCs w:val="20"/>
          <w:lang w:val="en-GB"/>
        </w:rPr>
        <w:t xml:space="preserve">672 </w:t>
      </w:r>
      <w:proofErr w:type="spellStart"/>
      <w:r w:rsidR="004F32E9" w:rsidRPr="004F32E9">
        <w:rPr>
          <w:color w:val="000000" w:themeColor="text1"/>
          <w:sz w:val="20"/>
          <w:szCs w:val="20"/>
          <w:lang w:val="en-GB"/>
        </w:rPr>
        <w:t>Titoprocessors</w:t>
      </w:r>
      <w:proofErr w:type="spellEnd"/>
      <w:r w:rsidRPr="00061CC2">
        <w:rPr>
          <w:color w:val="000000" w:themeColor="text1"/>
          <w:sz w:val="20"/>
          <w:szCs w:val="20"/>
          <w:lang w:val="en-GB"/>
        </w:rPr>
        <w:t xml:space="preserve"> provided with a pH electrod</w:t>
      </w:r>
      <w:r w:rsidR="004F32E9">
        <w:rPr>
          <w:color w:val="000000" w:themeColor="text1"/>
          <w:sz w:val="20"/>
          <w:szCs w:val="20"/>
          <w:lang w:val="en-GB"/>
        </w:rPr>
        <w:t xml:space="preserve">e and </w:t>
      </w:r>
      <w:proofErr w:type="spellStart"/>
      <w:r w:rsidR="004F32E9">
        <w:rPr>
          <w:color w:val="000000" w:themeColor="text1"/>
          <w:sz w:val="20"/>
          <w:szCs w:val="20"/>
          <w:lang w:val="en-GB"/>
        </w:rPr>
        <w:t>HCl</w:t>
      </w:r>
      <w:proofErr w:type="spellEnd"/>
      <w:r w:rsidR="004F32E9">
        <w:rPr>
          <w:color w:val="000000" w:themeColor="text1"/>
          <w:sz w:val="20"/>
          <w:szCs w:val="20"/>
          <w:lang w:val="en-GB"/>
        </w:rPr>
        <w:t xml:space="preserve"> (0.01N).</w:t>
      </w:r>
    </w:p>
    <w:p w14:paraId="2344536C" w14:textId="77777777" w:rsidR="00327C1F" w:rsidRDefault="00327C1F" w:rsidP="00327C1F">
      <w:pPr>
        <w:spacing w:line="288" w:lineRule="auto"/>
        <w:rPr>
          <w:color w:val="000000" w:themeColor="text1"/>
          <w:sz w:val="20"/>
          <w:szCs w:val="20"/>
          <w:lang w:val="en-GB"/>
        </w:rPr>
      </w:pPr>
    </w:p>
    <w:p w14:paraId="0F412849" w14:textId="77777777" w:rsidR="00327C1F" w:rsidRDefault="00327C1F" w:rsidP="00327C1F">
      <w:pPr>
        <w:spacing w:line="288" w:lineRule="auto"/>
        <w:rPr>
          <w:color w:val="000000" w:themeColor="text1"/>
          <w:sz w:val="20"/>
          <w:szCs w:val="20"/>
          <w:lang w:val="en-GB"/>
        </w:rPr>
      </w:pPr>
    </w:p>
    <w:p w14:paraId="51B32806" w14:textId="77777777" w:rsidR="00327C1F" w:rsidRDefault="00327C1F" w:rsidP="00327C1F">
      <w:pPr>
        <w:spacing w:line="288" w:lineRule="auto"/>
        <w:rPr>
          <w:color w:val="000000" w:themeColor="text1"/>
          <w:sz w:val="20"/>
          <w:szCs w:val="20"/>
          <w:lang w:val="en-GB"/>
        </w:rPr>
      </w:pPr>
    </w:p>
    <w:p w14:paraId="61134E29" w14:textId="77777777" w:rsidR="00327C1F" w:rsidRDefault="00327C1F" w:rsidP="00327C1F">
      <w:pPr>
        <w:spacing w:line="288" w:lineRule="auto"/>
        <w:rPr>
          <w:color w:val="000000" w:themeColor="text1"/>
          <w:sz w:val="20"/>
          <w:szCs w:val="20"/>
          <w:lang w:val="en-GB"/>
        </w:rPr>
      </w:pPr>
    </w:p>
    <w:p w14:paraId="081306B4" w14:textId="58B38BC5" w:rsidR="009D1A17" w:rsidRPr="001565DE" w:rsidRDefault="009D1A17" w:rsidP="00A26156">
      <w:pPr>
        <w:spacing w:line="288" w:lineRule="auto"/>
        <w:rPr>
          <w:lang w:val="en-GB"/>
        </w:rPr>
      </w:pPr>
      <w:r w:rsidRPr="008841BC">
        <w:rPr>
          <w:b/>
        </w:rPr>
        <w:t xml:space="preserve">Table </w:t>
      </w:r>
      <w:r>
        <w:rPr>
          <w:b/>
        </w:rPr>
        <w:t>S</w:t>
      </w:r>
      <w:r w:rsidR="00BC3287">
        <w:rPr>
          <w:b/>
        </w:rPr>
        <w:t>2</w:t>
      </w:r>
      <w:r w:rsidRPr="008841BC">
        <w:rPr>
          <w:b/>
        </w:rPr>
        <w:t xml:space="preserve">. </w:t>
      </w:r>
      <w:r w:rsidRPr="003D011F">
        <w:rPr>
          <w:lang w:val="en-GB"/>
        </w:rPr>
        <w:t xml:space="preserve">Summary of </w:t>
      </w:r>
      <w:r>
        <w:rPr>
          <w:lang w:val="en-GB"/>
        </w:rPr>
        <w:t>partial least square (PLS)</w:t>
      </w:r>
      <w:r w:rsidRPr="003D011F">
        <w:rPr>
          <w:lang w:val="en-GB"/>
        </w:rPr>
        <w:t xml:space="preserve"> models produced for</w:t>
      </w:r>
      <w:r>
        <w:rPr>
          <w:lang w:val="en-GB"/>
        </w:rPr>
        <w:t xml:space="preserve"> </w:t>
      </w:r>
      <w:r w:rsidRPr="00932DFE">
        <w:rPr>
          <w:i/>
          <w:lang w:val="en-GB"/>
        </w:rPr>
        <w:t>p</w:t>
      </w:r>
      <w:r w:rsidRPr="00932DFE">
        <w:rPr>
          <w:lang w:val="en-GB"/>
        </w:rPr>
        <w:t>CO</w:t>
      </w:r>
      <w:r w:rsidRPr="00932DFE">
        <w:rPr>
          <w:vertAlign w:val="subscript"/>
          <w:lang w:val="en-GB"/>
        </w:rPr>
        <w:t>2</w:t>
      </w:r>
      <w:proofErr w:type="gramStart"/>
      <w:r>
        <w:rPr>
          <w:vertAlign w:val="subscript"/>
          <w:lang w:val="en-GB"/>
        </w:rPr>
        <w:t>,w</w:t>
      </w:r>
      <w:proofErr w:type="gramEnd"/>
      <w:r>
        <w:rPr>
          <w:lang w:val="en-GB"/>
        </w:rPr>
        <w:t xml:space="preserve"> and </w:t>
      </w:r>
      <w:r w:rsidRPr="00932DFE">
        <w:rPr>
          <w:i/>
          <w:lang w:val="en-GB"/>
        </w:rPr>
        <w:t>p</w:t>
      </w:r>
      <w:r w:rsidRPr="00932DFE">
        <w:rPr>
          <w:lang w:val="en-GB"/>
        </w:rPr>
        <w:t>CH</w:t>
      </w:r>
      <w:r w:rsidRPr="00932DFE">
        <w:rPr>
          <w:vertAlign w:val="subscript"/>
          <w:lang w:val="en-GB"/>
        </w:rPr>
        <w:t>4</w:t>
      </w:r>
      <w:r>
        <w:rPr>
          <w:vertAlign w:val="subscript"/>
          <w:lang w:val="en-GB"/>
        </w:rPr>
        <w:t>,w</w:t>
      </w:r>
      <w:r w:rsidR="001565DE">
        <w:rPr>
          <w:lang w:val="en-GB"/>
        </w:rPr>
        <w:t xml:space="preserve"> and Pearson’s correlations.</w:t>
      </w:r>
      <w:bookmarkStart w:id="0" w:name="_GoBack"/>
      <w:bookmarkEnd w:id="0"/>
    </w:p>
    <w:p w14:paraId="5CF4DB77" w14:textId="77777777" w:rsidR="007F022C" w:rsidRDefault="007F022C" w:rsidP="00A26156">
      <w:pPr>
        <w:spacing w:line="288" w:lineRule="auto"/>
      </w:pPr>
    </w:p>
    <w:p w14:paraId="3AF98601" w14:textId="1DE05B13" w:rsidR="007019A2" w:rsidRPr="00EE7324" w:rsidRDefault="00BF3A2C" w:rsidP="00A26156">
      <w:pPr>
        <w:spacing w:line="288" w:lineRule="auto"/>
      </w:pPr>
      <w:r w:rsidRPr="00BF3A2C">
        <w:drawing>
          <wp:inline distT="0" distB="0" distL="0" distR="0" wp14:anchorId="27E09305" wp14:editId="6D4CE348">
            <wp:extent cx="5483556" cy="4889500"/>
            <wp:effectExtent l="0" t="0" r="3175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97" cy="489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44749" w14:textId="6AB19DA4" w:rsidR="00F33221" w:rsidRDefault="00F33221" w:rsidP="002F3B64">
      <w:pPr>
        <w:jc w:val="center"/>
        <w:rPr>
          <w:b/>
          <w:u w:val="single"/>
          <w:lang w:eastAsia="en-US"/>
        </w:rPr>
      </w:pPr>
    </w:p>
    <w:sectPr w:rsidR="00F33221" w:rsidSect="0022752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F3"/>
    <w:rsid w:val="0000073E"/>
    <w:rsid w:val="00013B8B"/>
    <w:rsid w:val="000238C5"/>
    <w:rsid w:val="00040891"/>
    <w:rsid w:val="00061CC2"/>
    <w:rsid w:val="0007227C"/>
    <w:rsid w:val="00082CC0"/>
    <w:rsid w:val="00093A28"/>
    <w:rsid w:val="000A4A2E"/>
    <w:rsid w:val="000C1214"/>
    <w:rsid w:val="000D510E"/>
    <w:rsid w:val="000F1B08"/>
    <w:rsid w:val="001071F3"/>
    <w:rsid w:val="00121F3F"/>
    <w:rsid w:val="00146004"/>
    <w:rsid w:val="001520B5"/>
    <w:rsid w:val="001565DE"/>
    <w:rsid w:val="00163488"/>
    <w:rsid w:val="00171984"/>
    <w:rsid w:val="00175F15"/>
    <w:rsid w:val="00182500"/>
    <w:rsid w:val="00184B23"/>
    <w:rsid w:val="001919BC"/>
    <w:rsid w:val="00193C16"/>
    <w:rsid w:val="001976F3"/>
    <w:rsid w:val="001A371B"/>
    <w:rsid w:val="001B55C0"/>
    <w:rsid w:val="001B5AAF"/>
    <w:rsid w:val="001E429B"/>
    <w:rsid w:val="002019FA"/>
    <w:rsid w:val="002054A5"/>
    <w:rsid w:val="0021549A"/>
    <w:rsid w:val="00215DC8"/>
    <w:rsid w:val="00216AA6"/>
    <w:rsid w:val="00223DA0"/>
    <w:rsid w:val="0022752A"/>
    <w:rsid w:val="00261B1F"/>
    <w:rsid w:val="002629E0"/>
    <w:rsid w:val="00285D63"/>
    <w:rsid w:val="002A65C3"/>
    <w:rsid w:val="002C082B"/>
    <w:rsid w:val="002C708C"/>
    <w:rsid w:val="002D4437"/>
    <w:rsid w:val="002F3B64"/>
    <w:rsid w:val="002F62AB"/>
    <w:rsid w:val="00301E70"/>
    <w:rsid w:val="00302911"/>
    <w:rsid w:val="00305FD6"/>
    <w:rsid w:val="00306F46"/>
    <w:rsid w:val="003201C6"/>
    <w:rsid w:val="00326C44"/>
    <w:rsid w:val="00327C1F"/>
    <w:rsid w:val="00332189"/>
    <w:rsid w:val="00343398"/>
    <w:rsid w:val="00345598"/>
    <w:rsid w:val="00345B61"/>
    <w:rsid w:val="00360411"/>
    <w:rsid w:val="00370126"/>
    <w:rsid w:val="0038468A"/>
    <w:rsid w:val="003A3627"/>
    <w:rsid w:val="003A4C8A"/>
    <w:rsid w:val="003B00C8"/>
    <w:rsid w:val="003B17F5"/>
    <w:rsid w:val="003B338C"/>
    <w:rsid w:val="003C3B1F"/>
    <w:rsid w:val="003C7544"/>
    <w:rsid w:val="003F3FB1"/>
    <w:rsid w:val="003F45C5"/>
    <w:rsid w:val="00415EA6"/>
    <w:rsid w:val="00445668"/>
    <w:rsid w:val="00453097"/>
    <w:rsid w:val="00456BDD"/>
    <w:rsid w:val="00464B31"/>
    <w:rsid w:val="0048232D"/>
    <w:rsid w:val="00483F47"/>
    <w:rsid w:val="00484544"/>
    <w:rsid w:val="00491D84"/>
    <w:rsid w:val="004A4850"/>
    <w:rsid w:val="004A6996"/>
    <w:rsid w:val="004B1B0C"/>
    <w:rsid w:val="004B77F1"/>
    <w:rsid w:val="004D2EFE"/>
    <w:rsid w:val="004D787E"/>
    <w:rsid w:val="004E1BCD"/>
    <w:rsid w:val="004E6B3B"/>
    <w:rsid w:val="004F32E9"/>
    <w:rsid w:val="004F3FFF"/>
    <w:rsid w:val="00503D8E"/>
    <w:rsid w:val="00504760"/>
    <w:rsid w:val="00504C20"/>
    <w:rsid w:val="00513553"/>
    <w:rsid w:val="00513D73"/>
    <w:rsid w:val="0052079D"/>
    <w:rsid w:val="00536F0B"/>
    <w:rsid w:val="00556030"/>
    <w:rsid w:val="005566D8"/>
    <w:rsid w:val="00557E82"/>
    <w:rsid w:val="00571B50"/>
    <w:rsid w:val="00572B7C"/>
    <w:rsid w:val="00573E65"/>
    <w:rsid w:val="00594E5F"/>
    <w:rsid w:val="00595B25"/>
    <w:rsid w:val="005A5034"/>
    <w:rsid w:val="005B4D38"/>
    <w:rsid w:val="005C1385"/>
    <w:rsid w:val="005C54BF"/>
    <w:rsid w:val="005D296A"/>
    <w:rsid w:val="005E06A1"/>
    <w:rsid w:val="00601DB6"/>
    <w:rsid w:val="00606CF8"/>
    <w:rsid w:val="00637D94"/>
    <w:rsid w:val="006444BA"/>
    <w:rsid w:val="00653A68"/>
    <w:rsid w:val="006547CB"/>
    <w:rsid w:val="00654FE9"/>
    <w:rsid w:val="006569BA"/>
    <w:rsid w:val="0066664A"/>
    <w:rsid w:val="00681BEF"/>
    <w:rsid w:val="006A1990"/>
    <w:rsid w:val="006A555D"/>
    <w:rsid w:val="006B1B83"/>
    <w:rsid w:val="006B5663"/>
    <w:rsid w:val="006C61D0"/>
    <w:rsid w:val="006C7820"/>
    <w:rsid w:val="006E088B"/>
    <w:rsid w:val="006E2238"/>
    <w:rsid w:val="006E3C78"/>
    <w:rsid w:val="006E58EA"/>
    <w:rsid w:val="007019A2"/>
    <w:rsid w:val="00724965"/>
    <w:rsid w:val="007440C1"/>
    <w:rsid w:val="00745C18"/>
    <w:rsid w:val="00752500"/>
    <w:rsid w:val="007562FB"/>
    <w:rsid w:val="00756C2C"/>
    <w:rsid w:val="00771E30"/>
    <w:rsid w:val="007736F3"/>
    <w:rsid w:val="007975C4"/>
    <w:rsid w:val="007A4FF7"/>
    <w:rsid w:val="007A6A23"/>
    <w:rsid w:val="007F022C"/>
    <w:rsid w:val="008012E9"/>
    <w:rsid w:val="00842910"/>
    <w:rsid w:val="00856644"/>
    <w:rsid w:val="0085798C"/>
    <w:rsid w:val="00867757"/>
    <w:rsid w:val="00874B8D"/>
    <w:rsid w:val="0087529C"/>
    <w:rsid w:val="00886389"/>
    <w:rsid w:val="00890C53"/>
    <w:rsid w:val="00894DAA"/>
    <w:rsid w:val="008A4838"/>
    <w:rsid w:val="008A54E2"/>
    <w:rsid w:val="008A6955"/>
    <w:rsid w:val="008C1A17"/>
    <w:rsid w:val="008C3295"/>
    <w:rsid w:val="008C32F3"/>
    <w:rsid w:val="008C5FE5"/>
    <w:rsid w:val="008D361D"/>
    <w:rsid w:val="008D4F0B"/>
    <w:rsid w:val="008D7119"/>
    <w:rsid w:val="008F103E"/>
    <w:rsid w:val="00910207"/>
    <w:rsid w:val="00916A30"/>
    <w:rsid w:val="0092328A"/>
    <w:rsid w:val="00931B56"/>
    <w:rsid w:val="00936A7A"/>
    <w:rsid w:val="00941F57"/>
    <w:rsid w:val="009531D5"/>
    <w:rsid w:val="00953322"/>
    <w:rsid w:val="0097080B"/>
    <w:rsid w:val="00973D54"/>
    <w:rsid w:val="00983972"/>
    <w:rsid w:val="00992C58"/>
    <w:rsid w:val="00997916"/>
    <w:rsid w:val="009B4310"/>
    <w:rsid w:val="009D1A17"/>
    <w:rsid w:val="009D60C3"/>
    <w:rsid w:val="009E7A00"/>
    <w:rsid w:val="009E7A2F"/>
    <w:rsid w:val="009F760E"/>
    <w:rsid w:val="00A11A3E"/>
    <w:rsid w:val="00A12317"/>
    <w:rsid w:val="00A172C5"/>
    <w:rsid w:val="00A22E24"/>
    <w:rsid w:val="00A26156"/>
    <w:rsid w:val="00A26BE7"/>
    <w:rsid w:val="00A31783"/>
    <w:rsid w:val="00A40BC8"/>
    <w:rsid w:val="00A41679"/>
    <w:rsid w:val="00A5355C"/>
    <w:rsid w:val="00A719FC"/>
    <w:rsid w:val="00A92A74"/>
    <w:rsid w:val="00A93752"/>
    <w:rsid w:val="00AA1A0E"/>
    <w:rsid w:val="00AA6D37"/>
    <w:rsid w:val="00AB06D8"/>
    <w:rsid w:val="00AB1FA0"/>
    <w:rsid w:val="00AB2945"/>
    <w:rsid w:val="00AC1C91"/>
    <w:rsid w:val="00AC6814"/>
    <w:rsid w:val="00AD2EDF"/>
    <w:rsid w:val="00AD6E39"/>
    <w:rsid w:val="00AE10A8"/>
    <w:rsid w:val="00AE30B9"/>
    <w:rsid w:val="00AE778E"/>
    <w:rsid w:val="00AF04A5"/>
    <w:rsid w:val="00AF29C0"/>
    <w:rsid w:val="00B01B4A"/>
    <w:rsid w:val="00B12471"/>
    <w:rsid w:val="00B155B8"/>
    <w:rsid w:val="00B15C87"/>
    <w:rsid w:val="00B17861"/>
    <w:rsid w:val="00B20838"/>
    <w:rsid w:val="00B24117"/>
    <w:rsid w:val="00B47713"/>
    <w:rsid w:val="00B7041F"/>
    <w:rsid w:val="00B72FAA"/>
    <w:rsid w:val="00B81E9B"/>
    <w:rsid w:val="00B84343"/>
    <w:rsid w:val="00B928F5"/>
    <w:rsid w:val="00B962BD"/>
    <w:rsid w:val="00BB2097"/>
    <w:rsid w:val="00BB6CFC"/>
    <w:rsid w:val="00BB7D6E"/>
    <w:rsid w:val="00BC2A1F"/>
    <w:rsid w:val="00BC3287"/>
    <w:rsid w:val="00BD7657"/>
    <w:rsid w:val="00BE0199"/>
    <w:rsid w:val="00BE600D"/>
    <w:rsid w:val="00BF3A2C"/>
    <w:rsid w:val="00C05777"/>
    <w:rsid w:val="00C07418"/>
    <w:rsid w:val="00C2283B"/>
    <w:rsid w:val="00C269EF"/>
    <w:rsid w:val="00C52311"/>
    <w:rsid w:val="00CA4838"/>
    <w:rsid w:val="00CC2498"/>
    <w:rsid w:val="00CC4BE9"/>
    <w:rsid w:val="00CD0392"/>
    <w:rsid w:val="00CE5033"/>
    <w:rsid w:val="00CE7D72"/>
    <w:rsid w:val="00CF0A5B"/>
    <w:rsid w:val="00D10689"/>
    <w:rsid w:val="00D12121"/>
    <w:rsid w:val="00D32FC9"/>
    <w:rsid w:val="00D40815"/>
    <w:rsid w:val="00D66D2A"/>
    <w:rsid w:val="00D67519"/>
    <w:rsid w:val="00D77139"/>
    <w:rsid w:val="00DA00DE"/>
    <w:rsid w:val="00DD18D2"/>
    <w:rsid w:val="00DD647C"/>
    <w:rsid w:val="00DF1A0C"/>
    <w:rsid w:val="00E01F60"/>
    <w:rsid w:val="00E0325B"/>
    <w:rsid w:val="00E12E4F"/>
    <w:rsid w:val="00E151A9"/>
    <w:rsid w:val="00E33124"/>
    <w:rsid w:val="00E414B7"/>
    <w:rsid w:val="00E42F5D"/>
    <w:rsid w:val="00E64FE5"/>
    <w:rsid w:val="00E67A68"/>
    <w:rsid w:val="00E7781E"/>
    <w:rsid w:val="00E77E61"/>
    <w:rsid w:val="00EB0A0C"/>
    <w:rsid w:val="00EB506C"/>
    <w:rsid w:val="00EC150C"/>
    <w:rsid w:val="00EC272E"/>
    <w:rsid w:val="00EE15F0"/>
    <w:rsid w:val="00EE4F41"/>
    <w:rsid w:val="00EE7324"/>
    <w:rsid w:val="00F04B49"/>
    <w:rsid w:val="00F16F15"/>
    <w:rsid w:val="00F23D92"/>
    <w:rsid w:val="00F3154D"/>
    <w:rsid w:val="00F33221"/>
    <w:rsid w:val="00F514E0"/>
    <w:rsid w:val="00F544AC"/>
    <w:rsid w:val="00F57ADF"/>
    <w:rsid w:val="00F602F3"/>
    <w:rsid w:val="00F61CA9"/>
    <w:rsid w:val="00F63960"/>
    <w:rsid w:val="00F87182"/>
    <w:rsid w:val="00F944BC"/>
    <w:rsid w:val="00F95D8B"/>
    <w:rsid w:val="00FB0AA8"/>
    <w:rsid w:val="00FC2060"/>
    <w:rsid w:val="00FC499E"/>
    <w:rsid w:val="00FC6A1E"/>
    <w:rsid w:val="00FD2666"/>
    <w:rsid w:val="00FF38F2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2F497"/>
  <w15:docId w15:val="{C017D19A-300E-43CC-9B4B-DF4D77EF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6F3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nhideWhenUsed/>
    <w:rsid w:val="007736F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736F3"/>
    <w:rPr>
      <w:lang w:val="en-US"/>
    </w:rPr>
  </w:style>
  <w:style w:type="character" w:styleId="Refdecomentario">
    <w:name w:val="annotation reference"/>
    <w:unhideWhenUsed/>
    <w:rsid w:val="007736F3"/>
    <w:rPr>
      <w:sz w:val="16"/>
      <w:szCs w:val="16"/>
    </w:rPr>
  </w:style>
  <w:style w:type="paragraph" w:styleId="Textodeglobo">
    <w:name w:val="Balloon Text"/>
    <w:basedOn w:val="Normal"/>
    <w:link w:val="TextodegloboCar"/>
    <w:rsid w:val="007736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36F3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B928F5"/>
    <w:pPr>
      <w:spacing w:before="100" w:beforeAutospacing="1" w:after="100" w:afterAutospacing="1"/>
    </w:pPr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B17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B17F5"/>
    <w:rPr>
      <w:b/>
      <w:bCs/>
      <w:lang w:val="en-US"/>
    </w:rPr>
  </w:style>
  <w:style w:type="character" w:styleId="Hipervnculo">
    <w:name w:val="Hyperlink"/>
    <w:basedOn w:val="Fuentedeprrafopredeter"/>
    <w:unhideWhenUsed/>
    <w:rsid w:val="00483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google.com/intl/es/earth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E3143-C38D-45FF-A5EC-44B1966A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L.Gómez</dc:creator>
  <cp:lastModifiedBy>Luis Gomez Gener</cp:lastModifiedBy>
  <cp:revision>17</cp:revision>
  <dcterms:created xsi:type="dcterms:W3CDTF">2017-04-28T07:45:00Z</dcterms:created>
  <dcterms:modified xsi:type="dcterms:W3CDTF">2017-10-11T12:50:00Z</dcterms:modified>
</cp:coreProperties>
</file>