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E0" w:rsidRDefault="004E13E0" w:rsidP="004E13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Appendix 1.</w:t>
      </w:r>
      <w:r>
        <w:rPr>
          <w:rFonts w:ascii="Arial" w:eastAsia="Arial" w:hAnsi="Arial" w:cs="Arial"/>
          <w:sz w:val="24"/>
          <w:szCs w:val="24"/>
        </w:rPr>
        <w:t xml:space="preserve"> List of Adherence Studies on NOACs Agents</w:t>
      </w:r>
    </w:p>
    <w:tbl>
      <w:tblPr>
        <w:tblW w:w="13750" w:type="dxa"/>
        <w:tblLayout w:type="fixed"/>
        <w:tblLook w:val="0400" w:firstRow="0" w:lastRow="0" w:firstColumn="0" w:lastColumn="0" w:noHBand="0" w:noVBand="1"/>
      </w:tblPr>
      <w:tblGrid>
        <w:gridCol w:w="5760"/>
        <w:gridCol w:w="3029"/>
        <w:gridCol w:w="2160"/>
        <w:gridCol w:w="2801"/>
      </w:tblGrid>
      <w:tr w:rsidR="004E13E0" w:rsidTr="00425BEA">
        <w:trPr>
          <w:trHeight w:val="480"/>
        </w:trPr>
        <w:tc>
          <w:tcPr>
            <w:tcW w:w="57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Study reference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Adherence threshold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Excluded (reason)</w:t>
            </w:r>
          </w:p>
        </w:tc>
      </w:tr>
      <w:tr w:rsidR="004E13E0" w:rsidTr="00425BEA">
        <w:trPr>
          <w:trHeight w:val="480"/>
        </w:trPr>
        <w:tc>
          <w:tcPr>
            <w:tcW w:w="57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PDC ≥ 80%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PDC ≥ 90%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BFBFBF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 Studies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56148">
              <w:rPr>
                <w:rFonts w:ascii="Arial" w:eastAsia="Arial" w:hAnsi="Arial" w:cs="Arial"/>
              </w:rPr>
              <w:t>Alberts MJ, Peacock WF,</w:t>
            </w:r>
            <w:r>
              <w:rPr>
                <w:rFonts w:ascii="Arial" w:eastAsia="Arial" w:hAnsi="Arial" w:cs="Arial"/>
              </w:rPr>
              <w:t xml:space="preserve"> Fields LE, et al. Association between once- and twice-daily direct oral anticoagulant adherence in </w:t>
            </w:r>
            <w:proofErr w:type="spellStart"/>
            <w:r>
              <w:rPr>
                <w:rFonts w:ascii="Arial" w:eastAsia="Arial" w:hAnsi="Arial" w:cs="Arial"/>
              </w:rPr>
              <w:t>nonvalvular</w:t>
            </w:r>
            <w:proofErr w:type="spellEnd"/>
            <w:r>
              <w:rPr>
                <w:rFonts w:ascii="Arial" w:eastAsia="Arial" w:hAnsi="Arial" w:cs="Arial"/>
              </w:rPr>
              <w:t xml:space="preserve"> atrial fibrillation patients and rates of ischemic stroke. </w:t>
            </w:r>
            <w:proofErr w:type="spellStart"/>
            <w:r>
              <w:rPr>
                <w:rFonts w:ascii="Arial" w:eastAsia="Arial" w:hAnsi="Arial" w:cs="Arial"/>
                <w:i/>
              </w:rPr>
              <w:t>Int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J </w:t>
            </w:r>
            <w:proofErr w:type="spellStart"/>
            <w:r>
              <w:rPr>
                <w:rFonts w:ascii="Arial" w:eastAsia="Arial" w:hAnsi="Arial" w:cs="Arial"/>
                <w:i/>
              </w:rPr>
              <w:t>Cardiol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</w:rPr>
              <w:t>Jul 15 2016;215:11-13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72.8%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&amp; Dab = 67.9%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Brown JD, </w:t>
            </w:r>
            <w:proofErr w:type="spellStart"/>
            <w:r>
              <w:rPr>
                <w:rFonts w:ascii="Arial" w:eastAsia="Arial" w:hAnsi="Arial" w:cs="Arial"/>
              </w:rPr>
              <w:t>Shewale</w:t>
            </w:r>
            <w:proofErr w:type="spellEnd"/>
            <w:r>
              <w:rPr>
                <w:rFonts w:ascii="Arial" w:eastAsia="Arial" w:hAnsi="Arial" w:cs="Arial"/>
              </w:rPr>
              <w:t xml:space="preserve"> AR, Talbert JC. Adherence to </w:t>
            </w:r>
            <w:proofErr w:type="spellStart"/>
            <w:r>
              <w:rPr>
                <w:rFonts w:ascii="Arial" w:eastAsia="Arial" w:hAnsi="Arial" w:cs="Arial"/>
              </w:rPr>
              <w:t>Rivaroxaban</w:t>
            </w:r>
            <w:proofErr w:type="spellEnd"/>
            <w:r>
              <w:rPr>
                <w:rFonts w:ascii="Arial" w:eastAsia="Arial" w:hAnsi="Arial" w:cs="Arial"/>
              </w:rPr>
              <w:t xml:space="preserve">, Dabigatran, and </w:t>
            </w:r>
            <w:proofErr w:type="spellStart"/>
            <w:r>
              <w:rPr>
                <w:rFonts w:ascii="Arial" w:eastAsia="Arial" w:hAnsi="Arial" w:cs="Arial"/>
              </w:rPr>
              <w:t>Apixaban</w:t>
            </w:r>
            <w:proofErr w:type="spellEnd"/>
            <w:r>
              <w:rPr>
                <w:rFonts w:ascii="Arial" w:eastAsia="Arial" w:hAnsi="Arial" w:cs="Arial"/>
              </w:rPr>
              <w:t xml:space="preserve"> for Stroke Prevention in Incident, Treatment-Naive </w:t>
            </w:r>
            <w:proofErr w:type="spellStart"/>
            <w:r>
              <w:rPr>
                <w:rFonts w:ascii="Arial" w:eastAsia="Arial" w:hAnsi="Arial" w:cs="Arial"/>
              </w:rPr>
              <w:t>Nonvalvular</w:t>
            </w:r>
            <w:proofErr w:type="spellEnd"/>
            <w:r>
              <w:rPr>
                <w:rFonts w:ascii="Arial" w:eastAsia="Arial" w:hAnsi="Arial" w:cs="Arial"/>
              </w:rPr>
              <w:t xml:space="preserve"> Atrial Fibrillation. </w:t>
            </w:r>
            <w:r>
              <w:rPr>
                <w:rFonts w:ascii="Arial" w:eastAsia="Arial" w:hAnsi="Arial" w:cs="Arial"/>
                <w:i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i/>
              </w:rPr>
              <w:t>Manag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Care Spec Pharm. </w:t>
            </w:r>
            <w:r>
              <w:rPr>
                <w:rFonts w:ascii="Arial" w:eastAsia="Arial" w:hAnsi="Arial" w:cs="Arial"/>
              </w:rPr>
              <w:t>Nov 2016</w:t>
            </w:r>
            <w:proofErr w:type="gramStart"/>
            <w:r>
              <w:rPr>
                <w:rFonts w:ascii="Arial" w:eastAsia="Arial" w:hAnsi="Arial" w:cs="Arial"/>
              </w:rPr>
              <w:t>;22</w:t>
            </w:r>
            <w:proofErr w:type="gramEnd"/>
            <w:r>
              <w:rPr>
                <w:rFonts w:ascii="Arial" w:eastAsia="Arial" w:hAnsi="Arial" w:cs="Arial"/>
              </w:rPr>
              <w:t>(11):1319-1329.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63.5%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61.9%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Dab = 53.6%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Coleman CI, </w:t>
            </w:r>
            <w:proofErr w:type="spellStart"/>
            <w:r>
              <w:rPr>
                <w:rFonts w:ascii="Arial" w:eastAsia="Arial" w:hAnsi="Arial" w:cs="Arial"/>
              </w:rPr>
              <w:t>Tangirala</w:t>
            </w:r>
            <w:proofErr w:type="spellEnd"/>
            <w:r>
              <w:rPr>
                <w:rFonts w:ascii="Arial" w:eastAsia="Arial" w:hAnsi="Arial" w:cs="Arial"/>
              </w:rPr>
              <w:t xml:space="preserve"> M, Evers T. Medication adherence to </w:t>
            </w:r>
            <w:proofErr w:type="spellStart"/>
            <w:r>
              <w:rPr>
                <w:rFonts w:ascii="Arial" w:eastAsia="Arial" w:hAnsi="Arial" w:cs="Arial"/>
              </w:rPr>
              <w:t>rivaroxaban</w:t>
            </w:r>
            <w:proofErr w:type="spellEnd"/>
            <w:r>
              <w:rPr>
                <w:rFonts w:ascii="Arial" w:eastAsia="Arial" w:hAnsi="Arial" w:cs="Arial"/>
              </w:rPr>
              <w:t xml:space="preserve"> and dabigatran for stroke prevention in patients with non-</w:t>
            </w:r>
            <w:proofErr w:type="spellStart"/>
            <w:r>
              <w:rPr>
                <w:rFonts w:ascii="Arial" w:eastAsia="Arial" w:hAnsi="Arial" w:cs="Arial"/>
              </w:rPr>
              <w:t>valvular</w:t>
            </w:r>
            <w:proofErr w:type="spellEnd"/>
            <w:r>
              <w:rPr>
                <w:rFonts w:ascii="Arial" w:eastAsia="Arial" w:hAnsi="Arial" w:cs="Arial"/>
              </w:rPr>
              <w:t xml:space="preserve"> atrial fibrillation in the United States. </w:t>
            </w:r>
            <w:proofErr w:type="spellStart"/>
            <w:r>
              <w:rPr>
                <w:rFonts w:ascii="Arial" w:eastAsia="Arial" w:hAnsi="Arial" w:cs="Arial"/>
                <w:i/>
              </w:rPr>
              <w:t>Int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J </w:t>
            </w:r>
            <w:proofErr w:type="spellStart"/>
            <w:r>
              <w:rPr>
                <w:rFonts w:ascii="Arial" w:eastAsia="Arial" w:hAnsi="Arial" w:cs="Arial"/>
                <w:i/>
              </w:rPr>
              <w:t>Cardiol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</w:rPr>
              <w:t>Jun 01 2016</w:t>
            </w:r>
            <w:proofErr w:type="gramStart"/>
            <w:r>
              <w:rPr>
                <w:rFonts w:ascii="Arial" w:eastAsia="Arial" w:hAnsi="Arial" w:cs="Arial"/>
              </w:rPr>
              <w:t>;212:171</w:t>
            </w:r>
            <w:proofErr w:type="gramEnd"/>
            <w:r>
              <w:rPr>
                <w:rFonts w:ascii="Arial" w:eastAsia="Arial" w:hAnsi="Arial" w:cs="Arial"/>
              </w:rPr>
              <w:t>-173.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73.5%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Dab = 65.0%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D74FE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Coleman C, Yuan Z, Schein J, et al.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Importance of balancing follow-up time and impact of oral-anticoagulant users' selection when evaluating medication adherence in atrial fibrillation patients treated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rivaroxaban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apixaban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Med Res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Opin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Jun 2017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;33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(6):1033-1043.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IMS RWD database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79.6%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74.6%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u w:val="single"/>
              </w:rPr>
              <w:t>Truven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 xml:space="preserve"> database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82.4%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77.9%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62.8%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55.5%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66.9%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60.3%</w:t>
            </w:r>
          </w:p>
        </w:tc>
        <w:tc>
          <w:tcPr>
            <w:tcW w:w="2801" w:type="dxa"/>
            <w:tcBorders>
              <w:top w:val="dotted" w:sz="4" w:space="0" w:color="000000"/>
              <w:left w:val="nil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D74FE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McHorney CA, Crivera C, Laliberte F, et al.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Adherence to non-vitamin-K-antagonist oral anticoagulant medications based on the Pharmacy Quality Alliance measure.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Curr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Med Res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Opin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Dec 2015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;31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(12):2167-2173.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Riva = 72.7%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69.5%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Dab = 67.2%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McHorney CA, Ashton V, Laliberte F, et al. Adherence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Rivaroxaban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Compared with Other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Oral Anticoagulant Agents Among Patients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Nonvalvular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Atrial Fibrillation.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Manag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Care Spec Pharm. </w:t>
            </w:r>
            <w:r>
              <w:rPr>
                <w:rFonts w:ascii="Arial" w:eastAsia="Arial" w:hAnsi="Arial" w:cs="Arial"/>
                <w:sz w:val="24"/>
                <w:szCs w:val="24"/>
              </w:rPr>
              <w:t>Sep 2017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;23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(9):980-988.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Riva = 79.9%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74.1%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Dab = 70.4%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Riva = 63.1%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Api</w:t>
            </w:r>
            <w:proofErr w:type="spellEnd"/>
            <w:r>
              <w:rPr>
                <w:rFonts w:ascii="Arial" w:eastAsia="Arial" w:hAnsi="Arial" w:cs="Arial"/>
              </w:rPr>
              <w:t xml:space="preserve"> = 55.1%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Dab = 51.9%</w:t>
            </w: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Shore S, Carey EP,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Turakhia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MP, et al. Adherence to dabigatran therapy and longitudinal patient outcomes: insights from the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veterans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health administration.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Am Heart J. </w:t>
            </w:r>
            <w:r>
              <w:rPr>
                <w:rFonts w:ascii="Arial" w:eastAsia="Arial" w:hAnsi="Arial" w:cs="Arial"/>
                <w:sz w:val="24"/>
                <w:szCs w:val="24"/>
              </w:rPr>
              <w:t>Jun 2014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;167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(6):810-817.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Dab = 71.3%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right w:val="nil"/>
            </w:tcBorders>
            <w:shd w:val="clear" w:color="auto" w:fill="D9E2F3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Yao X, Abraham NS, Alexander GC, et al. Effect of Adherence to Oral Anticoagulants on Risk of Stroke and Major Bleeding Among Patients With Atrial Fibrillation.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J Am Heart Assoc. </w:t>
            </w:r>
            <w:r>
              <w:rPr>
                <w:rFonts w:ascii="Arial" w:eastAsia="Arial" w:hAnsi="Arial" w:cs="Arial"/>
                <w:sz w:val="24"/>
                <w:szCs w:val="24"/>
              </w:rPr>
              <w:t>Feb 23 2016;5(2)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right w:val="nil"/>
            </w:tcBorders>
            <w:shd w:val="clear" w:color="auto" w:fill="D9E2F3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Riva = 47.6%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= 52.1%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Dab = 45.9%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right w:val="nil"/>
            </w:tcBorders>
            <w:shd w:val="clear" w:color="auto" w:fill="D9E2F3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right w:val="nil"/>
            </w:tcBorders>
            <w:shd w:val="clear" w:color="auto" w:fill="D9E2F3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fixed period for measuring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adherence and imbalances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follow-up period</w:t>
            </w: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Non-US studies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ind w:left="-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Forslund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Wettermark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Hjemdahl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P. Comparison of treatment persistence with different oral anticoagulants in patients with atrial fibrillation.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Eur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Clin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Pharmacol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Mar 2016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;72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(3):329-338.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Riva = 95.7%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= 93.5%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Dab = 92.0%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13E0" w:rsidTr="00425BEA">
        <w:trPr>
          <w:trHeight w:val="340"/>
        </w:trPr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Maura G, </w:t>
            </w:r>
            <w:proofErr w:type="spellStart"/>
            <w:r>
              <w:rPr>
                <w:rFonts w:ascii="Arial" w:eastAsia="Arial" w:hAnsi="Arial" w:cs="Arial"/>
              </w:rPr>
              <w:t>Pariente</w:t>
            </w:r>
            <w:proofErr w:type="spellEnd"/>
            <w:r>
              <w:rPr>
                <w:rFonts w:ascii="Arial" w:eastAsia="Arial" w:hAnsi="Arial" w:cs="Arial"/>
              </w:rPr>
              <w:t xml:space="preserve"> A, </w:t>
            </w:r>
            <w:proofErr w:type="spellStart"/>
            <w:r>
              <w:rPr>
                <w:rFonts w:ascii="Arial" w:eastAsia="Arial" w:hAnsi="Arial" w:cs="Arial"/>
              </w:rPr>
              <w:t>Alla</w:t>
            </w:r>
            <w:proofErr w:type="spellEnd"/>
            <w:r>
              <w:rPr>
                <w:rFonts w:ascii="Arial" w:eastAsia="Arial" w:hAnsi="Arial" w:cs="Arial"/>
              </w:rPr>
              <w:t xml:space="preserve"> F, </w:t>
            </w:r>
            <w:proofErr w:type="spellStart"/>
            <w:r>
              <w:rPr>
                <w:rFonts w:ascii="Arial" w:eastAsia="Arial" w:hAnsi="Arial" w:cs="Arial"/>
              </w:rPr>
              <w:t>Billionnet</w:t>
            </w:r>
            <w:proofErr w:type="spellEnd"/>
            <w:r>
              <w:rPr>
                <w:rFonts w:ascii="Arial" w:eastAsia="Arial" w:hAnsi="Arial" w:cs="Arial"/>
              </w:rPr>
              <w:t xml:space="preserve"> C. Adherence with direct oral anticoagulants in </w:t>
            </w:r>
            <w:proofErr w:type="spellStart"/>
            <w:r>
              <w:rPr>
                <w:rFonts w:ascii="Arial" w:eastAsia="Arial" w:hAnsi="Arial" w:cs="Arial"/>
              </w:rPr>
              <w:t>nonvalvular</w:t>
            </w:r>
            <w:proofErr w:type="spellEnd"/>
            <w:r>
              <w:rPr>
                <w:rFonts w:ascii="Arial" w:eastAsia="Arial" w:hAnsi="Arial" w:cs="Arial"/>
              </w:rPr>
              <w:t xml:space="preserve"> atrial fibrillation new users and associated factors: a French nationwide cohort study. </w:t>
            </w:r>
            <w:proofErr w:type="spellStart"/>
            <w:r>
              <w:rPr>
                <w:rFonts w:ascii="Arial" w:eastAsia="Arial" w:hAnsi="Arial" w:cs="Arial"/>
                <w:i/>
              </w:rPr>
              <w:t>Pharmacoepidemiol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Drug </w:t>
            </w:r>
            <w:proofErr w:type="spellStart"/>
            <w:r>
              <w:rPr>
                <w:rFonts w:ascii="Arial" w:eastAsia="Arial" w:hAnsi="Arial" w:cs="Arial"/>
                <w:i/>
              </w:rPr>
              <w:t>Saf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</w:rPr>
              <w:t>Jul 28 2017.</w:t>
            </w:r>
          </w:p>
        </w:tc>
        <w:tc>
          <w:tcPr>
            <w:tcW w:w="302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Riva = 59.9%</w:t>
            </w:r>
          </w:p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Dab= 53.3%</w:t>
            </w:r>
          </w:p>
        </w:tc>
        <w:tc>
          <w:tcPr>
            <w:tcW w:w="21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13E0" w:rsidRDefault="004E13E0" w:rsidP="00425B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E13E0" w:rsidRDefault="004E13E0" w:rsidP="004E1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Abbreviations: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Riva =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Rivaroxaban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Api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Apixaban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Dab = Dabigatran</w:t>
      </w:r>
    </w:p>
    <w:p w:rsidR="00AE6B82" w:rsidRDefault="00AE6B82">
      <w:bookmarkStart w:id="0" w:name="_GoBack"/>
      <w:bookmarkEnd w:id="0"/>
    </w:p>
    <w:sectPr w:rsidR="00AE6B82" w:rsidSect="004E13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0"/>
    <w:rsid w:val="004E13E0"/>
    <w:rsid w:val="00A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D36B8-631F-4D51-B7F5-DBD345FE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13E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Sheikh, Naveed</dc:creator>
  <cp:keywords/>
  <dc:description/>
  <cp:lastModifiedBy>Sheikh, Naveed</cp:lastModifiedBy>
  <cp:revision>1</cp:revision>
  <dcterms:created xsi:type="dcterms:W3CDTF">2018-07-06T19:54:00Z</dcterms:created>
  <dcterms:modified xsi:type="dcterms:W3CDTF">2018-07-06T19:55:00Z</dcterms:modified>
</cp:coreProperties>
</file>