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004" w:rsidRPr="00965249" w:rsidRDefault="007B4004">
      <w:pPr>
        <w:spacing w:after="160" w:line="259" w:lineRule="auto"/>
        <w:rPr>
          <w:rFonts w:ascii="Times New Roman" w:hAnsi="Times New Roman" w:cs="Times New Roman"/>
          <w:b/>
          <w:color w:val="000000"/>
          <w:sz w:val="24"/>
          <w:szCs w:val="24"/>
          <w:lang w:val="en-US"/>
        </w:rPr>
      </w:pPr>
      <w:r w:rsidRPr="00965249">
        <w:rPr>
          <w:rFonts w:ascii="Times New Roman" w:hAnsi="Times New Roman" w:cs="Times New Roman"/>
          <w:b/>
          <w:color w:val="000000"/>
          <w:sz w:val="24"/>
          <w:szCs w:val="24"/>
          <w:lang w:val="en-US"/>
        </w:rPr>
        <w:t>Supplemental material</w:t>
      </w:r>
      <w:r w:rsidRPr="00965249">
        <w:rPr>
          <w:rFonts w:ascii="Times New Roman" w:hAnsi="Times New Roman" w:cs="Times New Roman"/>
          <w:b/>
          <w:color w:val="000000"/>
          <w:sz w:val="24"/>
          <w:szCs w:val="24"/>
          <w:lang w:val="en-US"/>
        </w:rPr>
        <w:br/>
      </w:r>
    </w:p>
    <w:p w:rsidR="007B4004" w:rsidRPr="00965249" w:rsidRDefault="007B4004" w:rsidP="007B4004">
      <w:pPr>
        <w:spacing w:after="0" w:line="480" w:lineRule="auto"/>
        <w:jc w:val="center"/>
        <w:rPr>
          <w:rFonts w:ascii="Times New Roman" w:eastAsia="Times New Roman" w:hAnsi="Times New Roman" w:cs="Times New Roman"/>
          <w:b/>
          <w:bCs/>
          <w:sz w:val="24"/>
          <w:szCs w:val="24"/>
          <w:lang w:val="en-US"/>
        </w:rPr>
      </w:pPr>
      <w:r w:rsidRPr="00965249">
        <w:rPr>
          <w:rFonts w:ascii="Times New Roman" w:eastAsia="Times New Roman" w:hAnsi="Times New Roman" w:cs="Times New Roman"/>
          <w:b/>
          <w:bCs/>
          <w:sz w:val="24"/>
          <w:szCs w:val="24"/>
          <w:lang w:val="en-US"/>
        </w:rPr>
        <w:t xml:space="preserve">KRAS Mutation Status, Comorbidity, and Mortality in Patients with Metastatic Colorectal Cancer in Denmark </w:t>
      </w:r>
    </w:p>
    <w:p w:rsidR="007B4004" w:rsidRPr="00965249" w:rsidRDefault="007B4004" w:rsidP="007B4004">
      <w:pPr>
        <w:spacing w:after="0" w:line="480" w:lineRule="auto"/>
        <w:jc w:val="center"/>
        <w:rPr>
          <w:rFonts w:ascii="Times New Roman" w:eastAsia="Times New Roman" w:hAnsi="Times New Roman" w:cs="Times New Roman"/>
          <w:b/>
          <w:bCs/>
          <w:sz w:val="24"/>
          <w:szCs w:val="24"/>
          <w:lang w:val="en-US"/>
        </w:rPr>
      </w:pPr>
    </w:p>
    <w:p w:rsidR="007B4004" w:rsidRPr="00965249" w:rsidRDefault="007B4004" w:rsidP="007B4004">
      <w:pPr>
        <w:widowControl w:val="0"/>
        <w:tabs>
          <w:tab w:val="left" w:pos="425"/>
        </w:tabs>
        <w:spacing w:after="0" w:line="480" w:lineRule="auto"/>
        <w:rPr>
          <w:rFonts w:ascii="Times New Roman" w:eastAsia="Times New Roman" w:hAnsi="Times New Roman" w:cs="Times New Roman"/>
          <w:bCs/>
          <w:sz w:val="24"/>
          <w:szCs w:val="24"/>
          <w:lang w:val="en-US"/>
        </w:rPr>
      </w:pPr>
      <w:r w:rsidRPr="00965249">
        <w:rPr>
          <w:rFonts w:ascii="Times New Roman" w:eastAsia="Times New Roman" w:hAnsi="Times New Roman" w:cs="Times New Roman"/>
          <w:b/>
          <w:bCs/>
          <w:sz w:val="24"/>
          <w:szCs w:val="24"/>
          <w:lang w:val="en-US"/>
        </w:rPr>
        <w:t xml:space="preserve">Authors </w:t>
      </w:r>
      <w:r w:rsidRPr="00965249">
        <w:rPr>
          <w:rFonts w:ascii="Times New Roman" w:eastAsia="Times New Roman" w:hAnsi="Times New Roman" w:cs="Times New Roman"/>
          <w:b/>
          <w:bCs/>
          <w:sz w:val="24"/>
          <w:szCs w:val="24"/>
          <w:lang w:val="en-US"/>
        </w:rPr>
        <w:br/>
      </w:r>
      <w:r w:rsidRPr="00965249">
        <w:rPr>
          <w:rFonts w:ascii="Times New Roman" w:eastAsia="Times New Roman" w:hAnsi="Times New Roman" w:cs="Times New Roman"/>
          <w:bCs/>
          <w:sz w:val="24"/>
          <w:szCs w:val="24"/>
          <w:lang w:val="en-US"/>
        </w:rPr>
        <w:t>Anne Gulbech Ording</w:t>
      </w:r>
      <w:r w:rsidRPr="00965249">
        <w:rPr>
          <w:rFonts w:ascii="Times New Roman" w:eastAsia="Times New Roman" w:hAnsi="Times New Roman" w:cs="Times New Roman"/>
          <w:bCs/>
          <w:sz w:val="24"/>
          <w:szCs w:val="24"/>
          <w:vertAlign w:val="superscript"/>
          <w:lang w:val="en-US"/>
        </w:rPr>
        <w:t xml:space="preserve">1 </w:t>
      </w:r>
      <w:r w:rsidR="00174A16">
        <w:fldChar w:fldCharType="begin"/>
      </w:r>
      <w:r w:rsidR="00174A16" w:rsidRPr="00900E79">
        <w:rPr>
          <w:lang w:val="en-US"/>
        </w:rPr>
        <w:instrText xml:space="preserve"> HYPERLINK "mailto:ao@clin.au.dk" </w:instrText>
      </w:r>
      <w:r w:rsidR="00174A16">
        <w:fldChar w:fldCharType="separate"/>
      </w:r>
      <w:r w:rsidRPr="00965249">
        <w:rPr>
          <w:rStyle w:val="Hyperlink"/>
          <w:rFonts w:ascii="Times New Roman" w:eastAsia="Times New Roman" w:hAnsi="Times New Roman" w:cs="Times New Roman"/>
          <w:bCs/>
          <w:sz w:val="24"/>
          <w:szCs w:val="24"/>
          <w:lang w:val="en-US"/>
        </w:rPr>
        <w:t>ao@clin.au.dk</w:t>
      </w:r>
      <w:r w:rsidR="00174A16">
        <w:rPr>
          <w:rStyle w:val="Hyperlink"/>
          <w:rFonts w:ascii="Times New Roman" w:eastAsia="Times New Roman" w:hAnsi="Times New Roman" w:cs="Times New Roman"/>
          <w:bCs/>
          <w:sz w:val="24"/>
          <w:szCs w:val="24"/>
          <w:lang w:val="en-US"/>
        </w:rPr>
        <w:fldChar w:fldCharType="end"/>
      </w:r>
    </w:p>
    <w:p w:rsidR="007B4004" w:rsidRPr="00965249" w:rsidRDefault="007B4004" w:rsidP="007B4004">
      <w:pPr>
        <w:widowControl w:val="0"/>
        <w:tabs>
          <w:tab w:val="left" w:pos="425"/>
        </w:tabs>
        <w:spacing w:after="0" w:line="480" w:lineRule="auto"/>
        <w:rPr>
          <w:rFonts w:ascii="Times New Roman" w:eastAsia="Times New Roman" w:hAnsi="Times New Roman" w:cs="Times New Roman"/>
          <w:bCs/>
          <w:sz w:val="24"/>
          <w:szCs w:val="24"/>
          <w:lang w:val="en-US"/>
        </w:rPr>
      </w:pPr>
      <w:r w:rsidRPr="00965249">
        <w:rPr>
          <w:rFonts w:ascii="Times New Roman" w:eastAsia="Times New Roman" w:hAnsi="Times New Roman" w:cs="Times New Roman"/>
          <w:bCs/>
          <w:sz w:val="24"/>
          <w:szCs w:val="24"/>
          <w:lang w:val="en-US"/>
        </w:rPr>
        <w:t>Buket Öztürk</w:t>
      </w:r>
      <w:r w:rsidRPr="00965249">
        <w:rPr>
          <w:rFonts w:ascii="Times New Roman" w:eastAsia="Times New Roman" w:hAnsi="Times New Roman" w:cs="Times New Roman"/>
          <w:bCs/>
          <w:sz w:val="24"/>
          <w:szCs w:val="24"/>
          <w:vertAlign w:val="superscript"/>
          <w:lang w:val="en-US"/>
        </w:rPr>
        <w:t xml:space="preserve">1 </w:t>
      </w:r>
      <w:r w:rsidR="00174A16">
        <w:fldChar w:fldCharType="begin"/>
      </w:r>
      <w:r w:rsidR="00174A16" w:rsidRPr="00900E79">
        <w:rPr>
          <w:lang w:val="en-US"/>
        </w:rPr>
        <w:instrText xml:space="preserve"> HYPERLINK "mailto:bozt@clin.au.dk" </w:instrText>
      </w:r>
      <w:r w:rsidR="00174A16">
        <w:fldChar w:fldCharType="separate"/>
      </w:r>
      <w:r w:rsidRPr="00965249">
        <w:rPr>
          <w:rStyle w:val="Hyperlink"/>
          <w:rFonts w:ascii="Times New Roman" w:eastAsia="Times New Roman" w:hAnsi="Times New Roman" w:cs="Times New Roman"/>
          <w:bCs/>
          <w:sz w:val="24"/>
          <w:szCs w:val="24"/>
          <w:lang w:val="en-US"/>
        </w:rPr>
        <w:t>bozt@clin.au.dk</w:t>
      </w:r>
      <w:r w:rsidR="00174A16">
        <w:rPr>
          <w:rStyle w:val="Hyperlink"/>
          <w:rFonts w:ascii="Times New Roman" w:eastAsia="Times New Roman" w:hAnsi="Times New Roman" w:cs="Times New Roman"/>
          <w:bCs/>
          <w:sz w:val="24"/>
          <w:szCs w:val="24"/>
          <w:lang w:val="en-US"/>
        </w:rPr>
        <w:fldChar w:fldCharType="end"/>
      </w:r>
    </w:p>
    <w:p w:rsidR="007B4004" w:rsidRPr="00965249" w:rsidRDefault="007B4004" w:rsidP="007B4004">
      <w:pPr>
        <w:widowControl w:val="0"/>
        <w:tabs>
          <w:tab w:val="left" w:pos="425"/>
        </w:tabs>
        <w:spacing w:after="0" w:line="480" w:lineRule="auto"/>
        <w:rPr>
          <w:rFonts w:ascii="Times New Roman" w:eastAsia="Times New Roman" w:hAnsi="Times New Roman" w:cs="Times New Roman"/>
          <w:bCs/>
          <w:sz w:val="24"/>
          <w:szCs w:val="24"/>
        </w:rPr>
      </w:pPr>
      <w:proofErr w:type="spellStart"/>
      <w:r w:rsidRPr="00965249">
        <w:rPr>
          <w:rFonts w:ascii="Times New Roman" w:eastAsia="Times New Roman" w:hAnsi="Times New Roman" w:cs="Times New Roman"/>
          <w:bCs/>
          <w:sz w:val="24"/>
          <w:szCs w:val="24"/>
        </w:rPr>
        <w:t>Karen-Lise</w:t>
      </w:r>
      <w:proofErr w:type="spellEnd"/>
      <w:r w:rsidRPr="00965249">
        <w:rPr>
          <w:rFonts w:ascii="Times New Roman" w:eastAsia="Times New Roman" w:hAnsi="Times New Roman" w:cs="Times New Roman"/>
          <w:bCs/>
          <w:sz w:val="24"/>
          <w:szCs w:val="24"/>
        </w:rPr>
        <w:t xml:space="preserve"> </w:t>
      </w:r>
      <w:proofErr w:type="spellStart"/>
      <w:r w:rsidRPr="00965249">
        <w:rPr>
          <w:rFonts w:ascii="Times New Roman" w:eastAsia="Times New Roman" w:hAnsi="Times New Roman" w:cs="Times New Roman"/>
          <w:bCs/>
          <w:sz w:val="24"/>
          <w:szCs w:val="24"/>
        </w:rPr>
        <w:t>Garm</w:t>
      </w:r>
      <w:proofErr w:type="spellEnd"/>
      <w:r w:rsidRPr="00965249">
        <w:rPr>
          <w:rFonts w:ascii="Times New Roman" w:eastAsia="Times New Roman" w:hAnsi="Times New Roman" w:cs="Times New Roman"/>
          <w:bCs/>
          <w:sz w:val="24"/>
          <w:szCs w:val="24"/>
        </w:rPr>
        <w:t xml:space="preserve"> Spindler</w:t>
      </w:r>
      <w:r w:rsidRPr="00965249">
        <w:rPr>
          <w:rFonts w:ascii="Times New Roman" w:eastAsia="Times New Roman" w:hAnsi="Times New Roman" w:cs="Times New Roman"/>
          <w:bCs/>
          <w:sz w:val="24"/>
          <w:szCs w:val="24"/>
          <w:vertAlign w:val="superscript"/>
        </w:rPr>
        <w:t xml:space="preserve">2,3 </w:t>
      </w:r>
      <w:hyperlink r:id="rId6" w:history="1">
        <w:r w:rsidRPr="00965249">
          <w:rPr>
            <w:rStyle w:val="Hyperlink"/>
            <w:rFonts w:ascii="Times New Roman" w:eastAsia="Times New Roman" w:hAnsi="Times New Roman" w:cs="Times New Roman"/>
            <w:bCs/>
            <w:sz w:val="24"/>
            <w:szCs w:val="24"/>
          </w:rPr>
          <w:t>K.G.Spindler@rm.dk</w:t>
        </w:r>
      </w:hyperlink>
    </w:p>
    <w:p w:rsidR="007B4004" w:rsidRPr="00965249" w:rsidRDefault="007B4004" w:rsidP="007B4004">
      <w:pPr>
        <w:widowControl w:val="0"/>
        <w:tabs>
          <w:tab w:val="left" w:pos="425"/>
        </w:tabs>
        <w:spacing w:after="0" w:line="480" w:lineRule="auto"/>
        <w:rPr>
          <w:rFonts w:ascii="Times New Roman" w:eastAsia="Times New Roman" w:hAnsi="Times New Roman" w:cs="Times New Roman"/>
          <w:bCs/>
          <w:sz w:val="24"/>
          <w:szCs w:val="24"/>
        </w:rPr>
      </w:pPr>
      <w:r w:rsidRPr="00965249">
        <w:rPr>
          <w:rFonts w:ascii="Times New Roman" w:eastAsia="Times New Roman" w:hAnsi="Times New Roman" w:cs="Times New Roman"/>
          <w:bCs/>
          <w:sz w:val="24"/>
          <w:szCs w:val="24"/>
        </w:rPr>
        <w:t>Henrik Toft Sørensen</w:t>
      </w:r>
      <w:r w:rsidRPr="00965249">
        <w:rPr>
          <w:rFonts w:ascii="Times New Roman" w:eastAsia="Times New Roman" w:hAnsi="Times New Roman" w:cs="Times New Roman"/>
          <w:bCs/>
          <w:sz w:val="24"/>
          <w:szCs w:val="24"/>
          <w:vertAlign w:val="superscript"/>
        </w:rPr>
        <w:t>1</w:t>
      </w:r>
      <w:r w:rsidRPr="00965249">
        <w:rPr>
          <w:rFonts w:ascii="Times New Roman" w:eastAsia="Times New Roman" w:hAnsi="Times New Roman" w:cs="Times New Roman"/>
          <w:bCs/>
          <w:sz w:val="24"/>
          <w:szCs w:val="24"/>
        </w:rPr>
        <w:t xml:space="preserve"> </w:t>
      </w:r>
      <w:hyperlink r:id="rId7" w:history="1">
        <w:r w:rsidRPr="00965249">
          <w:rPr>
            <w:rStyle w:val="Hyperlink"/>
            <w:rFonts w:ascii="Times New Roman" w:eastAsia="Times New Roman" w:hAnsi="Times New Roman" w:cs="Times New Roman"/>
            <w:bCs/>
            <w:sz w:val="24"/>
            <w:szCs w:val="24"/>
          </w:rPr>
          <w:t>hts@clin.au.dk</w:t>
        </w:r>
      </w:hyperlink>
    </w:p>
    <w:p w:rsidR="007B4004" w:rsidRPr="00965249" w:rsidRDefault="007B4004" w:rsidP="007B4004">
      <w:pPr>
        <w:widowControl w:val="0"/>
        <w:tabs>
          <w:tab w:val="left" w:pos="425"/>
        </w:tabs>
        <w:spacing w:after="0" w:line="480" w:lineRule="auto"/>
        <w:rPr>
          <w:rFonts w:ascii="Times New Roman" w:eastAsia="Times New Roman" w:hAnsi="Times New Roman" w:cs="Times New Roman"/>
          <w:bCs/>
          <w:sz w:val="24"/>
          <w:szCs w:val="24"/>
        </w:rPr>
      </w:pPr>
      <w:r w:rsidRPr="00965249">
        <w:rPr>
          <w:rFonts w:ascii="Times New Roman" w:eastAsia="Times New Roman" w:hAnsi="Times New Roman" w:cs="Times New Roman"/>
          <w:bCs/>
          <w:sz w:val="24"/>
          <w:szCs w:val="24"/>
        </w:rPr>
        <w:t xml:space="preserve">Margaret </w:t>
      </w:r>
      <w:proofErr w:type="spellStart"/>
      <w:r w:rsidRPr="00965249">
        <w:rPr>
          <w:rFonts w:ascii="Times New Roman" w:eastAsia="Times New Roman" w:hAnsi="Times New Roman" w:cs="Times New Roman"/>
          <w:bCs/>
          <w:sz w:val="24"/>
          <w:szCs w:val="24"/>
        </w:rPr>
        <w:t>McCusker</w:t>
      </w:r>
      <w:proofErr w:type="spellEnd"/>
      <w:r w:rsidRPr="00965249">
        <w:rPr>
          <w:rFonts w:ascii="Times New Roman" w:eastAsia="Times New Roman" w:hAnsi="Times New Roman" w:cs="Times New Roman"/>
          <w:bCs/>
          <w:sz w:val="24"/>
          <w:szCs w:val="24"/>
          <w:vertAlign w:val="superscript"/>
        </w:rPr>
        <w:t xml:space="preserve"> 4 </w:t>
      </w:r>
      <w:hyperlink r:id="rId8" w:history="1">
        <w:r w:rsidR="00900E79">
          <w:rPr>
            <w:rStyle w:val="Hyperlink"/>
            <w:rFonts w:ascii="Times New Roman" w:hAnsi="Times New Roman" w:cs="Times New Roman"/>
            <w:sz w:val="24"/>
            <w:szCs w:val="24"/>
          </w:rPr>
          <w:t>margaret.mccusker@roche.com</w:t>
        </w:r>
      </w:hyperlink>
    </w:p>
    <w:p w:rsidR="007B4004" w:rsidRPr="00965249" w:rsidRDefault="007B4004" w:rsidP="007B4004">
      <w:pPr>
        <w:widowControl w:val="0"/>
        <w:tabs>
          <w:tab w:val="left" w:pos="425"/>
        </w:tabs>
        <w:spacing w:after="0" w:line="480" w:lineRule="auto"/>
        <w:rPr>
          <w:rFonts w:ascii="Times New Roman" w:eastAsia="Times New Roman" w:hAnsi="Times New Roman" w:cs="Times New Roman"/>
          <w:bCs/>
          <w:sz w:val="24"/>
          <w:szCs w:val="24"/>
        </w:rPr>
      </w:pPr>
      <w:r w:rsidRPr="00965249">
        <w:rPr>
          <w:rFonts w:ascii="Times New Roman" w:eastAsia="Times New Roman" w:hAnsi="Times New Roman" w:cs="Times New Roman"/>
          <w:bCs/>
          <w:sz w:val="24"/>
          <w:szCs w:val="24"/>
        </w:rPr>
        <w:t>Vera Ehrenstein</w:t>
      </w:r>
      <w:r w:rsidRPr="00965249">
        <w:rPr>
          <w:rFonts w:ascii="Times New Roman" w:eastAsia="Times New Roman" w:hAnsi="Times New Roman" w:cs="Times New Roman"/>
          <w:bCs/>
          <w:sz w:val="24"/>
          <w:szCs w:val="24"/>
          <w:vertAlign w:val="superscript"/>
        </w:rPr>
        <w:t xml:space="preserve">1 </w:t>
      </w:r>
      <w:hyperlink r:id="rId9" w:history="1">
        <w:r w:rsidRPr="00965249">
          <w:rPr>
            <w:rStyle w:val="Hyperlink"/>
            <w:rFonts w:ascii="Times New Roman" w:eastAsia="Times New Roman" w:hAnsi="Times New Roman" w:cs="Times New Roman"/>
            <w:bCs/>
            <w:sz w:val="24"/>
            <w:szCs w:val="24"/>
          </w:rPr>
          <w:t>ve@clin.au.dk</w:t>
        </w:r>
      </w:hyperlink>
    </w:p>
    <w:p w:rsidR="007B4004" w:rsidRPr="00965249" w:rsidRDefault="007B4004" w:rsidP="007B4004">
      <w:pPr>
        <w:widowControl w:val="0"/>
        <w:tabs>
          <w:tab w:val="left" w:pos="425"/>
        </w:tabs>
        <w:spacing w:after="0" w:line="480" w:lineRule="auto"/>
        <w:rPr>
          <w:rFonts w:ascii="Times New Roman" w:hAnsi="Times New Roman" w:cs="Times New Roman"/>
          <w:sz w:val="24"/>
          <w:szCs w:val="24"/>
          <w:lang w:val="en-US"/>
        </w:rPr>
      </w:pPr>
      <w:r w:rsidRPr="00900E79">
        <w:rPr>
          <w:rFonts w:ascii="Times New Roman" w:eastAsia="Times New Roman" w:hAnsi="Times New Roman" w:cs="Times New Roman"/>
          <w:b/>
          <w:bCs/>
          <w:sz w:val="24"/>
          <w:szCs w:val="24"/>
          <w:lang w:val="en-US"/>
        </w:rPr>
        <w:br/>
      </w:r>
      <w:r w:rsidRPr="00965249">
        <w:rPr>
          <w:rFonts w:ascii="Times New Roman" w:eastAsia="Times New Roman" w:hAnsi="Times New Roman" w:cs="Times New Roman"/>
          <w:b/>
          <w:bCs/>
          <w:sz w:val="24"/>
          <w:szCs w:val="24"/>
          <w:lang w:val="en-US"/>
        </w:rPr>
        <w:t>Affiliations</w:t>
      </w:r>
    </w:p>
    <w:p w:rsidR="007B4004" w:rsidRPr="00965249" w:rsidRDefault="007B4004" w:rsidP="007B4004">
      <w:pPr>
        <w:spacing w:after="0" w:line="480" w:lineRule="auto"/>
        <w:rPr>
          <w:rFonts w:ascii="Times New Roman" w:hAnsi="Times New Roman" w:cs="Times New Roman"/>
          <w:sz w:val="24"/>
          <w:szCs w:val="24"/>
          <w:lang w:val="en-US"/>
        </w:rPr>
      </w:pPr>
      <w:r w:rsidRPr="00965249">
        <w:rPr>
          <w:rFonts w:ascii="Times New Roman" w:hAnsi="Times New Roman" w:cs="Times New Roman"/>
          <w:sz w:val="24"/>
          <w:szCs w:val="24"/>
          <w:vertAlign w:val="superscript"/>
          <w:lang w:val="en-US"/>
        </w:rPr>
        <w:t xml:space="preserve">1 </w:t>
      </w:r>
      <w:r w:rsidRPr="00965249">
        <w:rPr>
          <w:rFonts w:ascii="Times New Roman" w:hAnsi="Times New Roman" w:cs="Times New Roman"/>
          <w:sz w:val="24"/>
          <w:szCs w:val="24"/>
          <w:lang w:val="en-US"/>
        </w:rPr>
        <w:t xml:space="preserve">Department of Clinical Epidemiology, Aarhus University Hospital, </w:t>
      </w:r>
      <w:proofErr w:type="spellStart"/>
      <w:r w:rsidRPr="00965249">
        <w:rPr>
          <w:rFonts w:ascii="Times New Roman" w:hAnsi="Times New Roman" w:cs="Times New Roman"/>
          <w:sz w:val="24"/>
          <w:szCs w:val="24"/>
          <w:lang w:val="en-US"/>
        </w:rPr>
        <w:t>Olof</w:t>
      </w:r>
      <w:proofErr w:type="spellEnd"/>
      <w:r w:rsidRPr="00965249">
        <w:rPr>
          <w:rFonts w:ascii="Times New Roman" w:hAnsi="Times New Roman" w:cs="Times New Roman"/>
          <w:sz w:val="24"/>
          <w:szCs w:val="24"/>
          <w:lang w:val="en-US"/>
        </w:rPr>
        <w:t xml:space="preserve"> </w:t>
      </w:r>
      <w:proofErr w:type="spellStart"/>
      <w:r w:rsidRPr="00965249">
        <w:rPr>
          <w:rFonts w:ascii="Times New Roman" w:hAnsi="Times New Roman" w:cs="Times New Roman"/>
          <w:sz w:val="24"/>
          <w:szCs w:val="24"/>
          <w:lang w:val="en-US"/>
        </w:rPr>
        <w:t>Palmes</w:t>
      </w:r>
      <w:proofErr w:type="spellEnd"/>
      <w:r w:rsidRPr="00965249">
        <w:rPr>
          <w:rFonts w:ascii="Times New Roman" w:hAnsi="Times New Roman" w:cs="Times New Roman"/>
          <w:sz w:val="24"/>
          <w:szCs w:val="24"/>
          <w:lang w:val="en-US"/>
        </w:rPr>
        <w:t xml:space="preserve"> </w:t>
      </w:r>
      <w:proofErr w:type="spellStart"/>
      <w:r w:rsidRPr="00965249">
        <w:rPr>
          <w:rFonts w:ascii="Times New Roman" w:hAnsi="Times New Roman" w:cs="Times New Roman"/>
          <w:sz w:val="24"/>
          <w:szCs w:val="24"/>
          <w:lang w:val="en-US"/>
        </w:rPr>
        <w:t>Allé</w:t>
      </w:r>
      <w:proofErr w:type="spellEnd"/>
      <w:r w:rsidRPr="00965249">
        <w:rPr>
          <w:rFonts w:ascii="Times New Roman" w:hAnsi="Times New Roman" w:cs="Times New Roman"/>
          <w:sz w:val="24"/>
          <w:szCs w:val="24"/>
          <w:lang w:val="en-US"/>
        </w:rPr>
        <w:t xml:space="preserve"> 43-45, 8200 Aarhus, Denmark. Tel: +45 8716 7212  </w:t>
      </w:r>
      <w:r w:rsidRPr="00965249">
        <w:rPr>
          <w:rFonts w:ascii="Times New Roman" w:hAnsi="Times New Roman" w:cs="Times New Roman"/>
          <w:sz w:val="24"/>
          <w:szCs w:val="24"/>
          <w:lang w:val="en-US"/>
        </w:rPr>
        <w:br/>
      </w:r>
      <w:r w:rsidRPr="00965249">
        <w:rPr>
          <w:rFonts w:ascii="Times New Roman" w:hAnsi="Times New Roman" w:cs="Times New Roman"/>
          <w:sz w:val="24"/>
          <w:szCs w:val="24"/>
          <w:vertAlign w:val="superscript"/>
          <w:lang w:val="en-US"/>
        </w:rPr>
        <w:t>2</w:t>
      </w:r>
      <w:r w:rsidRPr="00965249">
        <w:rPr>
          <w:rFonts w:ascii="Times New Roman" w:hAnsi="Times New Roman" w:cs="Times New Roman"/>
          <w:sz w:val="24"/>
          <w:szCs w:val="24"/>
          <w:lang w:val="en-US"/>
        </w:rPr>
        <w:t xml:space="preserve"> Department of Experimental Clinical Oncology, Aarhus University Hospital, </w:t>
      </w:r>
      <w:proofErr w:type="spellStart"/>
      <w:r w:rsidRPr="00965249">
        <w:rPr>
          <w:rStyle w:val="lrzxr"/>
          <w:rFonts w:ascii="Times New Roman" w:hAnsi="Times New Roman" w:cs="Times New Roman"/>
          <w:sz w:val="24"/>
          <w:szCs w:val="24"/>
          <w:lang w:val="en-US"/>
        </w:rPr>
        <w:t>Palle</w:t>
      </w:r>
      <w:proofErr w:type="spellEnd"/>
      <w:r w:rsidRPr="00965249">
        <w:rPr>
          <w:rStyle w:val="lrzxr"/>
          <w:rFonts w:ascii="Times New Roman" w:hAnsi="Times New Roman" w:cs="Times New Roman"/>
          <w:sz w:val="24"/>
          <w:szCs w:val="24"/>
          <w:lang w:val="en-US"/>
        </w:rPr>
        <w:t xml:space="preserve"> </w:t>
      </w:r>
      <w:proofErr w:type="spellStart"/>
      <w:r w:rsidRPr="00965249">
        <w:rPr>
          <w:rStyle w:val="lrzxr"/>
          <w:rFonts w:ascii="Times New Roman" w:hAnsi="Times New Roman" w:cs="Times New Roman"/>
          <w:sz w:val="24"/>
          <w:szCs w:val="24"/>
          <w:lang w:val="en-US"/>
        </w:rPr>
        <w:t>Juul-Jensens</w:t>
      </w:r>
      <w:proofErr w:type="spellEnd"/>
      <w:r w:rsidRPr="00965249">
        <w:rPr>
          <w:rStyle w:val="lrzxr"/>
          <w:rFonts w:ascii="Times New Roman" w:hAnsi="Times New Roman" w:cs="Times New Roman"/>
          <w:sz w:val="24"/>
          <w:szCs w:val="24"/>
          <w:lang w:val="en-US"/>
        </w:rPr>
        <w:t xml:space="preserve"> Blvd. 99, 8200 </w:t>
      </w:r>
      <w:r w:rsidRPr="00965249">
        <w:rPr>
          <w:rFonts w:ascii="Times New Roman" w:hAnsi="Times New Roman" w:cs="Times New Roman"/>
          <w:sz w:val="24"/>
          <w:szCs w:val="24"/>
          <w:lang w:val="en-US"/>
        </w:rPr>
        <w:t>Aarhus, Denmark. Tel: +45 7845 0000</w:t>
      </w:r>
    </w:p>
    <w:p w:rsidR="007B4004" w:rsidRPr="00965249" w:rsidRDefault="007B4004" w:rsidP="007B4004">
      <w:pPr>
        <w:spacing w:after="0" w:line="480" w:lineRule="auto"/>
        <w:rPr>
          <w:rStyle w:val="lrzxr"/>
          <w:rFonts w:ascii="Times New Roman" w:hAnsi="Times New Roman" w:cs="Times New Roman"/>
          <w:sz w:val="24"/>
          <w:szCs w:val="24"/>
          <w:lang w:val="en-US"/>
        </w:rPr>
      </w:pPr>
      <w:r w:rsidRPr="00965249">
        <w:rPr>
          <w:rFonts w:ascii="Times New Roman" w:hAnsi="Times New Roman" w:cs="Times New Roman"/>
          <w:sz w:val="24"/>
          <w:szCs w:val="24"/>
          <w:vertAlign w:val="superscript"/>
          <w:lang w:val="en-US"/>
        </w:rPr>
        <w:t>3</w:t>
      </w:r>
      <w:r w:rsidRPr="00965249">
        <w:rPr>
          <w:rFonts w:ascii="Times New Roman" w:hAnsi="Times New Roman" w:cs="Times New Roman"/>
          <w:sz w:val="24"/>
          <w:szCs w:val="24"/>
          <w:lang w:val="en-US"/>
        </w:rPr>
        <w:t xml:space="preserve"> Department of Oncology, Aarhus University Hospital, </w:t>
      </w:r>
      <w:proofErr w:type="spellStart"/>
      <w:r w:rsidRPr="00965249">
        <w:rPr>
          <w:rStyle w:val="lrzxr"/>
          <w:rFonts w:ascii="Times New Roman" w:hAnsi="Times New Roman" w:cs="Times New Roman"/>
          <w:sz w:val="24"/>
          <w:szCs w:val="24"/>
          <w:lang w:val="en-US"/>
        </w:rPr>
        <w:t>Palle</w:t>
      </w:r>
      <w:proofErr w:type="spellEnd"/>
      <w:r w:rsidRPr="00965249">
        <w:rPr>
          <w:rStyle w:val="lrzxr"/>
          <w:rFonts w:ascii="Times New Roman" w:hAnsi="Times New Roman" w:cs="Times New Roman"/>
          <w:sz w:val="24"/>
          <w:szCs w:val="24"/>
          <w:lang w:val="en-US"/>
        </w:rPr>
        <w:t xml:space="preserve"> </w:t>
      </w:r>
      <w:proofErr w:type="spellStart"/>
      <w:r w:rsidRPr="00965249">
        <w:rPr>
          <w:rStyle w:val="lrzxr"/>
          <w:rFonts w:ascii="Times New Roman" w:hAnsi="Times New Roman" w:cs="Times New Roman"/>
          <w:sz w:val="24"/>
          <w:szCs w:val="24"/>
          <w:lang w:val="en-US"/>
        </w:rPr>
        <w:t>Juul-Jensens</w:t>
      </w:r>
      <w:proofErr w:type="spellEnd"/>
      <w:r w:rsidRPr="00965249">
        <w:rPr>
          <w:rStyle w:val="lrzxr"/>
          <w:rFonts w:ascii="Times New Roman" w:hAnsi="Times New Roman" w:cs="Times New Roman"/>
          <w:sz w:val="24"/>
          <w:szCs w:val="24"/>
          <w:lang w:val="en-US"/>
        </w:rPr>
        <w:t xml:space="preserve"> Blvd. 99, 8200 </w:t>
      </w:r>
      <w:r w:rsidRPr="00965249">
        <w:rPr>
          <w:rFonts w:ascii="Times New Roman" w:hAnsi="Times New Roman" w:cs="Times New Roman"/>
          <w:sz w:val="24"/>
          <w:szCs w:val="24"/>
          <w:lang w:val="en-US"/>
        </w:rPr>
        <w:t>Aarhus, Denmark. Tel: +45 7845 0000</w:t>
      </w:r>
      <w:r w:rsidRPr="00965249">
        <w:rPr>
          <w:rFonts w:ascii="Times New Roman" w:hAnsi="Times New Roman" w:cs="Times New Roman"/>
          <w:sz w:val="24"/>
          <w:szCs w:val="24"/>
          <w:vertAlign w:val="superscript"/>
          <w:lang w:val="en-US"/>
        </w:rPr>
        <w:br/>
        <w:t xml:space="preserve">4 </w:t>
      </w:r>
      <w:r w:rsidRPr="00965249">
        <w:rPr>
          <w:rFonts w:ascii="Times New Roman" w:hAnsi="Times New Roman" w:cs="Times New Roman"/>
          <w:sz w:val="24"/>
          <w:szCs w:val="24"/>
          <w:lang w:val="en-US"/>
        </w:rPr>
        <w:t xml:space="preserve">Diagnostics Information Solutions, F. Hoffmann-La Roche AG, </w:t>
      </w:r>
      <w:r w:rsidRPr="00965249">
        <w:rPr>
          <w:rStyle w:val="lrzxr"/>
          <w:rFonts w:ascii="Times New Roman" w:hAnsi="Times New Roman" w:cs="Times New Roman"/>
          <w:sz w:val="24"/>
          <w:szCs w:val="24"/>
          <w:lang w:val="en-US"/>
        </w:rPr>
        <w:t xml:space="preserve">4300 Hacienda </w:t>
      </w:r>
      <w:proofErr w:type="spellStart"/>
      <w:r w:rsidRPr="00965249">
        <w:rPr>
          <w:rStyle w:val="lrzxr"/>
          <w:rFonts w:ascii="Times New Roman" w:hAnsi="Times New Roman" w:cs="Times New Roman"/>
          <w:sz w:val="24"/>
          <w:szCs w:val="24"/>
          <w:lang w:val="en-US"/>
        </w:rPr>
        <w:t>Dr</w:t>
      </w:r>
      <w:proofErr w:type="spellEnd"/>
      <w:r w:rsidRPr="00965249">
        <w:rPr>
          <w:rStyle w:val="lrzxr"/>
          <w:rFonts w:ascii="Times New Roman" w:hAnsi="Times New Roman" w:cs="Times New Roman"/>
          <w:sz w:val="24"/>
          <w:szCs w:val="24"/>
          <w:lang w:val="en-US"/>
        </w:rPr>
        <w:t>, Pleasanton, CA 94588, USA. Tel: +1 925 730 8200.</w:t>
      </w:r>
    </w:p>
    <w:p w:rsidR="007B4004" w:rsidRPr="00965249" w:rsidRDefault="007B4004">
      <w:pPr>
        <w:spacing w:after="160" w:line="259" w:lineRule="auto"/>
        <w:rPr>
          <w:rFonts w:ascii="Times New Roman" w:hAnsi="Times New Roman" w:cs="Times New Roman"/>
          <w:b/>
          <w:color w:val="000000"/>
          <w:sz w:val="24"/>
          <w:szCs w:val="24"/>
          <w:lang w:val="en-US"/>
        </w:rPr>
      </w:pPr>
      <w:r w:rsidRPr="00965249">
        <w:rPr>
          <w:rFonts w:ascii="Times New Roman" w:hAnsi="Times New Roman" w:cs="Times New Roman"/>
          <w:b/>
          <w:color w:val="000000"/>
          <w:sz w:val="24"/>
          <w:szCs w:val="24"/>
          <w:lang w:val="en-US"/>
        </w:rPr>
        <w:br w:type="page"/>
      </w:r>
    </w:p>
    <w:p w:rsidR="00965249" w:rsidRPr="00965249" w:rsidRDefault="00965249" w:rsidP="00965249">
      <w:pPr>
        <w:spacing w:line="480" w:lineRule="auto"/>
        <w:rPr>
          <w:rFonts w:ascii="Times New Roman" w:hAnsi="Times New Roman" w:cs="Times New Roman"/>
          <w:sz w:val="20"/>
          <w:szCs w:val="20"/>
          <w:lang w:val="en-US"/>
        </w:rPr>
      </w:pPr>
      <w:r w:rsidRPr="00965249">
        <w:rPr>
          <w:rFonts w:ascii="Times New Roman" w:hAnsi="Times New Roman" w:cs="Times New Roman"/>
          <w:b/>
          <w:color w:val="000000"/>
          <w:sz w:val="20"/>
          <w:szCs w:val="20"/>
          <w:lang w:val="en-US"/>
        </w:rPr>
        <w:lastRenderedPageBreak/>
        <w:t xml:space="preserve">Supplemental Table 1. </w:t>
      </w:r>
      <w:bookmarkStart w:id="0" w:name="_Toc440713620"/>
      <w:r w:rsidRPr="00965249">
        <w:rPr>
          <w:rFonts w:ascii="Times New Roman" w:eastAsiaTheme="minorEastAsia" w:hAnsi="Times New Roman" w:cs="Times New Roman"/>
          <w:b/>
          <w:sz w:val="20"/>
          <w:szCs w:val="20"/>
          <w:lang w:val="en-US" w:eastAsia="da-DK"/>
        </w:rPr>
        <w:t>Descriptive characteristics of 7,245 Danish patients with metastatic colorectal cancer by KRAS status, 2009-2013</w:t>
      </w:r>
      <w:bookmarkEnd w:id="0"/>
      <w:r w:rsidRPr="00965249">
        <w:rPr>
          <w:rFonts w:ascii="Times New Roman" w:eastAsiaTheme="minorEastAsia" w:hAnsi="Times New Roman" w:cs="Times New Roman"/>
          <w:b/>
          <w:sz w:val="20"/>
          <w:szCs w:val="20"/>
          <w:lang w:val="en-US" w:eastAsia="da-DK"/>
        </w:rPr>
        <w:t>.</w:t>
      </w:r>
    </w:p>
    <w:tbl>
      <w:tblPr>
        <w:tblStyle w:val="Tabelgitter-lys1"/>
        <w:tblW w:w="518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24"/>
        <w:gridCol w:w="1515"/>
        <w:gridCol w:w="1515"/>
        <w:gridCol w:w="1513"/>
        <w:gridCol w:w="1825"/>
      </w:tblGrid>
      <w:tr w:rsidR="00965249" w:rsidRPr="00965249" w:rsidTr="00006054">
        <w:trPr>
          <w:tblHeader/>
        </w:trPr>
        <w:tc>
          <w:tcPr>
            <w:tcW w:w="1814" w:type="pct"/>
            <w:tcBorders>
              <w:top w:val="single" w:sz="4" w:space="0" w:color="auto"/>
              <w:bottom w:val="single" w:sz="4" w:space="0" w:color="auto"/>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p>
        </w:tc>
        <w:tc>
          <w:tcPr>
            <w:tcW w:w="758" w:type="pct"/>
            <w:tcBorders>
              <w:top w:val="single" w:sz="4" w:space="0" w:color="auto"/>
              <w:left w:val="single" w:sz="4" w:space="0" w:color="auto"/>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b/>
                <w:color w:val="000000"/>
                <w:sz w:val="20"/>
                <w:szCs w:val="20"/>
                <w:lang w:val="en-US"/>
              </w:rPr>
            </w:pPr>
            <w:r w:rsidRPr="00965249">
              <w:rPr>
                <w:rFonts w:ascii="Times New Roman" w:hAnsi="Times New Roman" w:cs="Times New Roman"/>
                <w:b/>
                <w:color w:val="000000"/>
                <w:sz w:val="20"/>
                <w:szCs w:val="20"/>
                <w:lang w:val="en-US"/>
              </w:rPr>
              <w:t>KRAS wild-type</w:t>
            </w:r>
          </w:p>
          <w:p w:rsidR="00965249" w:rsidRPr="00965249" w:rsidRDefault="00965249" w:rsidP="00006054">
            <w:pPr>
              <w:adjustRightInd w:val="0"/>
              <w:spacing w:before="60" w:after="60" w:line="480" w:lineRule="auto"/>
              <w:jc w:val="center"/>
              <w:rPr>
                <w:rFonts w:ascii="Times New Roman" w:hAnsi="Times New Roman" w:cs="Times New Roman"/>
                <w:b/>
                <w:color w:val="000000"/>
                <w:sz w:val="20"/>
                <w:szCs w:val="20"/>
                <w:lang w:val="en-US"/>
              </w:rPr>
            </w:pPr>
            <w:proofErr w:type="gramStart"/>
            <w:r w:rsidRPr="00965249">
              <w:rPr>
                <w:rFonts w:ascii="Times New Roman" w:hAnsi="Times New Roman" w:cs="Times New Roman"/>
                <w:b/>
                <w:color w:val="000000"/>
                <w:sz w:val="20"/>
                <w:szCs w:val="20"/>
                <w:lang w:val="en-US"/>
              </w:rPr>
              <w:t>n</w:t>
            </w:r>
            <w:proofErr w:type="gramEnd"/>
            <w:r w:rsidRPr="00965249">
              <w:rPr>
                <w:rFonts w:ascii="Times New Roman" w:hAnsi="Times New Roman" w:cs="Times New Roman"/>
                <w:b/>
                <w:color w:val="000000"/>
                <w:sz w:val="20"/>
                <w:szCs w:val="20"/>
                <w:lang w:val="en-US"/>
              </w:rPr>
              <w:t xml:space="preserve"> (%)</w:t>
            </w:r>
          </w:p>
        </w:tc>
        <w:tc>
          <w:tcPr>
            <w:tcW w:w="758" w:type="pct"/>
            <w:tcBorders>
              <w:top w:val="single" w:sz="4" w:space="0" w:color="auto"/>
              <w:left w:val="nil"/>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b/>
                <w:color w:val="000000"/>
                <w:sz w:val="20"/>
                <w:szCs w:val="20"/>
                <w:vertAlign w:val="superscript"/>
                <w:lang w:val="en-US"/>
              </w:rPr>
            </w:pPr>
            <w:r w:rsidRPr="00965249">
              <w:rPr>
                <w:rFonts w:ascii="Times New Roman" w:hAnsi="Times New Roman" w:cs="Times New Roman"/>
                <w:b/>
                <w:color w:val="000000"/>
                <w:sz w:val="20"/>
                <w:szCs w:val="20"/>
                <w:lang w:val="en-US"/>
              </w:rPr>
              <w:t>KRAS mutant</w:t>
            </w:r>
            <w:r w:rsidRPr="00965249">
              <w:rPr>
                <w:rFonts w:ascii="Times New Roman" w:hAnsi="Times New Roman" w:cs="Times New Roman"/>
                <w:b/>
                <w:color w:val="000000"/>
                <w:sz w:val="20"/>
                <w:szCs w:val="20"/>
                <w:vertAlign w:val="superscript"/>
                <w:lang w:val="en-US"/>
              </w:rPr>
              <w:t>1</w:t>
            </w:r>
          </w:p>
          <w:p w:rsidR="00D76BE8" w:rsidRDefault="00D76BE8" w:rsidP="00006054">
            <w:pPr>
              <w:adjustRightInd w:val="0"/>
              <w:spacing w:before="60" w:after="60" w:line="480" w:lineRule="auto"/>
              <w:jc w:val="center"/>
              <w:rPr>
                <w:rFonts w:ascii="Times New Roman" w:hAnsi="Times New Roman" w:cs="Times New Roman"/>
                <w:b/>
                <w:color w:val="000000"/>
                <w:sz w:val="20"/>
                <w:szCs w:val="20"/>
                <w:lang w:val="en-US"/>
              </w:rPr>
            </w:pPr>
          </w:p>
          <w:p w:rsidR="00965249" w:rsidRPr="00965249" w:rsidRDefault="00965249" w:rsidP="00006054">
            <w:pPr>
              <w:adjustRightInd w:val="0"/>
              <w:spacing w:before="60" w:after="60" w:line="480" w:lineRule="auto"/>
              <w:jc w:val="center"/>
              <w:rPr>
                <w:rFonts w:ascii="Times New Roman" w:hAnsi="Times New Roman" w:cs="Times New Roman"/>
                <w:b/>
                <w:color w:val="000000"/>
                <w:sz w:val="20"/>
                <w:szCs w:val="20"/>
                <w:vertAlign w:val="superscript"/>
                <w:lang w:val="en-US"/>
              </w:rPr>
            </w:pPr>
            <w:proofErr w:type="gramStart"/>
            <w:r w:rsidRPr="00965249">
              <w:rPr>
                <w:rFonts w:ascii="Times New Roman" w:hAnsi="Times New Roman" w:cs="Times New Roman"/>
                <w:b/>
                <w:color w:val="000000"/>
                <w:sz w:val="20"/>
                <w:szCs w:val="20"/>
                <w:lang w:val="en-US"/>
              </w:rPr>
              <w:t>n</w:t>
            </w:r>
            <w:proofErr w:type="gramEnd"/>
            <w:r w:rsidRPr="00965249">
              <w:rPr>
                <w:rFonts w:ascii="Times New Roman" w:hAnsi="Times New Roman" w:cs="Times New Roman"/>
                <w:b/>
                <w:color w:val="000000"/>
                <w:sz w:val="20"/>
                <w:szCs w:val="20"/>
                <w:lang w:val="en-US"/>
              </w:rPr>
              <w:t xml:space="preserve"> (%)</w:t>
            </w:r>
          </w:p>
        </w:tc>
        <w:tc>
          <w:tcPr>
            <w:tcW w:w="757" w:type="pct"/>
            <w:tcBorders>
              <w:top w:val="single" w:sz="4" w:space="0" w:color="auto"/>
              <w:left w:val="nil"/>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b/>
                <w:color w:val="000000"/>
                <w:sz w:val="20"/>
                <w:szCs w:val="20"/>
                <w:lang w:val="en-US"/>
              </w:rPr>
            </w:pPr>
            <w:r w:rsidRPr="00965249">
              <w:rPr>
                <w:rFonts w:ascii="Times New Roman" w:hAnsi="Times New Roman" w:cs="Times New Roman"/>
                <w:b/>
                <w:color w:val="000000"/>
                <w:sz w:val="20"/>
                <w:szCs w:val="20"/>
                <w:lang w:val="en-US"/>
              </w:rPr>
              <w:t>No KRAS test</w:t>
            </w:r>
          </w:p>
          <w:p w:rsidR="00D76BE8" w:rsidRDefault="00D76BE8" w:rsidP="00006054">
            <w:pPr>
              <w:adjustRightInd w:val="0"/>
              <w:spacing w:before="60" w:after="60" w:line="480" w:lineRule="auto"/>
              <w:jc w:val="center"/>
              <w:rPr>
                <w:rFonts w:ascii="Times New Roman" w:hAnsi="Times New Roman" w:cs="Times New Roman"/>
                <w:b/>
                <w:color w:val="000000"/>
                <w:sz w:val="20"/>
                <w:szCs w:val="20"/>
                <w:lang w:val="en-US"/>
              </w:rPr>
            </w:pPr>
          </w:p>
          <w:p w:rsidR="00965249" w:rsidRPr="00965249" w:rsidRDefault="00965249" w:rsidP="00006054">
            <w:pPr>
              <w:adjustRightInd w:val="0"/>
              <w:spacing w:before="60" w:after="60" w:line="480" w:lineRule="auto"/>
              <w:jc w:val="center"/>
              <w:rPr>
                <w:rFonts w:ascii="Times New Roman" w:hAnsi="Times New Roman" w:cs="Times New Roman"/>
                <w:b/>
                <w:color w:val="000000"/>
                <w:sz w:val="20"/>
                <w:szCs w:val="20"/>
                <w:lang w:val="en-US"/>
              </w:rPr>
            </w:pPr>
            <w:proofErr w:type="gramStart"/>
            <w:r w:rsidRPr="00965249">
              <w:rPr>
                <w:rFonts w:ascii="Times New Roman" w:hAnsi="Times New Roman" w:cs="Times New Roman"/>
                <w:b/>
                <w:color w:val="000000"/>
                <w:sz w:val="20"/>
                <w:szCs w:val="20"/>
                <w:lang w:val="en-US"/>
              </w:rPr>
              <w:t>n</w:t>
            </w:r>
            <w:proofErr w:type="gramEnd"/>
            <w:r w:rsidRPr="00965249">
              <w:rPr>
                <w:rFonts w:ascii="Times New Roman" w:hAnsi="Times New Roman" w:cs="Times New Roman"/>
                <w:b/>
                <w:color w:val="000000"/>
                <w:sz w:val="20"/>
                <w:szCs w:val="20"/>
                <w:lang w:val="en-US"/>
              </w:rPr>
              <w:t xml:space="preserve"> (%)</w:t>
            </w:r>
          </w:p>
        </w:tc>
        <w:tc>
          <w:tcPr>
            <w:tcW w:w="912" w:type="pct"/>
            <w:tcBorders>
              <w:top w:val="single" w:sz="4" w:space="0" w:color="auto"/>
              <w:left w:val="nil"/>
              <w:bottom w:val="single" w:sz="4" w:space="0" w:color="auto"/>
            </w:tcBorders>
          </w:tcPr>
          <w:p w:rsidR="00965249" w:rsidRPr="00965249" w:rsidRDefault="00965249" w:rsidP="00006054">
            <w:pPr>
              <w:adjustRightInd w:val="0"/>
              <w:spacing w:before="60" w:after="60" w:line="480" w:lineRule="auto"/>
              <w:jc w:val="center"/>
              <w:rPr>
                <w:rFonts w:ascii="Times New Roman" w:hAnsi="Times New Roman" w:cs="Times New Roman"/>
                <w:b/>
                <w:color w:val="000000"/>
                <w:sz w:val="20"/>
                <w:szCs w:val="20"/>
                <w:lang w:val="en-US"/>
              </w:rPr>
            </w:pPr>
            <w:r w:rsidRPr="00965249">
              <w:rPr>
                <w:rFonts w:ascii="Times New Roman" w:hAnsi="Times New Roman" w:cs="Times New Roman"/>
                <w:b/>
                <w:color w:val="000000"/>
                <w:sz w:val="20"/>
                <w:szCs w:val="20"/>
                <w:lang w:val="en-US"/>
              </w:rPr>
              <w:t>All</w:t>
            </w:r>
          </w:p>
          <w:p w:rsidR="00D76BE8" w:rsidRDefault="00D76BE8" w:rsidP="00006054">
            <w:pPr>
              <w:adjustRightInd w:val="0"/>
              <w:spacing w:before="60" w:after="60" w:line="480" w:lineRule="auto"/>
              <w:jc w:val="center"/>
              <w:rPr>
                <w:rFonts w:ascii="Times New Roman" w:hAnsi="Times New Roman" w:cs="Times New Roman"/>
                <w:b/>
                <w:color w:val="000000"/>
                <w:sz w:val="20"/>
                <w:szCs w:val="20"/>
                <w:lang w:val="en-US"/>
              </w:rPr>
            </w:pPr>
          </w:p>
          <w:p w:rsidR="00965249" w:rsidRPr="00965249" w:rsidRDefault="00965249" w:rsidP="00006054">
            <w:pPr>
              <w:adjustRightInd w:val="0"/>
              <w:spacing w:before="60" w:after="60" w:line="480" w:lineRule="auto"/>
              <w:jc w:val="center"/>
              <w:rPr>
                <w:rFonts w:ascii="Times New Roman" w:hAnsi="Times New Roman" w:cs="Times New Roman"/>
                <w:b/>
                <w:color w:val="000000"/>
                <w:sz w:val="20"/>
                <w:szCs w:val="20"/>
                <w:lang w:val="en-US"/>
              </w:rPr>
            </w:pPr>
            <w:proofErr w:type="gramStart"/>
            <w:r w:rsidRPr="00965249">
              <w:rPr>
                <w:rFonts w:ascii="Times New Roman" w:hAnsi="Times New Roman" w:cs="Times New Roman"/>
                <w:b/>
                <w:color w:val="000000"/>
                <w:sz w:val="20"/>
                <w:szCs w:val="20"/>
                <w:lang w:val="en-US"/>
              </w:rPr>
              <w:t>n</w:t>
            </w:r>
            <w:proofErr w:type="gramEnd"/>
            <w:r w:rsidRPr="00965249">
              <w:rPr>
                <w:rFonts w:ascii="Times New Roman" w:hAnsi="Times New Roman" w:cs="Times New Roman"/>
                <w:b/>
                <w:color w:val="000000"/>
                <w:sz w:val="20"/>
                <w:szCs w:val="20"/>
                <w:lang w:val="en-US"/>
              </w:rPr>
              <w:t xml:space="preserve"> (%)</w:t>
            </w:r>
          </w:p>
        </w:tc>
      </w:tr>
      <w:tr w:rsidR="00965249" w:rsidRPr="00965249" w:rsidTr="00006054">
        <w:tc>
          <w:tcPr>
            <w:tcW w:w="1814" w:type="pct"/>
            <w:tcBorders>
              <w:top w:val="single" w:sz="4" w:space="0" w:color="auto"/>
              <w:bottom w:val="single" w:sz="4" w:space="0" w:color="auto"/>
            </w:tcBorders>
          </w:tcPr>
          <w:p w:rsidR="00965249" w:rsidRPr="00965249" w:rsidRDefault="00965249" w:rsidP="00006054">
            <w:pPr>
              <w:adjustRightInd w:val="0"/>
              <w:spacing w:before="60" w:after="60" w:line="480" w:lineRule="auto"/>
              <w:rPr>
                <w:rFonts w:ascii="Times New Roman" w:hAnsi="Times New Roman" w:cs="Times New Roman"/>
                <w:b/>
                <w:color w:val="000000"/>
                <w:sz w:val="20"/>
                <w:szCs w:val="20"/>
                <w:lang w:val="en-US"/>
              </w:rPr>
            </w:pPr>
            <w:r w:rsidRPr="00965249">
              <w:rPr>
                <w:rFonts w:ascii="Times New Roman" w:hAnsi="Times New Roman" w:cs="Times New Roman"/>
                <w:b/>
                <w:color w:val="000000"/>
                <w:sz w:val="20"/>
                <w:szCs w:val="20"/>
                <w:lang w:val="en-US"/>
              </w:rPr>
              <w:t>Number of patients</w:t>
            </w:r>
          </w:p>
        </w:tc>
        <w:tc>
          <w:tcPr>
            <w:tcW w:w="758" w:type="pct"/>
            <w:tcBorders>
              <w:top w:val="single" w:sz="4" w:space="0" w:color="auto"/>
              <w:left w:val="single" w:sz="4" w:space="0" w:color="auto"/>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1,389</w:t>
            </w:r>
          </w:p>
        </w:tc>
        <w:tc>
          <w:tcPr>
            <w:tcW w:w="758" w:type="pct"/>
            <w:tcBorders>
              <w:top w:val="single" w:sz="4" w:space="0" w:color="auto"/>
              <w:left w:val="nil"/>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1,082</w:t>
            </w:r>
          </w:p>
        </w:tc>
        <w:tc>
          <w:tcPr>
            <w:tcW w:w="757" w:type="pct"/>
            <w:tcBorders>
              <w:top w:val="single" w:sz="4" w:space="0" w:color="auto"/>
              <w:left w:val="nil"/>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4,774</w:t>
            </w:r>
          </w:p>
        </w:tc>
        <w:tc>
          <w:tcPr>
            <w:tcW w:w="912" w:type="pct"/>
            <w:tcBorders>
              <w:top w:val="single" w:sz="4" w:space="0" w:color="auto"/>
              <w:left w:val="nil"/>
              <w:bottom w:val="single" w:sz="4" w:space="0" w:color="auto"/>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7,245</w:t>
            </w:r>
          </w:p>
        </w:tc>
      </w:tr>
      <w:tr w:rsidR="00965249" w:rsidRPr="00965249" w:rsidTr="00006054">
        <w:tc>
          <w:tcPr>
            <w:tcW w:w="1814" w:type="pct"/>
            <w:tcBorders>
              <w:top w:val="single" w:sz="4" w:space="0" w:color="auto"/>
              <w:bottom w:val="nil"/>
            </w:tcBorders>
          </w:tcPr>
          <w:p w:rsidR="00965249" w:rsidRPr="00965249" w:rsidRDefault="00965249" w:rsidP="00006054">
            <w:pPr>
              <w:adjustRightInd w:val="0"/>
              <w:spacing w:before="60" w:after="60" w:line="480" w:lineRule="auto"/>
              <w:rPr>
                <w:rFonts w:ascii="Times New Roman" w:hAnsi="Times New Roman" w:cs="Times New Roman"/>
                <w:b/>
                <w:color w:val="000000"/>
                <w:sz w:val="20"/>
                <w:szCs w:val="20"/>
                <w:lang w:val="en-US"/>
              </w:rPr>
            </w:pPr>
            <w:r w:rsidRPr="00965249">
              <w:rPr>
                <w:rFonts w:ascii="Times New Roman" w:hAnsi="Times New Roman" w:cs="Times New Roman"/>
                <w:b/>
                <w:color w:val="000000"/>
                <w:sz w:val="20"/>
                <w:szCs w:val="20"/>
                <w:lang w:val="en-US"/>
              </w:rPr>
              <w:t>Sex</w:t>
            </w:r>
          </w:p>
        </w:tc>
        <w:tc>
          <w:tcPr>
            <w:tcW w:w="758" w:type="pct"/>
            <w:tcBorders>
              <w:top w:val="single" w:sz="4" w:space="0" w:color="auto"/>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758" w:type="pct"/>
            <w:tcBorders>
              <w:top w:val="single" w:sz="4" w:space="0" w:color="auto"/>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757" w:type="pct"/>
            <w:tcBorders>
              <w:top w:val="single" w:sz="4" w:space="0" w:color="auto"/>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912" w:type="pct"/>
            <w:tcBorders>
              <w:top w:val="single" w:sz="4" w:space="0" w:color="auto"/>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r>
      <w:tr w:rsidR="00965249" w:rsidRPr="00965249" w:rsidTr="00006054">
        <w:tc>
          <w:tcPr>
            <w:tcW w:w="1814" w:type="pct"/>
            <w:tcBorders>
              <w:top w:val="nil"/>
              <w:bottom w:val="nil"/>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Female</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549 (39.5)</w:t>
            </w: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465 (43.0)</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2,265 (47.4)</w:t>
            </w:r>
          </w:p>
        </w:tc>
        <w:tc>
          <w:tcPr>
            <w:tcW w:w="912" w:type="pct"/>
            <w:tcBorders>
              <w:top w:val="nil"/>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3,279 (45.3)</w:t>
            </w:r>
          </w:p>
        </w:tc>
      </w:tr>
      <w:tr w:rsidR="00965249" w:rsidRPr="00965249" w:rsidTr="00006054">
        <w:tc>
          <w:tcPr>
            <w:tcW w:w="1814" w:type="pct"/>
            <w:tcBorders>
              <w:top w:val="nil"/>
              <w:bottom w:val="single" w:sz="4" w:space="0" w:color="auto"/>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Male</w:t>
            </w:r>
          </w:p>
        </w:tc>
        <w:tc>
          <w:tcPr>
            <w:tcW w:w="758" w:type="pct"/>
            <w:tcBorders>
              <w:top w:val="nil"/>
              <w:left w:val="single" w:sz="4" w:space="0" w:color="auto"/>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840 (60.5)</w:t>
            </w:r>
          </w:p>
        </w:tc>
        <w:tc>
          <w:tcPr>
            <w:tcW w:w="758" w:type="pct"/>
            <w:tcBorders>
              <w:top w:val="nil"/>
              <w:left w:val="nil"/>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617 (57.0)</w:t>
            </w:r>
          </w:p>
        </w:tc>
        <w:tc>
          <w:tcPr>
            <w:tcW w:w="757" w:type="pct"/>
            <w:tcBorders>
              <w:top w:val="nil"/>
              <w:left w:val="nil"/>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2,509 (52.6)</w:t>
            </w:r>
          </w:p>
        </w:tc>
        <w:tc>
          <w:tcPr>
            <w:tcW w:w="912" w:type="pct"/>
            <w:tcBorders>
              <w:top w:val="nil"/>
              <w:left w:val="nil"/>
              <w:bottom w:val="single" w:sz="4" w:space="0" w:color="auto"/>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3,966 (54.7)</w:t>
            </w:r>
          </w:p>
        </w:tc>
      </w:tr>
      <w:tr w:rsidR="00965249" w:rsidRPr="00965249" w:rsidTr="00006054">
        <w:tc>
          <w:tcPr>
            <w:tcW w:w="1814" w:type="pct"/>
            <w:tcBorders>
              <w:top w:val="single" w:sz="4" w:space="0" w:color="auto"/>
              <w:bottom w:val="single" w:sz="4" w:space="0" w:color="auto"/>
            </w:tcBorders>
          </w:tcPr>
          <w:p w:rsidR="00965249" w:rsidRPr="00965249" w:rsidRDefault="00965249" w:rsidP="00006054">
            <w:pPr>
              <w:adjustRightInd w:val="0"/>
              <w:spacing w:before="60" w:after="60" w:line="480" w:lineRule="auto"/>
              <w:rPr>
                <w:rFonts w:ascii="Times New Roman" w:hAnsi="Times New Roman" w:cs="Times New Roman"/>
                <w:b/>
                <w:color w:val="000000"/>
                <w:sz w:val="20"/>
                <w:szCs w:val="20"/>
                <w:lang w:val="en-US"/>
              </w:rPr>
            </w:pPr>
            <w:r w:rsidRPr="00965249">
              <w:rPr>
                <w:rFonts w:ascii="Times New Roman" w:hAnsi="Times New Roman" w:cs="Times New Roman"/>
                <w:b/>
                <w:color w:val="000000"/>
                <w:sz w:val="20"/>
                <w:szCs w:val="20"/>
                <w:lang w:val="en-US"/>
              </w:rPr>
              <w:t>Median age at diagnosis (interquartile range)</w:t>
            </w:r>
          </w:p>
        </w:tc>
        <w:tc>
          <w:tcPr>
            <w:tcW w:w="758" w:type="pct"/>
            <w:tcBorders>
              <w:top w:val="single" w:sz="4" w:space="0" w:color="auto"/>
              <w:left w:val="single" w:sz="4" w:space="0" w:color="auto"/>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66.7 (59.6, 72.6)</w:t>
            </w:r>
          </w:p>
        </w:tc>
        <w:tc>
          <w:tcPr>
            <w:tcW w:w="758" w:type="pct"/>
            <w:tcBorders>
              <w:top w:val="single" w:sz="4" w:space="0" w:color="auto"/>
              <w:left w:val="nil"/>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66.4 (59.7, 72.3)</w:t>
            </w:r>
          </w:p>
        </w:tc>
        <w:tc>
          <w:tcPr>
            <w:tcW w:w="757" w:type="pct"/>
            <w:tcBorders>
              <w:top w:val="single" w:sz="4" w:space="0" w:color="auto"/>
              <w:left w:val="nil"/>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73.0 (64.8, 80.5)</w:t>
            </w:r>
          </w:p>
        </w:tc>
        <w:tc>
          <w:tcPr>
            <w:tcW w:w="912" w:type="pct"/>
            <w:tcBorders>
              <w:top w:val="single" w:sz="4" w:space="0" w:color="auto"/>
              <w:left w:val="nil"/>
              <w:bottom w:val="single" w:sz="4" w:space="0" w:color="auto"/>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70.3 (62.7, 78.1)</w:t>
            </w:r>
          </w:p>
        </w:tc>
      </w:tr>
      <w:tr w:rsidR="00965249" w:rsidRPr="00965249" w:rsidTr="00006054">
        <w:tc>
          <w:tcPr>
            <w:tcW w:w="1814" w:type="pct"/>
            <w:tcBorders>
              <w:top w:val="single" w:sz="4" w:space="0" w:color="auto"/>
              <w:bottom w:val="nil"/>
            </w:tcBorders>
          </w:tcPr>
          <w:p w:rsidR="00965249" w:rsidRPr="00965249" w:rsidRDefault="00965249" w:rsidP="00006054">
            <w:pPr>
              <w:adjustRightInd w:val="0"/>
              <w:spacing w:before="60" w:after="60" w:line="480" w:lineRule="auto"/>
              <w:rPr>
                <w:rFonts w:ascii="Times New Roman" w:hAnsi="Times New Roman" w:cs="Times New Roman"/>
                <w:b/>
                <w:color w:val="000000"/>
                <w:sz w:val="20"/>
                <w:szCs w:val="20"/>
                <w:lang w:val="en-US"/>
              </w:rPr>
            </w:pPr>
            <w:r w:rsidRPr="00965249">
              <w:rPr>
                <w:rFonts w:ascii="Times New Roman" w:hAnsi="Times New Roman" w:cs="Times New Roman"/>
                <w:b/>
                <w:color w:val="000000"/>
                <w:sz w:val="20"/>
                <w:szCs w:val="20"/>
                <w:lang w:val="en-US"/>
              </w:rPr>
              <w:t>Age group</w:t>
            </w:r>
          </w:p>
        </w:tc>
        <w:tc>
          <w:tcPr>
            <w:tcW w:w="758" w:type="pct"/>
            <w:tcBorders>
              <w:top w:val="single" w:sz="4" w:space="0" w:color="auto"/>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758" w:type="pct"/>
            <w:tcBorders>
              <w:top w:val="single" w:sz="4" w:space="0" w:color="auto"/>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757" w:type="pct"/>
            <w:tcBorders>
              <w:top w:val="single" w:sz="4" w:space="0" w:color="auto"/>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912" w:type="pct"/>
            <w:tcBorders>
              <w:top w:val="single" w:sz="4" w:space="0" w:color="auto"/>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r>
      <w:tr w:rsidR="00965249" w:rsidRPr="00965249" w:rsidTr="00006054">
        <w:tc>
          <w:tcPr>
            <w:tcW w:w="1814" w:type="pct"/>
            <w:tcBorders>
              <w:top w:val="nil"/>
              <w:bottom w:val="nil"/>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&lt;50 years</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104 (7.5)</w:t>
            </w: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87 (8.0)</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198 (4.1)</w:t>
            </w:r>
          </w:p>
        </w:tc>
        <w:tc>
          <w:tcPr>
            <w:tcW w:w="912" w:type="pct"/>
            <w:tcBorders>
              <w:top w:val="nil"/>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389 (5.4)</w:t>
            </w:r>
          </w:p>
        </w:tc>
      </w:tr>
      <w:tr w:rsidR="00965249" w:rsidRPr="00965249" w:rsidTr="00006054">
        <w:tc>
          <w:tcPr>
            <w:tcW w:w="1814" w:type="pct"/>
            <w:tcBorders>
              <w:top w:val="nil"/>
              <w:bottom w:val="nil"/>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50-59 years</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261 (18.8)</w:t>
            </w: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193 (17.8)</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495 (10.4)</w:t>
            </w:r>
          </w:p>
        </w:tc>
        <w:tc>
          <w:tcPr>
            <w:tcW w:w="912" w:type="pct"/>
            <w:tcBorders>
              <w:top w:val="nil"/>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949 (13.1)</w:t>
            </w:r>
          </w:p>
        </w:tc>
      </w:tr>
      <w:tr w:rsidR="00965249" w:rsidRPr="00965249" w:rsidTr="00006054">
        <w:tc>
          <w:tcPr>
            <w:tcW w:w="1814" w:type="pct"/>
            <w:tcBorders>
              <w:top w:val="nil"/>
              <w:bottom w:val="nil"/>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60-69 years</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532 (38.3)</w:t>
            </w: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437 (40.4)</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1,250 (26.2)</w:t>
            </w:r>
          </w:p>
        </w:tc>
        <w:tc>
          <w:tcPr>
            <w:tcW w:w="912" w:type="pct"/>
            <w:tcBorders>
              <w:top w:val="nil"/>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2,219 (30.6)</w:t>
            </w:r>
          </w:p>
        </w:tc>
      </w:tr>
      <w:tr w:rsidR="00965249" w:rsidRPr="00965249" w:rsidTr="00006054">
        <w:tc>
          <w:tcPr>
            <w:tcW w:w="1814" w:type="pct"/>
            <w:tcBorders>
              <w:top w:val="nil"/>
              <w:bottom w:val="single" w:sz="4" w:space="0" w:color="auto"/>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&gt;=70 years</w:t>
            </w:r>
          </w:p>
        </w:tc>
        <w:tc>
          <w:tcPr>
            <w:tcW w:w="758" w:type="pct"/>
            <w:tcBorders>
              <w:top w:val="nil"/>
              <w:left w:val="single" w:sz="4" w:space="0" w:color="auto"/>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492 (35.4)</w:t>
            </w:r>
          </w:p>
        </w:tc>
        <w:tc>
          <w:tcPr>
            <w:tcW w:w="758" w:type="pct"/>
            <w:tcBorders>
              <w:top w:val="nil"/>
              <w:left w:val="nil"/>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365 (33.7)</w:t>
            </w:r>
          </w:p>
        </w:tc>
        <w:tc>
          <w:tcPr>
            <w:tcW w:w="757" w:type="pct"/>
            <w:tcBorders>
              <w:top w:val="nil"/>
              <w:left w:val="nil"/>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2,831 (59.3)</w:t>
            </w:r>
          </w:p>
        </w:tc>
        <w:tc>
          <w:tcPr>
            <w:tcW w:w="912" w:type="pct"/>
            <w:tcBorders>
              <w:top w:val="nil"/>
              <w:left w:val="nil"/>
              <w:bottom w:val="single" w:sz="4" w:space="0" w:color="auto"/>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3,688 (50.9)</w:t>
            </w:r>
          </w:p>
        </w:tc>
      </w:tr>
      <w:tr w:rsidR="00965249" w:rsidRPr="00965249" w:rsidTr="00006054">
        <w:tc>
          <w:tcPr>
            <w:tcW w:w="1814" w:type="pct"/>
            <w:tcBorders>
              <w:top w:val="single" w:sz="4" w:space="0" w:color="auto"/>
              <w:left w:val="single" w:sz="4" w:space="0" w:color="auto"/>
              <w:bottom w:val="nil"/>
              <w:right w:val="nil"/>
            </w:tcBorders>
          </w:tcPr>
          <w:p w:rsidR="00965249" w:rsidRPr="00965249" w:rsidRDefault="00965249" w:rsidP="00006054">
            <w:pPr>
              <w:adjustRightInd w:val="0"/>
              <w:spacing w:before="60" w:after="60" w:line="480" w:lineRule="auto"/>
              <w:rPr>
                <w:rFonts w:ascii="Times New Roman" w:hAnsi="Times New Roman" w:cs="Times New Roman"/>
                <w:b/>
                <w:bCs/>
                <w:color w:val="000000"/>
                <w:sz w:val="20"/>
                <w:szCs w:val="20"/>
                <w:lang w:val="en-US"/>
              </w:rPr>
            </w:pPr>
            <w:proofErr w:type="spellStart"/>
            <w:r w:rsidRPr="00965249">
              <w:rPr>
                <w:rFonts w:ascii="Times New Roman" w:hAnsi="Times New Roman" w:cs="Times New Roman"/>
                <w:b/>
                <w:bCs/>
                <w:color w:val="000000"/>
                <w:sz w:val="20"/>
                <w:szCs w:val="20"/>
                <w:lang w:val="en-US"/>
              </w:rPr>
              <w:t>mCRC</w:t>
            </w:r>
            <w:proofErr w:type="spellEnd"/>
            <w:r w:rsidRPr="00965249">
              <w:rPr>
                <w:rFonts w:ascii="Times New Roman" w:hAnsi="Times New Roman" w:cs="Times New Roman"/>
                <w:b/>
                <w:bCs/>
                <w:color w:val="000000"/>
                <w:sz w:val="20"/>
                <w:szCs w:val="20"/>
                <w:lang w:val="en-US"/>
              </w:rPr>
              <w:t xml:space="preserve"> diagnosis type</w:t>
            </w:r>
          </w:p>
        </w:tc>
        <w:tc>
          <w:tcPr>
            <w:tcW w:w="758" w:type="pct"/>
            <w:tcBorders>
              <w:top w:val="single" w:sz="4" w:space="0" w:color="auto"/>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758" w:type="pct"/>
            <w:tcBorders>
              <w:top w:val="single" w:sz="4" w:space="0" w:color="auto"/>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757" w:type="pct"/>
            <w:tcBorders>
              <w:top w:val="single" w:sz="4" w:space="0" w:color="auto"/>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912" w:type="pct"/>
            <w:tcBorders>
              <w:top w:val="single" w:sz="4" w:space="0" w:color="auto"/>
              <w:left w:val="nil"/>
              <w:bottom w:val="nil"/>
              <w:right w:val="single" w:sz="4" w:space="0" w:color="auto"/>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r>
      <w:tr w:rsidR="00965249" w:rsidRPr="00965249" w:rsidTr="00006054">
        <w:tc>
          <w:tcPr>
            <w:tcW w:w="1814" w:type="pct"/>
            <w:tcBorders>
              <w:top w:val="nil"/>
              <w:left w:val="single" w:sz="4" w:space="0" w:color="auto"/>
              <w:bottom w:val="nil"/>
              <w:right w:val="nil"/>
            </w:tcBorders>
          </w:tcPr>
          <w:p w:rsidR="00965249" w:rsidRPr="00965249" w:rsidRDefault="00965249" w:rsidP="00006054">
            <w:pPr>
              <w:adjustRightInd w:val="0"/>
              <w:spacing w:before="60" w:after="60" w:line="480" w:lineRule="auto"/>
              <w:rPr>
                <w:rFonts w:ascii="Times New Roman" w:hAnsi="Times New Roman" w:cs="Times New Roman"/>
                <w:bCs/>
                <w:color w:val="000000"/>
                <w:sz w:val="20"/>
                <w:szCs w:val="20"/>
                <w:lang w:val="en-US"/>
              </w:rPr>
            </w:pPr>
            <w:r w:rsidRPr="00965249">
              <w:rPr>
                <w:rFonts w:ascii="Times New Roman" w:hAnsi="Times New Roman" w:cs="Times New Roman"/>
                <w:bCs/>
                <w:color w:val="000000"/>
                <w:sz w:val="20"/>
                <w:szCs w:val="20"/>
                <w:lang w:val="en-US"/>
              </w:rPr>
              <w:t xml:space="preserve">Primary </w:t>
            </w:r>
            <w:proofErr w:type="spellStart"/>
            <w:r w:rsidRPr="00965249">
              <w:rPr>
                <w:rFonts w:ascii="Times New Roman" w:hAnsi="Times New Roman" w:cs="Times New Roman"/>
                <w:bCs/>
                <w:color w:val="000000"/>
                <w:sz w:val="20"/>
                <w:szCs w:val="20"/>
                <w:lang w:val="en-US"/>
              </w:rPr>
              <w:t>mCRC</w:t>
            </w:r>
            <w:proofErr w:type="spellEnd"/>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896 (64.5)</w:t>
            </w: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695 (64.2)</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2,947 (61.7)</w:t>
            </w:r>
          </w:p>
        </w:tc>
        <w:tc>
          <w:tcPr>
            <w:tcW w:w="912" w:type="pct"/>
            <w:tcBorders>
              <w:top w:val="nil"/>
              <w:left w:val="nil"/>
              <w:bottom w:val="nil"/>
              <w:right w:val="single" w:sz="4" w:space="0" w:color="auto"/>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4,538 (62.6)</w:t>
            </w:r>
          </w:p>
        </w:tc>
      </w:tr>
      <w:tr w:rsidR="00965249" w:rsidRPr="00965249" w:rsidTr="00006054">
        <w:tc>
          <w:tcPr>
            <w:tcW w:w="1814" w:type="pct"/>
            <w:tcBorders>
              <w:top w:val="nil"/>
              <w:left w:val="single" w:sz="4" w:space="0" w:color="auto"/>
              <w:bottom w:val="single" w:sz="4" w:space="0" w:color="auto"/>
              <w:right w:val="nil"/>
            </w:tcBorders>
          </w:tcPr>
          <w:p w:rsidR="00965249" w:rsidRPr="00965249" w:rsidRDefault="00965249" w:rsidP="00006054">
            <w:pPr>
              <w:adjustRightInd w:val="0"/>
              <w:spacing w:before="60" w:after="60" w:line="480" w:lineRule="auto"/>
              <w:rPr>
                <w:rFonts w:ascii="Times New Roman" w:hAnsi="Times New Roman" w:cs="Times New Roman"/>
                <w:bCs/>
                <w:color w:val="000000"/>
                <w:sz w:val="20"/>
                <w:szCs w:val="20"/>
                <w:lang w:val="en-US"/>
              </w:rPr>
            </w:pPr>
            <w:proofErr w:type="spellStart"/>
            <w:r w:rsidRPr="00965249">
              <w:rPr>
                <w:rFonts w:ascii="Times New Roman" w:hAnsi="Times New Roman" w:cs="Times New Roman"/>
                <w:bCs/>
                <w:color w:val="000000"/>
                <w:sz w:val="20"/>
                <w:szCs w:val="20"/>
                <w:lang w:val="en-US"/>
              </w:rPr>
              <w:t>mCRC</w:t>
            </w:r>
            <w:proofErr w:type="spellEnd"/>
            <w:r w:rsidRPr="00965249">
              <w:rPr>
                <w:rFonts w:ascii="Times New Roman" w:hAnsi="Times New Roman" w:cs="Times New Roman"/>
                <w:bCs/>
                <w:color w:val="000000"/>
                <w:sz w:val="20"/>
                <w:szCs w:val="20"/>
                <w:lang w:val="en-US"/>
              </w:rPr>
              <w:t xml:space="preserve"> at recurrence</w:t>
            </w:r>
          </w:p>
        </w:tc>
        <w:tc>
          <w:tcPr>
            <w:tcW w:w="758" w:type="pct"/>
            <w:tcBorders>
              <w:top w:val="nil"/>
              <w:left w:val="single" w:sz="4" w:space="0" w:color="auto"/>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493 (35.5)</w:t>
            </w:r>
          </w:p>
        </w:tc>
        <w:tc>
          <w:tcPr>
            <w:tcW w:w="758" w:type="pct"/>
            <w:tcBorders>
              <w:top w:val="nil"/>
              <w:left w:val="nil"/>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387 (35.8)</w:t>
            </w:r>
          </w:p>
        </w:tc>
        <w:tc>
          <w:tcPr>
            <w:tcW w:w="757" w:type="pct"/>
            <w:tcBorders>
              <w:top w:val="nil"/>
              <w:left w:val="nil"/>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1,827 (38.3)</w:t>
            </w:r>
          </w:p>
        </w:tc>
        <w:tc>
          <w:tcPr>
            <w:tcW w:w="912" w:type="pct"/>
            <w:tcBorders>
              <w:top w:val="nil"/>
              <w:left w:val="nil"/>
              <w:bottom w:val="single" w:sz="4" w:space="0" w:color="auto"/>
              <w:right w:val="single" w:sz="4" w:space="0" w:color="auto"/>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2,707 (37.4)</w:t>
            </w:r>
          </w:p>
        </w:tc>
      </w:tr>
      <w:tr w:rsidR="00965249" w:rsidRPr="00900E79" w:rsidTr="00006054">
        <w:tc>
          <w:tcPr>
            <w:tcW w:w="1814" w:type="pct"/>
            <w:tcBorders>
              <w:top w:val="single" w:sz="4" w:space="0" w:color="auto"/>
              <w:left w:val="single" w:sz="4" w:space="0" w:color="auto"/>
              <w:bottom w:val="nil"/>
              <w:right w:val="single" w:sz="4" w:space="0" w:color="auto"/>
            </w:tcBorders>
          </w:tcPr>
          <w:p w:rsidR="00965249" w:rsidRPr="00965249" w:rsidRDefault="00965249" w:rsidP="00006054">
            <w:pPr>
              <w:adjustRightInd w:val="0"/>
              <w:spacing w:before="60" w:after="60" w:line="480" w:lineRule="auto"/>
              <w:rPr>
                <w:rFonts w:ascii="Times New Roman" w:hAnsi="Times New Roman" w:cs="Times New Roman"/>
                <w:b/>
                <w:bCs/>
                <w:color w:val="000000"/>
                <w:sz w:val="20"/>
                <w:szCs w:val="20"/>
                <w:lang w:val="en-US"/>
              </w:rPr>
            </w:pPr>
            <w:r w:rsidRPr="00965249">
              <w:rPr>
                <w:rFonts w:ascii="Times New Roman" w:hAnsi="Times New Roman" w:cs="Times New Roman"/>
                <w:b/>
                <w:bCs/>
                <w:color w:val="000000"/>
                <w:sz w:val="20"/>
                <w:szCs w:val="20"/>
                <w:lang w:val="en-US"/>
              </w:rPr>
              <w:t>Location of the primary tumor</w:t>
            </w:r>
          </w:p>
        </w:tc>
        <w:tc>
          <w:tcPr>
            <w:tcW w:w="758" w:type="pct"/>
            <w:tcBorders>
              <w:top w:val="single" w:sz="4" w:space="0" w:color="auto"/>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758" w:type="pct"/>
            <w:tcBorders>
              <w:top w:val="single" w:sz="4" w:space="0" w:color="auto"/>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757" w:type="pct"/>
            <w:tcBorders>
              <w:top w:val="single" w:sz="4" w:space="0" w:color="auto"/>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912" w:type="pct"/>
            <w:tcBorders>
              <w:top w:val="single" w:sz="4" w:space="0" w:color="auto"/>
              <w:left w:val="nil"/>
              <w:bottom w:val="nil"/>
              <w:right w:val="single" w:sz="4" w:space="0" w:color="auto"/>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r>
      <w:tr w:rsidR="00965249" w:rsidRPr="00965249" w:rsidTr="00006054">
        <w:tc>
          <w:tcPr>
            <w:tcW w:w="1814" w:type="pct"/>
            <w:tcBorders>
              <w:top w:val="nil"/>
              <w:left w:val="single" w:sz="4" w:space="0" w:color="auto"/>
              <w:bottom w:val="nil"/>
              <w:right w:val="single" w:sz="4" w:space="0" w:color="auto"/>
            </w:tcBorders>
          </w:tcPr>
          <w:p w:rsidR="00965249" w:rsidRPr="00965249" w:rsidRDefault="00965249" w:rsidP="00006054">
            <w:pPr>
              <w:adjustRightInd w:val="0"/>
              <w:spacing w:before="60" w:after="60" w:line="480" w:lineRule="auto"/>
              <w:rPr>
                <w:rFonts w:ascii="Times New Roman" w:hAnsi="Times New Roman" w:cs="Times New Roman"/>
                <w:bCs/>
                <w:sz w:val="20"/>
                <w:szCs w:val="20"/>
                <w:lang w:val="en-US"/>
              </w:rPr>
            </w:pPr>
            <w:r w:rsidRPr="00965249">
              <w:rPr>
                <w:rFonts w:ascii="Times New Roman" w:hAnsi="Times New Roman" w:cs="Times New Roman"/>
                <w:sz w:val="20"/>
                <w:szCs w:val="20"/>
                <w:lang w:val="en-US"/>
              </w:rPr>
              <w:t>Proximal to splenic flexure</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362 (26.1)</w:t>
            </w: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313 (28.9)</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1,475 (30.9)</w:t>
            </w:r>
          </w:p>
        </w:tc>
        <w:tc>
          <w:tcPr>
            <w:tcW w:w="912" w:type="pct"/>
            <w:tcBorders>
              <w:top w:val="nil"/>
              <w:left w:val="nil"/>
              <w:bottom w:val="nil"/>
              <w:right w:val="single" w:sz="4" w:space="0" w:color="auto"/>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2,150 (29.7)</w:t>
            </w:r>
          </w:p>
        </w:tc>
      </w:tr>
      <w:tr w:rsidR="00965249" w:rsidRPr="00965249" w:rsidTr="00006054">
        <w:tc>
          <w:tcPr>
            <w:tcW w:w="1814" w:type="pct"/>
            <w:tcBorders>
              <w:top w:val="nil"/>
              <w:left w:val="single" w:sz="4" w:space="0" w:color="auto"/>
              <w:bottom w:val="nil"/>
              <w:right w:val="single" w:sz="4" w:space="0" w:color="auto"/>
            </w:tcBorders>
          </w:tcPr>
          <w:p w:rsidR="00965249" w:rsidRPr="00965249" w:rsidRDefault="00965249" w:rsidP="00006054">
            <w:pPr>
              <w:adjustRightInd w:val="0"/>
              <w:spacing w:before="60" w:after="60" w:line="480" w:lineRule="auto"/>
              <w:rPr>
                <w:rFonts w:ascii="Times New Roman" w:hAnsi="Times New Roman" w:cs="Times New Roman"/>
                <w:bCs/>
                <w:sz w:val="20"/>
                <w:szCs w:val="20"/>
                <w:lang w:val="en-US"/>
              </w:rPr>
            </w:pPr>
            <w:r w:rsidRPr="00965249">
              <w:rPr>
                <w:rFonts w:ascii="Times New Roman" w:hAnsi="Times New Roman" w:cs="Times New Roman"/>
                <w:sz w:val="20"/>
                <w:szCs w:val="20"/>
                <w:lang w:val="en-US"/>
              </w:rPr>
              <w:t>Splenic flexure and distal colon</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470 (33.8)</w:t>
            </w: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319 (29.5)</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1,305 (27.3)</w:t>
            </w:r>
          </w:p>
        </w:tc>
        <w:tc>
          <w:tcPr>
            <w:tcW w:w="912" w:type="pct"/>
            <w:tcBorders>
              <w:top w:val="nil"/>
              <w:left w:val="nil"/>
              <w:bottom w:val="nil"/>
              <w:right w:val="single" w:sz="4" w:space="0" w:color="auto"/>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2,094 (28.9)</w:t>
            </w:r>
          </w:p>
        </w:tc>
      </w:tr>
      <w:tr w:rsidR="00965249" w:rsidRPr="00965249" w:rsidTr="00006054">
        <w:tc>
          <w:tcPr>
            <w:tcW w:w="1814" w:type="pct"/>
            <w:tcBorders>
              <w:top w:val="nil"/>
              <w:left w:val="single" w:sz="4" w:space="0" w:color="auto"/>
              <w:bottom w:val="nil"/>
              <w:right w:val="single" w:sz="4" w:space="0" w:color="auto"/>
            </w:tcBorders>
          </w:tcPr>
          <w:p w:rsidR="00965249" w:rsidRPr="00965249" w:rsidRDefault="00965249" w:rsidP="00006054">
            <w:pPr>
              <w:adjustRightInd w:val="0"/>
              <w:spacing w:before="60" w:after="60" w:line="480" w:lineRule="auto"/>
              <w:rPr>
                <w:rFonts w:ascii="Times New Roman" w:hAnsi="Times New Roman" w:cs="Times New Roman"/>
                <w:bCs/>
                <w:sz w:val="20"/>
                <w:szCs w:val="20"/>
                <w:lang w:val="en-US"/>
              </w:rPr>
            </w:pPr>
            <w:r w:rsidRPr="00965249">
              <w:rPr>
                <w:rFonts w:ascii="Times New Roman" w:hAnsi="Times New Roman" w:cs="Times New Roman"/>
                <w:sz w:val="20"/>
                <w:szCs w:val="20"/>
                <w:lang w:val="en-US"/>
              </w:rPr>
              <w:t xml:space="preserve">Unspecified/multiple sites </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67 (4.7)</w:t>
            </w: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50 (4.6)</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460 (9.6)</w:t>
            </w:r>
          </w:p>
        </w:tc>
        <w:tc>
          <w:tcPr>
            <w:tcW w:w="912" w:type="pct"/>
            <w:tcBorders>
              <w:top w:val="nil"/>
              <w:left w:val="nil"/>
              <w:bottom w:val="nil"/>
              <w:right w:val="single" w:sz="4" w:space="0" w:color="auto"/>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577 (8.0)</w:t>
            </w:r>
          </w:p>
        </w:tc>
      </w:tr>
      <w:tr w:rsidR="00965249" w:rsidRPr="00965249" w:rsidTr="00D76BE8">
        <w:trPr>
          <w:trHeight w:val="273"/>
        </w:trPr>
        <w:tc>
          <w:tcPr>
            <w:tcW w:w="1814" w:type="pct"/>
            <w:tcBorders>
              <w:top w:val="nil"/>
              <w:left w:val="single" w:sz="4" w:space="0" w:color="auto"/>
              <w:bottom w:val="single" w:sz="4" w:space="0" w:color="auto"/>
              <w:right w:val="single" w:sz="4" w:space="0" w:color="auto"/>
            </w:tcBorders>
          </w:tcPr>
          <w:p w:rsidR="00965249" w:rsidRPr="00965249" w:rsidRDefault="00965249" w:rsidP="00006054">
            <w:pPr>
              <w:spacing w:line="480" w:lineRule="auto"/>
              <w:rPr>
                <w:rFonts w:ascii="Times New Roman" w:hAnsi="Times New Roman" w:cs="Times New Roman"/>
                <w:sz w:val="20"/>
                <w:szCs w:val="20"/>
                <w:lang w:val="en-US"/>
              </w:rPr>
            </w:pPr>
            <w:r w:rsidRPr="00965249">
              <w:rPr>
                <w:rFonts w:ascii="Times New Roman" w:hAnsi="Times New Roman" w:cs="Times New Roman"/>
                <w:sz w:val="20"/>
                <w:szCs w:val="20"/>
                <w:lang w:val="en-US"/>
              </w:rPr>
              <w:lastRenderedPageBreak/>
              <w:t xml:space="preserve">Rectum </w:t>
            </w:r>
          </w:p>
        </w:tc>
        <w:tc>
          <w:tcPr>
            <w:tcW w:w="758" w:type="pct"/>
            <w:tcBorders>
              <w:top w:val="nil"/>
              <w:left w:val="single" w:sz="4" w:space="0" w:color="auto"/>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490 (35.3)</w:t>
            </w:r>
          </w:p>
        </w:tc>
        <w:tc>
          <w:tcPr>
            <w:tcW w:w="758" w:type="pct"/>
            <w:tcBorders>
              <w:top w:val="nil"/>
              <w:left w:val="nil"/>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400 (37.0)</w:t>
            </w:r>
          </w:p>
        </w:tc>
        <w:tc>
          <w:tcPr>
            <w:tcW w:w="757" w:type="pct"/>
            <w:tcBorders>
              <w:top w:val="nil"/>
              <w:left w:val="nil"/>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1,534 (32.1)</w:t>
            </w:r>
          </w:p>
        </w:tc>
        <w:tc>
          <w:tcPr>
            <w:tcW w:w="912" w:type="pct"/>
            <w:tcBorders>
              <w:top w:val="nil"/>
              <w:left w:val="nil"/>
              <w:bottom w:val="single" w:sz="4" w:space="0" w:color="auto"/>
              <w:right w:val="single" w:sz="4" w:space="0" w:color="auto"/>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2,424 (33.5)</w:t>
            </w:r>
          </w:p>
        </w:tc>
      </w:tr>
      <w:tr w:rsidR="00965249" w:rsidRPr="00965249" w:rsidTr="00D76BE8">
        <w:tc>
          <w:tcPr>
            <w:tcW w:w="1814" w:type="pct"/>
            <w:tcBorders>
              <w:top w:val="single" w:sz="4" w:space="0" w:color="auto"/>
              <w:bottom w:val="nil"/>
              <w:right w:val="single" w:sz="4" w:space="0" w:color="auto"/>
            </w:tcBorders>
          </w:tcPr>
          <w:p w:rsidR="00965249" w:rsidRPr="00965249" w:rsidRDefault="00965249" w:rsidP="00006054">
            <w:pPr>
              <w:adjustRightInd w:val="0"/>
              <w:spacing w:before="60" w:after="60" w:line="480" w:lineRule="auto"/>
              <w:rPr>
                <w:rFonts w:ascii="Times New Roman" w:hAnsi="Times New Roman" w:cs="Times New Roman"/>
                <w:b/>
                <w:color w:val="000000"/>
                <w:sz w:val="20"/>
                <w:szCs w:val="20"/>
                <w:lang w:val="en-US"/>
              </w:rPr>
            </w:pPr>
            <w:r w:rsidRPr="00965249">
              <w:rPr>
                <w:rFonts w:ascii="Times New Roman" w:hAnsi="Times New Roman" w:cs="Times New Roman"/>
                <w:b/>
                <w:color w:val="000000"/>
                <w:sz w:val="20"/>
                <w:szCs w:val="20"/>
                <w:lang w:val="en-US"/>
              </w:rPr>
              <w:t>Comorbidity Index score</w:t>
            </w:r>
          </w:p>
        </w:tc>
        <w:tc>
          <w:tcPr>
            <w:tcW w:w="758" w:type="pct"/>
            <w:tcBorders>
              <w:top w:val="single" w:sz="4" w:space="0" w:color="auto"/>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758" w:type="pct"/>
            <w:tcBorders>
              <w:top w:val="single" w:sz="4" w:space="0" w:color="auto"/>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757" w:type="pct"/>
            <w:tcBorders>
              <w:top w:val="single" w:sz="4" w:space="0" w:color="auto"/>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912" w:type="pct"/>
            <w:tcBorders>
              <w:top w:val="single" w:sz="4" w:space="0" w:color="auto"/>
              <w:left w:val="nil"/>
              <w:bottom w:val="nil"/>
              <w:right w:val="single" w:sz="4" w:space="0" w:color="auto"/>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r>
      <w:tr w:rsidR="00965249" w:rsidRPr="00965249" w:rsidTr="00D76BE8">
        <w:tc>
          <w:tcPr>
            <w:tcW w:w="1814" w:type="pct"/>
            <w:tcBorders>
              <w:top w:val="nil"/>
              <w:bottom w:val="nil"/>
              <w:right w:val="single" w:sz="4" w:space="0" w:color="auto"/>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No comorbidity (CCI score =0)</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937 (67.5)</w:t>
            </w: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747 (69.0)</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2,772 (58.1)</w:t>
            </w:r>
          </w:p>
        </w:tc>
        <w:tc>
          <w:tcPr>
            <w:tcW w:w="912" w:type="pct"/>
            <w:tcBorders>
              <w:top w:val="nil"/>
              <w:left w:val="nil"/>
              <w:bottom w:val="nil"/>
              <w:right w:val="single" w:sz="4" w:space="0" w:color="auto"/>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4,456 (61.5)</w:t>
            </w:r>
          </w:p>
        </w:tc>
      </w:tr>
      <w:tr w:rsidR="00965249" w:rsidRPr="00965249" w:rsidTr="00D76BE8">
        <w:tc>
          <w:tcPr>
            <w:tcW w:w="1814" w:type="pct"/>
            <w:tcBorders>
              <w:top w:val="nil"/>
              <w:bottom w:val="nil"/>
              <w:right w:val="single" w:sz="4" w:space="0" w:color="auto"/>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Low comorbidity (CCI score =1-2)</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385 (27.7)</w:t>
            </w: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287 (26.5)</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1,586 (33.2)</w:t>
            </w:r>
          </w:p>
        </w:tc>
        <w:tc>
          <w:tcPr>
            <w:tcW w:w="912" w:type="pct"/>
            <w:tcBorders>
              <w:top w:val="nil"/>
              <w:left w:val="nil"/>
              <w:bottom w:val="nil"/>
              <w:right w:val="single" w:sz="4" w:space="0" w:color="auto"/>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2,258 (31.2)</w:t>
            </w:r>
          </w:p>
        </w:tc>
      </w:tr>
      <w:tr w:rsidR="00965249" w:rsidRPr="00965249" w:rsidTr="00D76BE8">
        <w:tc>
          <w:tcPr>
            <w:tcW w:w="1814" w:type="pct"/>
            <w:tcBorders>
              <w:top w:val="nil"/>
              <w:bottom w:val="single" w:sz="4" w:space="0" w:color="auto"/>
              <w:right w:val="single" w:sz="4" w:space="0" w:color="auto"/>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Moderate/severe comorbidity (CCI score &gt;=3)</w:t>
            </w:r>
          </w:p>
        </w:tc>
        <w:tc>
          <w:tcPr>
            <w:tcW w:w="758" w:type="pct"/>
            <w:tcBorders>
              <w:top w:val="nil"/>
              <w:left w:val="single" w:sz="4" w:space="0" w:color="auto"/>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67 (4.8)</w:t>
            </w:r>
          </w:p>
        </w:tc>
        <w:tc>
          <w:tcPr>
            <w:tcW w:w="758" w:type="pct"/>
            <w:tcBorders>
              <w:top w:val="nil"/>
              <w:left w:val="nil"/>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48 (4.4)</w:t>
            </w:r>
          </w:p>
        </w:tc>
        <w:tc>
          <w:tcPr>
            <w:tcW w:w="757" w:type="pct"/>
            <w:tcBorders>
              <w:top w:val="nil"/>
              <w:left w:val="nil"/>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416 (8.7)</w:t>
            </w:r>
          </w:p>
        </w:tc>
        <w:tc>
          <w:tcPr>
            <w:tcW w:w="912" w:type="pct"/>
            <w:tcBorders>
              <w:top w:val="nil"/>
              <w:left w:val="nil"/>
              <w:bottom w:val="single" w:sz="4" w:space="0" w:color="auto"/>
              <w:right w:val="single" w:sz="4" w:space="0" w:color="auto"/>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531 (7.3)</w:t>
            </w:r>
          </w:p>
        </w:tc>
      </w:tr>
      <w:tr w:rsidR="00965249" w:rsidRPr="00965249" w:rsidTr="00D76BE8">
        <w:tc>
          <w:tcPr>
            <w:tcW w:w="1814" w:type="pct"/>
            <w:tcBorders>
              <w:top w:val="single" w:sz="4" w:space="0" w:color="auto"/>
              <w:bottom w:val="nil"/>
            </w:tcBorders>
          </w:tcPr>
          <w:p w:rsidR="00965249" w:rsidRPr="00965249" w:rsidRDefault="00965249" w:rsidP="00006054">
            <w:pPr>
              <w:adjustRightInd w:val="0"/>
              <w:spacing w:before="60" w:after="60" w:line="480" w:lineRule="auto"/>
              <w:rPr>
                <w:rFonts w:ascii="Times New Roman" w:hAnsi="Times New Roman" w:cs="Times New Roman"/>
                <w:b/>
                <w:color w:val="000000"/>
                <w:sz w:val="20"/>
                <w:szCs w:val="20"/>
                <w:lang w:val="en-US"/>
              </w:rPr>
            </w:pPr>
            <w:r w:rsidRPr="00965249">
              <w:rPr>
                <w:rFonts w:ascii="Times New Roman" w:hAnsi="Times New Roman" w:cs="Times New Roman"/>
                <w:b/>
                <w:color w:val="000000"/>
                <w:sz w:val="20"/>
                <w:szCs w:val="20"/>
                <w:lang w:val="en-US"/>
              </w:rPr>
              <w:t>Specific comorbidities</w:t>
            </w:r>
          </w:p>
        </w:tc>
        <w:tc>
          <w:tcPr>
            <w:tcW w:w="758" w:type="pct"/>
            <w:tcBorders>
              <w:top w:val="single" w:sz="4" w:space="0" w:color="auto"/>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758" w:type="pct"/>
            <w:tcBorders>
              <w:top w:val="single" w:sz="4" w:space="0" w:color="auto"/>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757" w:type="pct"/>
            <w:tcBorders>
              <w:top w:val="single" w:sz="4" w:space="0" w:color="auto"/>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912" w:type="pct"/>
            <w:tcBorders>
              <w:top w:val="single" w:sz="4" w:space="0" w:color="auto"/>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r>
      <w:tr w:rsidR="00965249" w:rsidRPr="00965249" w:rsidTr="00006054">
        <w:tc>
          <w:tcPr>
            <w:tcW w:w="1814" w:type="pct"/>
            <w:tcBorders>
              <w:top w:val="nil"/>
              <w:bottom w:val="nil"/>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Myocardial infarction</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66 (4.8)</w:t>
            </w: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48 (4.4)</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292 (6.1)</w:t>
            </w:r>
          </w:p>
        </w:tc>
        <w:tc>
          <w:tcPr>
            <w:tcW w:w="912" w:type="pct"/>
            <w:tcBorders>
              <w:top w:val="nil"/>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406 (5.6)</w:t>
            </w:r>
          </w:p>
        </w:tc>
      </w:tr>
      <w:tr w:rsidR="00965249" w:rsidRPr="00965249" w:rsidTr="00006054">
        <w:tc>
          <w:tcPr>
            <w:tcW w:w="1814" w:type="pct"/>
            <w:tcBorders>
              <w:top w:val="nil"/>
              <w:bottom w:val="nil"/>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Congestive heart failure</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50 (3.6)</w:t>
            </w: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32 (3.0)</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307 (6.4)</w:t>
            </w:r>
          </w:p>
        </w:tc>
        <w:tc>
          <w:tcPr>
            <w:tcW w:w="912" w:type="pct"/>
            <w:tcBorders>
              <w:top w:val="nil"/>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389 (5.4)</w:t>
            </w:r>
          </w:p>
        </w:tc>
      </w:tr>
      <w:tr w:rsidR="00965249" w:rsidRPr="00965249" w:rsidTr="00006054">
        <w:tc>
          <w:tcPr>
            <w:tcW w:w="1814" w:type="pct"/>
            <w:tcBorders>
              <w:top w:val="nil"/>
              <w:bottom w:val="nil"/>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Peripheral vascular disease</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54 (3.9)</w:t>
            </w: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46 (4.3)</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324 (6.8)</w:t>
            </w:r>
          </w:p>
        </w:tc>
        <w:tc>
          <w:tcPr>
            <w:tcW w:w="912" w:type="pct"/>
            <w:tcBorders>
              <w:top w:val="nil"/>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424 (5.9)</w:t>
            </w:r>
          </w:p>
        </w:tc>
      </w:tr>
      <w:tr w:rsidR="00965249" w:rsidRPr="00965249" w:rsidTr="00006054">
        <w:tc>
          <w:tcPr>
            <w:tcW w:w="1814" w:type="pct"/>
            <w:tcBorders>
              <w:top w:val="nil"/>
              <w:bottom w:val="nil"/>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Cerebrovascular disease</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103 (7.4)</w:t>
            </w: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81 (7.5)</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545 (11.4)</w:t>
            </w:r>
          </w:p>
        </w:tc>
        <w:tc>
          <w:tcPr>
            <w:tcW w:w="912" w:type="pct"/>
            <w:tcBorders>
              <w:top w:val="nil"/>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729 (10.1)</w:t>
            </w:r>
          </w:p>
        </w:tc>
      </w:tr>
      <w:tr w:rsidR="00965249" w:rsidRPr="00965249" w:rsidTr="00006054">
        <w:tc>
          <w:tcPr>
            <w:tcW w:w="1814" w:type="pct"/>
            <w:tcBorders>
              <w:top w:val="nil"/>
              <w:bottom w:val="nil"/>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Dementia</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13 (0.9)</w:t>
            </w: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2 (0.2)</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80 (1.7)</w:t>
            </w:r>
          </w:p>
        </w:tc>
        <w:tc>
          <w:tcPr>
            <w:tcW w:w="912" w:type="pct"/>
            <w:tcBorders>
              <w:top w:val="nil"/>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95 (1.3)</w:t>
            </w:r>
          </w:p>
        </w:tc>
      </w:tr>
      <w:tr w:rsidR="00965249" w:rsidRPr="00965249" w:rsidTr="00006054">
        <w:tc>
          <w:tcPr>
            <w:tcW w:w="1814" w:type="pct"/>
            <w:tcBorders>
              <w:top w:val="nil"/>
              <w:bottom w:val="nil"/>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Chronic pulmonary disease</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104 (7.5)</w:t>
            </w: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81 (7.5)</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511 (10.7)</w:t>
            </w:r>
          </w:p>
        </w:tc>
        <w:tc>
          <w:tcPr>
            <w:tcW w:w="912" w:type="pct"/>
            <w:tcBorders>
              <w:top w:val="nil"/>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696 (9.6)</w:t>
            </w:r>
          </w:p>
        </w:tc>
      </w:tr>
      <w:tr w:rsidR="00965249" w:rsidRPr="00965249" w:rsidTr="00006054">
        <w:tc>
          <w:tcPr>
            <w:tcW w:w="1814" w:type="pct"/>
            <w:tcBorders>
              <w:top w:val="nil"/>
              <w:bottom w:val="nil"/>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Connective tissue disease</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45 (3.2)</w:t>
            </w: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28 (2.6)</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185 (3.9)</w:t>
            </w:r>
          </w:p>
        </w:tc>
        <w:tc>
          <w:tcPr>
            <w:tcW w:w="912" w:type="pct"/>
            <w:tcBorders>
              <w:top w:val="nil"/>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258 (3.6)</w:t>
            </w:r>
          </w:p>
        </w:tc>
      </w:tr>
      <w:tr w:rsidR="00965249" w:rsidRPr="00965249" w:rsidTr="00006054">
        <w:tc>
          <w:tcPr>
            <w:tcW w:w="1814" w:type="pct"/>
            <w:tcBorders>
              <w:top w:val="nil"/>
              <w:bottom w:val="nil"/>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Ulcer disease</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76 (5.5)</w:t>
            </w: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45 (4.2)</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306 (6.4)</w:t>
            </w:r>
          </w:p>
        </w:tc>
        <w:tc>
          <w:tcPr>
            <w:tcW w:w="912" w:type="pct"/>
            <w:tcBorders>
              <w:top w:val="nil"/>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427 (5.9)</w:t>
            </w:r>
          </w:p>
        </w:tc>
      </w:tr>
      <w:tr w:rsidR="00965249" w:rsidRPr="00965249" w:rsidTr="00006054">
        <w:tc>
          <w:tcPr>
            <w:tcW w:w="1814" w:type="pct"/>
            <w:tcBorders>
              <w:top w:val="nil"/>
              <w:bottom w:val="nil"/>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Mild liver disease</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15 (1.1)</w:t>
            </w: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13 (1.2)</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74 (1.6)</w:t>
            </w:r>
          </w:p>
        </w:tc>
        <w:tc>
          <w:tcPr>
            <w:tcW w:w="912" w:type="pct"/>
            <w:tcBorders>
              <w:top w:val="nil"/>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102 (1.4)</w:t>
            </w:r>
          </w:p>
        </w:tc>
      </w:tr>
      <w:tr w:rsidR="00965249" w:rsidRPr="00965249" w:rsidTr="00006054">
        <w:tc>
          <w:tcPr>
            <w:tcW w:w="1814" w:type="pct"/>
            <w:tcBorders>
              <w:top w:val="nil"/>
              <w:bottom w:val="nil"/>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Diabetes type I and II</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106 (7.6)</w:t>
            </w: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87 (8.0)</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450 (9.4)</w:t>
            </w:r>
          </w:p>
        </w:tc>
        <w:tc>
          <w:tcPr>
            <w:tcW w:w="912" w:type="pct"/>
            <w:tcBorders>
              <w:top w:val="nil"/>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643 (8.9)</w:t>
            </w:r>
          </w:p>
        </w:tc>
      </w:tr>
      <w:tr w:rsidR="00965249" w:rsidRPr="00965249" w:rsidTr="00006054">
        <w:tc>
          <w:tcPr>
            <w:tcW w:w="1814" w:type="pct"/>
            <w:tcBorders>
              <w:top w:val="nil"/>
              <w:bottom w:val="nil"/>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Hemiplegia</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3 (0.2)</w:t>
            </w: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2 (0.2)</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25 (0.5)</w:t>
            </w:r>
          </w:p>
        </w:tc>
        <w:tc>
          <w:tcPr>
            <w:tcW w:w="912" w:type="pct"/>
            <w:tcBorders>
              <w:top w:val="nil"/>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30 (0.4)</w:t>
            </w:r>
          </w:p>
        </w:tc>
      </w:tr>
      <w:tr w:rsidR="00965249" w:rsidRPr="00965249" w:rsidTr="00006054">
        <w:tc>
          <w:tcPr>
            <w:tcW w:w="1814" w:type="pct"/>
            <w:tcBorders>
              <w:top w:val="nil"/>
              <w:bottom w:val="nil"/>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Moderate to severe renal disease</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22 (1.6)</w:t>
            </w: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14 (1.3)</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127 (2.7)</w:t>
            </w:r>
          </w:p>
        </w:tc>
        <w:tc>
          <w:tcPr>
            <w:tcW w:w="912" w:type="pct"/>
            <w:tcBorders>
              <w:top w:val="nil"/>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163 (2.2)</w:t>
            </w:r>
          </w:p>
        </w:tc>
      </w:tr>
      <w:tr w:rsidR="00965249" w:rsidRPr="00965249" w:rsidTr="00006054">
        <w:tc>
          <w:tcPr>
            <w:tcW w:w="1814" w:type="pct"/>
            <w:tcBorders>
              <w:top w:val="nil"/>
              <w:bottom w:val="nil"/>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Diabetes with end-organ damage</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44 (3.2)</w:t>
            </w: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31 (2.9)</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201 (4.2)</w:t>
            </w:r>
          </w:p>
        </w:tc>
        <w:tc>
          <w:tcPr>
            <w:tcW w:w="912" w:type="pct"/>
            <w:tcBorders>
              <w:top w:val="nil"/>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276 (3.8)</w:t>
            </w:r>
          </w:p>
        </w:tc>
      </w:tr>
      <w:tr w:rsidR="00965249" w:rsidRPr="00965249" w:rsidTr="00006054">
        <w:tc>
          <w:tcPr>
            <w:tcW w:w="1814" w:type="pct"/>
            <w:tcBorders>
              <w:top w:val="nil"/>
              <w:bottom w:val="nil"/>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lastRenderedPageBreak/>
              <w:t>Moderate to severe liver disease</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5 (0.4)</w:t>
            </w: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6 (0.6)</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18 (0.4)</w:t>
            </w:r>
          </w:p>
        </w:tc>
        <w:tc>
          <w:tcPr>
            <w:tcW w:w="912" w:type="pct"/>
            <w:tcBorders>
              <w:top w:val="nil"/>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29 (0.4)</w:t>
            </w:r>
          </w:p>
        </w:tc>
      </w:tr>
      <w:tr w:rsidR="00965249" w:rsidRPr="00965249" w:rsidTr="00006054">
        <w:tc>
          <w:tcPr>
            <w:tcW w:w="1814" w:type="pct"/>
            <w:tcBorders>
              <w:top w:val="nil"/>
              <w:bottom w:val="single" w:sz="4" w:space="0" w:color="auto"/>
            </w:tcBorders>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AIDS</w:t>
            </w:r>
          </w:p>
        </w:tc>
        <w:tc>
          <w:tcPr>
            <w:tcW w:w="758" w:type="pct"/>
            <w:tcBorders>
              <w:top w:val="nil"/>
              <w:left w:val="single" w:sz="4" w:space="0" w:color="auto"/>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0 (0.0)</w:t>
            </w:r>
          </w:p>
        </w:tc>
        <w:tc>
          <w:tcPr>
            <w:tcW w:w="758" w:type="pct"/>
            <w:tcBorders>
              <w:top w:val="nil"/>
              <w:left w:val="nil"/>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0 (0.0)</w:t>
            </w:r>
          </w:p>
        </w:tc>
        <w:tc>
          <w:tcPr>
            <w:tcW w:w="757" w:type="pct"/>
            <w:tcBorders>
              <w:top w:val="nil"/>
              <w:left w:val="nil"/>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&lt;5 (0.0)</w:t>
            </w:r>
          </w:p>
        </w:tc>
        <w:tc>
          <w:tcPr>
            <w:tcW w:w="912" w:type="pct"/>
            <w:tcBorders>
              <w:top w:val="nil"/>
              <w:left w:val="nil"/>
              <w:bottom w:val="single" w:sz="4" w:space="0" w:color="auto"/>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&lt;5 (0.0)</w:t>
            </w:r>
          </w:p>
        </w:tc>
      </w:tr>
      <w:tr w:rsidR="00965249" w:rsidRPr="00965249" w:rsidTr="00006054">
        <w:tc>
          <w:tcPr>
            <w:tcW w:w="1814" w:type="pct"/>
            <w:tcBorders>
              <w:top w:val="single" w:sz="4" w:space="0" w:color="auto"/>
              <w:bottom w:val="nil"/>
            </w:tcBorders>
          </w:tcPr>
          <w:p w:rsidR="00965249" w:rsidRPr="00965249" w:rsidRDefault="00965249" w:rsidP="00006054">
            <w:pPr>
              <w:adjustRightInd w:val="0"/>
              <w:spacing w:before="60" w:after="60" w:line="480" w:lineRule="auto"/>
              <w:rPr>
                <w:rFonts w:ascii="Times New Roman" w:hAnsi="Times New Roman" w:cs="Times New Roman"/>
                <w:b/>
                <w:color w:val="000000"/>
                <w:sz w:val="20"/>
                <w:szCs w:val="20"/>
                <w:lang w:val="en-US"/>
              </w:rPr>
            </w:pPr>
            <w:r w:rsidRPr="00965249">
              <w:rPr>
                <w:rFonts w:ascii="Times New Roman" w:hAnsi="Times New Roman" w:cs="Times New Roman"/>
                <w:b/>
                <w:color w:val="000000"/>
                <w:sz w:val="20"/>
                <w:szCs w:val="20"/>
                <w:lang w:val="en-US"/>
              </w:rPr>
              <w:t>KRAS mutation</w:t>
            </w:r>
          </w:p>
        </w:tc>
        <w:tc>
          <w:tcPr>
            <w:tcW w:w="758" w:type="pct"/>
            <w:tcBorders>
              <w:top w:val="single" w:sz="4" w:space="0" w:color="auto"/>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NA</w:t>
            </w:r>
          </w:p>
        </w:tc>
        <w:tc>
          <w:tcPr>
            <w:tcW w:w="758" w:type="pct"/>
            <w:tcBorders>
              <w:top w:val="single" w:sz="4" w:space="0" w:color="auto"/>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757" w:type="pct"/>
            <w:tcBorders>
              <w:top w:val="single" w:sz="4" w:space="0" w:color="auto"/>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NA</w:t>
            </w:r>
          </w:p>
        </w:tc>
        <w:tc>
          <w:tcPr>
            <w:tcW w:w="912" w:type="pct"/>
            <w:tcBorders>
              <w:top w:val="single" w:sz="4" w:space="0" w:color="auto"/>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r>
      <w:tr w:rsidR="00965249" w:rsidRPr="00965249" w:rsidTr="00006054">
        <w:tc>
          <w:tcPr>
            <w:tcW w:w="1814" w:type="pct"/>
            <w:tcBorders>
              <w:top w:val="nil"/>
              <w:bottom w:val="nil"/>
            </w:tcBorders>
            <w:vAlign w:val="center"/>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KRAS codon 12 (exon 2)</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567 (52.4)</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912" w:type="pct"/>
            <w:tcBorders>
              <w:top w:val="nil"/>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567 (52.4)</w:t>
            </w:r>
          </w:p>
        </w:tc>
      </w:tr>
      <w:tr w:rsidR="00965249" w:rsidRPr="00965249" w:rsidTr="00006054">
        <w:tc>
          <w:tcPr>
            <w:tcW w:w="1814" w:type="pct"/>
            <w:tcBorders>
              <w:top w:val="nil"/>
              <w:bottom w:val="nil"/>
            </w:tcBorders>
            <w:vAlign w:val="center"/>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KRAS mutation codon 13 (exon 2)</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121 (11.2)</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912" w:type="pct"/>
            <w:tcBorders>
              <w:top w:val="nil"/>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121 (11.2)</w:t>
            </w:r>
          </w:p>
        </w:tc>
      </w:tr>
      <w:tr w:rsidR="00965249" w:rsidRPr="00965249" w:rsidTr="00006054">
        <w:tc>
          <w:tcPr>
            <w:tcW w:w="1814" w:type="pct"/>
            <w:tcBorders>
              <w:top w:val="nil"/>
              <w:bottom w:val="nil"/>
            </w:tcBorders>
            <w:vAlign w:val="center"/>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KRAS mutation codon 61 (exon 3)</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 (0.4)</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912" w:type="pct"/>
            <w:tcBorders>
              <w:top w:val="nil"/>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4 (0.4)</w:t>
            </w:r>
          </w:p>
        </w:tc>
      </w:tr>
      <w:tr w:rsidR="00965249" w:rsidRPr="00965249" w:rsidTr="00006054">
        <w:tc>
          <w:tcPr>
            <w:tcW w:w="1814" w:type="pct"/>
            <w:tcBorders>
              <w:top w:val="nil"/>
              <w:bottom w:val="nil"/>
            </w:tcBorders>
            <w:vAlign w:val="center"/>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 xml:space="preserve">KRAS mutation </w:t>
            </w:r>
            <w:r w:rsidRPr="00965249">
              <w:rPr>
                <w:rFonts w:ascii="Times New Roman" w:hAnsi="Times New Roman" w:cs="Times New Roman"/>
                <w:sz w:val="20"/>
                <w:szCs w:val="20"/>
                <w:lang w:val="en-US"/>
              </w:rPr>
              <w:t>codon 58, 59, 117, 147</w:t>
            </w:r>
          </w:p>
        </w:tc>
        <w:tc>
          <w:tcPr>
            <w:tcW w:w="758" w:type="pct"/>
            <w:tcBorders>
              <w:top w:val="nil"/>
              <w:left w:val="single" w:sz="4" w:space="0" w:color="auto"/>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758"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5 (0.5)</w:t>
            </w:r>
          </w:p>
        </w:tc>
        <w:tc>
          <w:tcPr>
            <w:tcW w:w="757" w:type="pct"/>
            <w:tcBorders>
              <w:top w:val="nil"/>
              <w:left w:val="nil"/>
              <w:bottom w:val="nil"/>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912" w:type="pct"/>
            <w:tcBorders>
              <w:top w:val="nil"/>
              <w:left w:val="nil"/>
              <w:bottom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5 (0.5)</w:t>
            </w:r>
          </w:p>
        </w:tc>
      </w:tr>
      <w:tr w:rsidR="00965249" w:rsidRPr="00965249" w:rsidTr="00006054">
        <w:tc>
          <w:tcPr>
            <w:tcW w:w="1814" w:type="pct"/>
            <w:tcBorders>
              <w:top w:val="nil"/>
              <w:bottom w:val="single" w:sz="4" w:space="0" w:color="auto"/>
            </w:tcBorders>
            <w:vAlign w:val="center"/>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KRAS mutation present but not specified</w:t>
            </w:r>
          </w:p>
        </w:tc>
        <w:tc>
          <w:tcPr>
            <w:tcW w:w="758" w:type="pct"/>
            <w:tcBorders>
              <w:top w:val="nil"/>
              <w:left w:val="single" w:sz="4" w:space="0" w:color="auto"/>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758" w:type="pct"/>
            <w:tcBorders>
              <w:top w:val="nil"/>
              <w:left w:val="nil"/>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387 (35.8)</w:t>
            </w:r>
          </w:p>
        </w:tc>
        <w:tc>
          <w:tcPr>
            <w:tcW w:w="757" w:type="pct"/>
            <w:tcBorders>
              <w:top w:val="nil"/>
              <w:left w:val="nil"/>
              <w:bottom w:val="single" w:sz="4" w:space="0" w:color="auto"/>
              <w:right w:val="nil"/>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p>
        </w:tc>
        <w:tc>
          <w:tcPr>
            <w:tcW w:w="912" w:type="pct"/>
            <w:tcBorders>
              <w:top w:val="nil"/>
              <w:left w:val="nil"/>
              <w:bottom w:val="single" w:sz="4" w:space="0" w:color="auto"/>
            </w:tcBorders>
          </w:tcPr>
          <w:p w:rsidR="00965249" w:rsidRPr="00965249" w:rsidRDefault="00965249" w:rsidP="00006054">
            <w:pPr>
              <w:adjustRightInd w:val="0"/>
              <w:spacing w:before="60" w:after="60" w:line="480" w:lineRule="auto"/>
              <w:jc w:val="right"/>
              <w:rPr>
                <w:rFonts w:ascii="Times New Roman" w:hAnsi="Times New Roman" w:cs="Times New Roman"/>
                <w:color w:val="000000"/>
                <w:sz w:val="20"/>
                <w:szCs w:val="20"/>
                <w:lang w:val="en-US"/>
              </w:rPr>
            </w:pPr>
            <w:r w:rsidRPr="00965249">
              <w:rPr>
                <w:rFonts w:ascii="Times New Roman" w:hAnsi="Times New Roman" w:cs="Times New Roman"/>
                <w:color w:val="000000"/>
                <w:sz w:val="20"/>
                <w:szCs w:val="20"/>
                <w:lang w:val="en-US"/>
              </w:rPr>
              <w:t>387 (35.8)</w:t>
            </w:r>
          </w:p>
        </w:tc>
      </w:tr>
      <w:tr w:rsidR="00965249" w:rsidRPr="00900E79" w:rsidTr="00006054">
        <w:tc>
          <w:tcPr>
            <w:tcW w:w="5000" w:type="pct"/>
            <w:gridSpan w:val="5"/>
            <w:tcBorders>
              <w:top w:val="single" w:sz="4" w:space="0" w:color="auto"/>
            </w:tcBorders>
            <w:vAlign w:val="center"/>
          </w:tcPr>
          <w:p w:rsidR="00965249" w:rsidRPr="00965249" w:rsidRDefault="00965249" w:rsidP="00006054">
            <w:pPr>
              <w:adjustRightInd w:val="0"/>
              <w:spacing w:before="60" w:after="60" w:line="480" w:lineRule="auto"/>
              <w:rPr>
                <w:rFonts w:ascii="Times New Roman" w:hAnsi="Times New Roman" w:cs="Times New Roman"/>
                <w:color w:val="000000"/>
                <w:sz w:val="20"/>
                <w:szCs w:val="20"/>
                <w:lang w:val="en-US"/>
              </w:rPr>
            </w:pPr>
            <w:r w:rsidRPr="00965249">
              <w:rPr>
                <w:rFonts w:ascii="Times New Roman" w:hAnsi="Times New Roman" w:cs="Times New Roman"/>
                <w:sz w:val="20"/>
                <w:szCs w:val="20"/>
                <w:vertAlign w:val="superscript"/>
                <w:lang w:val="en-US"/>
              </w:rPr>
              <w:t>1</w:t>
            </w:r>
            <w:r w:rsidRPr="00965249">
              <w:rPr>
                <w:rFonts w:ascii="Times New Roman" w:hAnsi="Times New Roman" w:cs="Times New Roman"/>
                <w:sz w:val="20"/>
                <w:szCs w:val="20"/>
                <w:lang w:val="en-US"/>
              </w:rPr>
              <w:t>Mutation in codon 12 (exon 2), codon 13 (exon 2), codon 61 (exon 3), codon 58, 59, 117, 147, and mutation not specified.</w:t>
            </w:r>
          </w:p>
        </w:tc>
      </w:tr>
    </w:tbl>
    <w:p w:rsidR="00965249" w:rsidRPr="00965249" w:rsidRDefault="00965249" w:rsidP="00965249">
      <w:pPr>
        <w:spacing w:line="480" w:lineRule="auto"/>
        <w:rPr>
          <w:rFonts w:ascii="Times New Roman" w:hAnsi="Times New Roman" w:cs="Times New Roman"/>
          <w:color w:val="000000"/>
          <w:sz w:val="20"/>
          <w:szCs w:val="20"/>
          <w:lang w:val="en-US"/>
        </w:rPr>
      </w:pPr>
    </w:p>
    <w:p w:rsidR="00965249" w:rsidRPr="00965249" w:rsidRDefault="00965249" w:rsidP="00965249">
      <w:pPr>
        <w:spacing w:line="480" w:lineRule="auto"/>
        <w:rPr>
          <w:rFonts w:ascii="Times New Roman" w:hAnsi="Times New Roman" w:cs="Times New Roman"/>
          <w:sz w:val="20"/>
          <w:szCs w:val="20"/>
          <w:lang w:val="en-US"/>
        </w:rPr>
      </w:pPr>
    </w:p>
    <w:p w:rsidR="00965249" w:rsidRPr="00965249" w:rsidRDefault="00965249">
      <w:pPr>
        <w:spacing w:after="160" w:line="259" w:lineRule="auto"/>
        <w:rPr>
          <w:rFonts w:ascii="Times New Roman" w:hAnsi="Times New Roman" w:cs="Times New Roman"/>
          <w:b/>
          <w:color w:val="000000"/>
          <w:sz w:val="24"/>
          <w:szCs w:val="24"/>
          <w:lang w:val="en-US"/>
        </w:rPr>
      </w:pPr>
    </w:p>
    <w:p w:rsidR="00965249" w:rsidRPr="00965249" w:rsidRDefault="00965249">
      <w:pPr>
        <w:spacing w:after="160" w:line="259" w:lineRule="auto"/>
        <w:rPr>
          <w:rFonts w:ascii="Times New Roman" w:hAnsi="Times New Roman" w:cs="Times New Roman"/>
          <w:b/>
          <w:color w:val="000000"/>
          <w:sz w:val="24"/>
          <w:szCs w:val="24"/>
          <w:lang w:val="en-US"/>
        </w:rPr>
      </w:pPr>
      <w:r w:rsidRPr="00965249">
        <w:rPr>
          <w:rFonts w:ascii="Times New Roman" w:hAnsi="Times New Roman" w:cs="Times New Roman"/>
          <w:b/>
          <w:color w:val="000000"/>
          <w:sz w:val="24"/>
          <w:szCs w:val="24"/>
          <w:lang w:val="en-US"/>
        </w:rPr>
        <w:br w:type="page"/>
      </w:r>
    </w:p>
    <w:p w:rsidR="007B4004" w:rsidRPr="00965249" w:rsidRDefault="003B2A72" w:rsidP="007B4004">
      <w:pPr>
        <w:adjustRightInd w:val="0"/>
        <w:spacing w:line="240" w:lineRule="auto"/>
        <w:rPr>
          <w:rFonts w:ascii="Times New Roman" w:hAnsi="Times New Roman" w:cs="Times New Roman"/>
          <w:b/>
          <w:color w:val="000000"/>
          <w:sz w:val="24"/>
          <w:szCs w:val="24"/>
          <w:lang w:val="en-US"/>
        </w:rPr>
      </w:pPr>
      <w:r w:rsidRPr="00965249">
        <w:rPr>
          <w:rFonts w:ascii="Times New Roman" w:hAnsi="Times New Roman" w:cs="Times New Roman"/>
          <w:b/>
          <w:color w:val="000000"/>
          <w:sz w:val="24"/>
          <w:szCs w:val="24"/>
          <w:lang w:val="en-US"/>
        </w:rPr>
        <w:lastRenderedPageBreak/>
        <w:t xml:space="preserve">Supplemental </w:t>
      </w:r>
      <w:r w:rsidR="007B4004" w:rsidRPr="00965249">
        <w:rPr>
          <w:rFonts w:ascii="Times New Roman" w:hAnsi="Times New Roman" w:cs="Times New Roman"/>
          <w:b/>
          <w:color w:val="000000"/>
          <w:sz w:val="24"/>
          <w:szCs w:val="24"/>
          <w:lang w:val="en-US"/>
        </w:rPr>
        <w:t xml:space="preserve">Table </w:t>
      </w:r>
      <w:r w:rsidR="00965249" w:rsidRPr="00965249">
        <w:rPr>
          <w:rFonts w:ascii="Times New Roman" w:hAnsi="Times New Roman" w:cs="Times New Roman"/>
          <w:b/>
          <w:color w:val="000000"/>
          <w:sz w:val="24"/>
          <w:szCs w:val="24"/>
          <w:lang w:val="en-US"/>
        </w:rPr>
        <w:t>2</w:t>
      </w:r>
      <w:r w:rsidR="007B4004" w:rsidRPr="00965249">
        <w:rPr>
          <w:rFonts w:ascii="Times New Roman" w:hAnsi="Times New Roman" w:cs="Times New Roman"/>
          <w:b/>
          <w:color w:val="000000"/>
          <w:sz w:val="24"/>
          <w:szCs w:val="24"/>
          <w:lang w:val="en-US"/>
        </w:rPr>
        <w:t xml:space="preserve">. One-year standardized mortality rates and adjusted mortality rate ratios associated with KRAS mutation status by comorbidity burden among 2,471 Danish patients with metastatic colorectal cancer diagnosed between 2009 and 2013 and tested for KRAS through 2014. </w:t>
      </w:r>
    </w:p>
    <w:tbl>
      <w:tblPr>
        <w:tblStyle w:val="Tabel-Gitter"/>
        <w:tblW w:w="5668" w:type="pct"/>
        <w:tblInd w:w="-572" w:type="dxa"/>
        <w:tblBorders>
          <w:insideH w:val="none" w:sz="0" w:space="0" w:color="auto"/>
          <w:insideV w:val="none" w:sz="0" w:space="0" w:color="auto"/>
        </w:tblBorders>
        <w:tblLook w:val="0000" w:firstRow="0" w:lastRow="0" w:firstColumn="0" w:lastColumn="0" w:noHBand="0" w:noVBand="0"/>
      </w:tblPr>
      <w:tblGrid>
        <w:gridCol w:w="2127"/>
        <w:gridCol w:w="961"/>
        <w:gridCol w:w="852"/>
        <w:gridCol w:w="1059"/>
        <w:gridCol w:w="2598"/>
        <w:gridCol w:w="1617"/>
        <w:gridCol w:w="1700"/>
      </w:tblGrid>
      <w:tr w:rsidR="007B4004" w:rsidRPr="00900E79" w:rsidTr="007B4004">
        <w:trPr>
          <w:trHeight w:val="888"/>
        </w:trPr>
        <w:tc>
          <w:tcPr>
            <w:tcW w:w="974" w:type="pct"/>
            <w:tcBorders>
              <w:bottom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p>
        </w:tc>
        <w:tc>
          <w:tcPr>
            <w:tcW w:w="440" w:type="pct"/>
            <w:tcBorders>
              <w:bottom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b/>
                <w:color w:val="000000"/>
                <w:sz w:val="20"/>
                <w:szCs w:val="24"/>
                <w:lang w:val="en-US"/>
              </w:rPr>
            </w:pPr>
            <w:r w:rsidRPr="00965249">
              <w:rPr>
                <w:rFonts w:ascii="Times New Roman" w:hAnsi="Times New Roman" w:cs="Times New Roman"/>
                <w:b/>
                <w:color w:val="000000"/>
                <w:sz w:val="20"/>
                <w:szCs w:val="24"/>
                <w:lang w:val="en-US"/>
              </w:rPr>
              <w:t>Patients at risk</w:t>
            </w:r>
          </w:p>
        </w:tc>
        <w:tc>
          <w:tcPr>
            <w:tcW w:w="390" w:type="pct"/>
            <w:tcBorders>
              <w:bottom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b/>
                <w:color w:val="000000"/>
                <w:sz w:val="20"/>
                <w:szCs w:val="24"/>
                <w:lang w:val="en-US"/>
              </w:rPr>
            </w:pPr>
            <w:r w:rsidRPr="00965249">
              <w:rPr>
                <w:rFonts w:ascii="Times New Roman" w:hAnsi="Times New Roman" w:cs="Times New Roman"/>
                <w:b/>
                <w:color w:val="000000"/>
                <w:sz w:val="20"/>
                <w:szCs w:val="24"/>
                <w:lang w:val="en-US"/>
              </w:rPr>
              <w:t>Deaths</w:t>
            </w:r>
          </w:p>
        </w:tc>
        <w:tc>
          <w:tcPr>
            <w:tcW w:w="485" w:type="pct"/>
            <w:tcBorders>
              <w:bottom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b/>
                <w:color w:val="000000"/>
                <w:sz w:val="20"/>
                <w:szCs w:val="24"/>
                <w:lang w:val="en-US"/>
              </w:rPr>
            </w:pPr>
            <w:r w:rsidRPr="00965249">
              <w:rPr>
                <w:rFonts w:ascii="Times New Roman" w:hAnsi="Times New Roman" w:cs="Times New Roman"/>
                <w:b/>
                <w:color w:val="000000"/>
                <w:sz w:val="20"/>
                <w:szCs w:val="24"/>
                <w:lang w:val="en-US"/>
              </w:rPr>
              <w:t>Person-years</w:t>
            </w:r>
          </w:p>
        </w:tc>
        <w:tc>
          <w:tcPr>
            <w:tcW w:w="1190" w:type="pct"/>
            <w:tcBorders>
              <w:bottom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b/>
                <w:color w:val="000000"/>
                <w:sz w:val="20"/>
                <w:szCs w:val="24"/>
                <w:lang w:val="en-US"/>
              </w:rPr>
            </w:pPr>
            <w:r w:rsidRPr="00965249">
              <w:rPr>
                <w:rFonts w:ascii="Times New Roman" w:hAnsi="Times New Roman" w:cs="Times New Roman"/>
                <w:b/>
                <w:color w:val="000000"/>
                <w:sz w:val="20"/>
                <w:szCs w:val="24"/>
                <w:lang w:val="en-US"/>
              </w:rPr>
              <w:t>Standardized mortality rate (95%CI)</w:t>
            </w:r>
            <w:r w:rsidRPr="00965249">
              <w:rPr>
                <w:rFonts w:ascii="Times New Roman" w:hAnsi="Times New Roman" w:cs="Times New Roman"/>
                <w:b/>
                <w:color w:val="000000"/>
                <w:sz w:val="20"/>
                <w:szCs w:val="24"/>
                <w:vertAlign w:val="superscript"/>
                <w:lang w:val="en-US"/>
              </w:rPr>
              <w:t xml:space="preserve">a </w:t>
            </w:r>
            <w:r w:rsidRPr="00965249">
              <w:rPr>
                <w:rFonts w:ascii="Times New Roman" w:hAnsi="Times New Roman" w:cs="Times New Roman"/>
                <w:b/>
                <w:color w:val="000000"/>
                <w:sz w:val="20"/>
                <w:szCs w:val="24"/>
                <w:lang w:val="en-US"/>
              </w:rPr>
              <w:t>per 1000 person-years</w:t>
            </w:r>
          </w:p>
        </w:tc>
        <w:tc>
          <w:tcPr>
            <w:tcW w:w="741" w:type="pct"/>
            <w:tcBorders>
              <w:bottom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b/>
                <w:color w:val="000000"/>
                <w:sz w:val="20"/>
                <w:szCs w:val="24"/>
                <w:vertAlign w:val="superscript"/>
                <w:lang w:val="en-US"/>
              </w:rPr>
            </w:pPr>
            <w:proofErr w:type="spellStart"/>
            <w:r w:rsidRPr="00965249">
              <w:rPr>
                <w:rFonts w:ascii="Times New Roman" w:hAnsi="Times New Roman" w:cs="Times New Roman"/>
                <w:b/>
                <w:color w:val="000000"/>
                <w:sz w:val="20"/>
                <w:szCs w:val="24"/>
                <w:lang w:val="en-US"/>
              </w:rPr>
              <w:t>aHR</w:t>
            </w:r>
            <w:proofErr w:type="spellEnd"/>
            <w:r w:rsidRPr="00965249">
              <w:rPr>
                <w:rFonts w:ascii="Times New Roman" w:hAnsi="Times New Roman" w:cs="Times New Roman"/>
                <w:b/>
                <w:color w:val="000000"/>
                <w:sz w:val="20"/>
                <w:szCs w:val="24"/>
                <w:lang w:val="en-US"/>
              </w:rPr>
              <w:t xml:space="preserve"> (95%CI)</w:t>
            </w:r>
            <w:r w:rsidRPr="00965249">
              <w:rPr>
                <w:rFonts w:ascii="Times New Roman" w:hAnsi="Times New Roman" w:cs="Times New Roman"/>
                <w:b/>
                <w:color w:val="000000"/>
                <w:sz w:val="20"/>
                <w:szCs w:val="24"/>
                <w:vertAlign w:val="superscript"/>
                <w:lang w:val="en-US"/>
              </w:rPr>
              <w:t>b</w:t>
            </w:r>
          </w:p>
        </w:tc>
        <w:tc>
          <w:tcPr>
            <w:tcW w:w="779" w:type="pct"/>
            <w:tcBorders>
              <w:bottom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b/>
                <w:color w:val="000000"/>
                <w:sz w:val="20"/>
                <w:szCs w:val="24"/>
                <w:lang w:val="en-US"/>
              </w:rPr>
            </w:pPr>
            <w:r w:rsidRPr="00965249">
              <w:rPr>
                <w:rFonts w:ascii="Times New Roman" w:hAnsi="Times New Roman" w:cs="Times New Roman"/>
                <w:b/>
                <w:color w:val="000000"/>
                <w:sz w:val="20"/>
                <w:szCs w:val="24"/>
                <w:lang w:val="en-US"/>
              </w:rPr>
              <w:t>Interaction contrast (95%CI), per 1000 person-years</w:t>
            </w:r>
          </w:p>
        </w:tc>
      </w:tr>
      <w:tr w:rsidR="007B4004" w:rsidRPr="00965249" w:rsidTr="007B4004">
        <w:trPr>
          <w:trHeight w:val="664"/>
        </w:trPr>
        <w:tc>
          <w:tcPr>
            <w:tcW w:w="974" w:type="pct"/>
            <w:tcBorders>
              <w:top w:val="single" w:sz="4" w:space="0" w:color="auto"/>
              <w:bottom w:val="nil"/>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b/>
                <w:color w:val="000000"/>
                <w:sz w:val="20"/>
                <w:szCs w:val="24"/>
                <w:lang w:val="en-US"/>
              </w:rPr>
              <w:t>No comorbidity (CCI=0)</w:t>
            </w:r>
          </w:p>
        </w:tc>
        <w:tc>
          <w:tcPr>
            <w:tcW w:w="440" w:type="pct"/>
            <w:tcBorders>
              <w:top w:val="single" w:sz="4" w:space="0" w:color="auto"/>
              <w:bottom w:val="nil"/>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p>
        </w:tc>
        <w:tc>
          <w:tcPr>
            <w:tcW w:w="390" w:type="pct"/>
            <w:tcBorders>
              <w:top w:val="single" w:sz="4" w:space="0" w:color="auto"/>
              <w:bottom w:val="nil"/>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p>
        </w:tc>
        <w:tc>
          <w:tcPr>
            <w:tcW w:w="485" w:type="pct"/>
            <w:tcBorders>
              <w:top w:val="single" w:sz="4" w:space="0" w:color="auto"/>
              <w:bottom w:val="nil"/>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p>
        </w:tc>
        <w:tc>
          <w:tcPr>
            <w:tcW w:w="1190" w:type="pct"/>
            <w:tcBorders>
              <w:top w:val="single" w:sz="4" w:space="0" w:color="auto"/>
              <w:bottom w:val="nil"/>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p>
        </w:tc>
        <w:tc>
          <w:tcPr>
            <w:tcW w:w="741" w:type="pct"/>
            <w:tcBorders>
              <w:top w:val="single" w:sz="4" w:space="0" w:color="auto"/>
              <w:bottom w:val="nil"/>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p>
        </w:tc>
        <w:tc>
          <w:tcPr>
            <w:tcW w:w="779" w:type="pct"/>
            <w:tcBorders>
              <w:top w:val="single" w:sz="4" w:space="0" w:color="auto"/>
              <w:bottom w:val="nil"/>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p>
        </w:tc>
      </w:tr>
      <w:tr w:rsidR="007B4004" w:rsidRPr="00965249" w:rsidTr="007B4004">
        <w:trPr>
          <w:trHeight w:val="390"/>
        </w:trPr>
        <w:tc>
          <w:tcPr>
            <w:tcW w:w="974" w:type="pct"/>
            <w:tcBorders>
              <w:top w:val="nil"/>
              <w:bottom w:val="nil"/>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Wild type</w:t>
            </w:r>
          </w:p>
        </w:tc>
        <w:tc>
          <w:tcPr>
            <w:tcW w:w="440" w:type="pct"/>
            <w:tcBorders>
              <w:top w:val="nil"/>
              <w:bottom w:val="nil"/>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937</w:t>
            </w:r>
          </w:p>
        </w:tc>
        <w:tc>
          <w:tcPr>
            <w:tcW w:w="390" w:type="pct"/>
            <w:tcBorders>
              <w:top w:val="nil"/>
              <w:bottom w:val="nil"/>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662</w:t>
            </w:r>
          </w:p>
        </w:tc>
        <w:tc>
          <w:tcPr>
            <w:tcW w:w="485" w:type="pct"/>
            <w:tcBorders>
              <w:top w:val="nil"/>
              <w:bottom w:val="nil"/>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681.333</w:t>
            </w:r>
          </w:p>
        </w:tc>
        <w:tc>
          <w:tcPr>
            <w:tcW w:w="1190" w:type="pct"/>
            <w:tcBorders>
              <w:top w:val="nil"/>
              <w:bottom w:val="nil"/>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985.65 (911.94, 1063.8)</w:t>
            </w:r>
          </w:p>
        </w:tc>
        <w:tc>
          <w:tcPr>
            <w:tcW w:w="741" w:type="pct"/>
            <w:tcBorders>
              <w:top w:val="nil"/>
              <w:bottom w:val="nil"/>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Ref</w:t>
            </w:r>
          </w:p>
        </w:tc>
        <w:tc>
          <w:tcPr>
            <w:tcW w:w="779" w:type="pct"/>
            <w:tcBorders>
              <w:top w:val="nil"/>
              <w:bottom w:val="nil"/>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Ref</w:t>
            </w:r>
          </w:p>
        </w:tc>
      </w:tr>
      <w:tr w:rsidR="007B4004" w:rsidRPr="00965249" w:rsidTr="007B4004">
        <w:trPr>
          <w:trHeight w:val="359"/>
        </w:trPr>
        <w:tc>
          <w:tcPr>
            <w:tcW w:w="974" w:type="pct"/>
            <w:tcBorders>
              <w:top w:val="nil"/>
              <w:bottom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Mutant</w:t>
            </w:r>
          </w:p>
        </w:tc>
        <w:tc>
          <w:tcPr>
            <w:tcW w:w="440" w:type="pct"/>
            <w:tcBorders>
              <w:top w:val="nil"/>
              <w:bottom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747</w:t>
            </w:r>
          </w:p>
        </w:tc>
        <w:tc>
          <w:tcPr>
            <w:tcW w:w="390" w:type="pct"/>
            <w:tcBorders>
              <w:top w:val="nil"/>
              <w:bottom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509</w:t>
            </w:r>
          </w:p>
        </w:tc>
        <w:tc>
          <w:tcPr>
            <w:tcW w:w="485" w:type="pct"/>
            <w:tcBorders>
              <w:top w:val="nil"/>
              <w:bottom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541.648</w:t>
            </w:r>
          </w:p>
        </w:tc>
        <w:tc>
          <w:tcPr>
            <w:tcW w:w="1190" w:type="pct"/>
            <w:tcBorders>
              <w:top w:val="nil"/>
              <w:bottom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958.87 (876.69, 1046.9)</w:t>
            </w:r>
          </w:p>
        </w:tc>
        <w:tc>
          <w:tcPr>
            <w:tcW w:w="741" w:type="pct"/>
            <w:tcBorders>
              <w:top w:val="nil"/>
              <w:bottom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1.00 (0.89-1.12)</w:t>
            </w:r>
          </w:p>
        </w:tc>
        <w:tc>
          <w:tcPr>
            <w:tcW w:w="779" w:type="pct"/>
            <w:tcBorders>
              <w:top w:val="nil"/>
              <w:bottom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p>
        </w:tc>
      </w:tr>
      <w:tr w:rsidR="007B4004" w:rsidRPr="00965249" w:rsidTr="007B4004">
        <w:trPr>
          <w:trHeight w:val="499"/>
        </w:trPr>
        <w:tc>
          <w:tcPr>
            <w:tcW w:w="974" w:type="pct"/>
            <w:tcBorders>
              <w:top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b/>
                <w:color w:val="000000"/>
                <w:sz w:val="20"/>
                <w:szCs w:val="24"/>
                <w:lang w:val="en-US"/>
              </w:rPr>
              <w:t>Low comorbidity (CCI=1-2)</w:t>
            </w:r>
          </w:p>
        </w:tc>
        <w:tc>
          <w:tcPr>
            <w:tcW w:w="440" w:type="pct"/>
            <w:tcBorders>
              <w:top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p>
        </w:tc>
        <w:tc>
          <w:tcPr>
            <w:tcW w:w="390" w:type="pct"/>
            <w:tcBorders>
              <w:top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p>
        </w:tc>
        <w:tc>
          <w:tcPr>
            <w:tcW w:w="485" w:type="pct"/>
            <w:tcBorders>
              <w:top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p>
        </w:tc>
        <w:tc>
          <w:tcPr>
            <w:tcW w:w="1190" w:type="pct"/>
            <w:tcBorders>
              <w:top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p>
        </w:tc>
        <w:tc>
          <w:tcPr>
            <w:tcW w:w="741" w:type="pct"/>
            <w:tcBorders>
              <w:top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p>
        </w:tc>
        <w:tc>
          <w:tcPr>
            <w:tcW w:w="779" w:type="pct"/>
            <w:tcBorders>
              <w:top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p>
        </w:tc>
      </w:tr>
      <w:tr w:rsidR="007B4004" w:rsidRPr="00965249" w:rsidTr="007B4004">
        <w:trPr>
          <w:trHeight w:val="341"/>
        </w:trPr>
        <w:tc>
          <w:tcPr>
            <w:tcW w:w="974" w:type="pct"/>
            <w:tcBorders>
              <w:bottom w:val="nil"/>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Wild type</w:t>
            </w:r>
          </w:p>
        </w:tc>
        <w:tc>
          <w:tcPr>
            <w:tcW w:w="440" w:type="pct"/>
            <w:tcBorders>
              <w:bottom w:val="nil"/>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385</w:t>
            </w:r>
          </w:p>
        </w:tc>
        <w:tc>
          <w:tcPr>
            <w:tcW w:w="390" w:type="pct"/>
            <w:tcBorders>
              <w:bottom w:val="nil"/>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269</w:t>
            </w:r>
          </w:p>
        </w:tc>
        <w:tc>
          <w:tcPr>
            <w:tcW w:w="485" w:type="pct"/>
            <w:tcBorders>
              <w:bottom w:val="nil"/>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278.657</w:t>
            </w:r>
          </w:p>
        </w:tc>
        <w:tc>
          <w:tcPr>
            <w:tcW w:w="1190" w:type="pct"/>
            <w:tcBorders>
              <w:bottom w:val="nil"/>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952.88 (841.05, 1076.7)</w:t>
            </w:r>
          </w:p>
        </w:tc>
        <w:tc>
          <w:tcPr>
            <w:tcW w:w="741" w:type="pct"/>
            <w:tcBorders>
              <w:bottom w:val="nil"/>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Ref</w:t>
            </w:r>
          </w:p>
        </w:tc>
        <w:tc>
          <w:tcPr>
            <w:tcW w:w="779" w:type="pct"/>
            <w:tcBorders>
              <w:bottom w:val="nil"/>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p>
        </w:tc>
      </w:tr>
      <w:tr w:rsidR="007B4004" w:rsidRPr="00965249" w:rsidTr="007B4004">
        <w:trPr>
          <w:trHeight w:val="403"/>
        </w:trPr>
        <w:tc>
          <w:tcPr>
            <w:tcW w:w="974" w:type="pct"/>
            <w:tcBorders>
              <w:top w:val="nil"/>
              <w:bottom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Mutant</w:t>
            </w:r>
          </w:p>
        </w:tc>
        <w:tc>
          <w:tcPr>
            <w:tcW w:w="440" w:type="pct"/>
            <w:tcBorders>
              <w:top w:val="nil"/>
              <w:bottom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287</w:t>
            </w:r>
          </w:p>
        </w:tc>
        <w:tc>
          <w:tcPr>
            <w:tcW w:w="390" w:type="pct"/>
            <w:tcBorders>
              <w:top w:val="nil"/>
              <w:bottom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195</w:t>
            </w:r>
          </w:p>
        </w:tc>
        <w:tc>
          <w:tcPr>
            <w:tcW w:w="485" w:type="pct"/>
            <w:tcBorders>
              <w:top w:val="nil"/>
              <w:bottom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207.357</w:t>
            </w:r>
          </w:p>
        </w:tc>
        <w:tc>
          <w:tcPr>
            <w:tcW w:w="1190" w:type="pct"/>
            <w:tcBorders>
              <w:top w:val="nil"/>
              <w:bottom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903.54 (778.71, 1045.2)</w:t>
            </w:r>
          </w:p>
        </w:tc>
        <w:tc>
          <w:tcPr>
            <w:tcW w:w="741" w:type="pct"/>
            <w:tcBorders>
              <w:top w:val="nil"/>
              <w:bottom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0.98 (0.81, 1.17)</w:t>
            </w:r>
          </w:p>
        </w:tc>
        <w:tc>
          <w:tcPr>
            <w:tcW w:w="779" w:type="pct"/>
            <w:tcBorders>
              <w:top w:val="nil"/>
              <w:bottom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-22.6 (-22.4, -22.8)</w:t>
            </w:r>
          </w:p>
        </w:tc>
      </w:tr>
      <w:tr w:rsidR="007B4004" w:rsidRPr="00900E79" w:rsidTr="007B4004">
        <w:trPr>
          <w:trHeight w:val="557"/>
        </w:trPr>
        <w:tc>
          <w:tcPr>
            <w:tcW w:w="974" w:type="pct"/>
            <w:tcBorders>
              <w:top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b/>
                <w:color w:val="000000"/>
                <w:sz w:val="20"/>
                <w:szCs w:val="24"/>
                <w:lang w:val="en-US"/>
              </w:rPr>
              <w:t>Moderate to severe comorbidity (CCI ≥3)</w:t>
            </w:r>
          </w:p>
        </w:tc>
        <w:tc>
          <w:tcPr>
            <w:tcW w:w="440" w:type="pct"/>
            <w:tcBorders>
              <w:top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p>
        </w:tc>
        <w:tc>
          <w:tcPr>
            <w:tcW w:w="390" w:type="pct"/>
            <w:tcBorders>
              <w:top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p>
        </w:tc>
        <w:tc>
          <w:tcPr>
            <w:tcW w:w="485" w:type="pct"/>
            <w:tcBorders>
              <w:top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p>
        </w:tc>
        <w:tc>
          <w:tcPr>
            <w:tcW w:w="1190" w:type="pct"/>
            <w:tcBorders>
              <w:top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p>
        </w:tc>
        <w:tc>
          <w:tcPr>
            <w:tcW w:w="741" w:type="pct"/>
            <w:tcBorders>
              <w:top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p>
        </w:tc>
        <w:tc>
          <w:tcPr>
            <w:tcW w:w="779" w:type="pct"/>
            <w:tcBorders>
              <w:top w:val="single" w:sz="4" w:space="0" w:color="auto"/>
            </w:tcBorders>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p>
        </w:tc>
      </w:tr>
      <w:tr w:rsidR="007B4004" w:rsidRPr="00965249" w:rsidTr="007B4004">
        <w:trPr>
          <w:trHeight w:val="439"/>
        </w:trPr>
        <w:tc>
          <w:tcPr>
            <w:tcW w:w="974" w:type="pct"/>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Wild type</w:t>
            </w:r>
          </w:p>
        </w:tc>
        <w:tc>
          <w:tcPr>
            <w:tcW w:w="440" w:type="pct"/>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67</w:t>
            </w:r>
          </w:p>
        </w:tc>
        <w:tc>
          <w:tcPr>
            <w:tcW w:w="390" w:type="pct"/>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58</w:t>
            </w:r>
          </w:p>
        </w:tc>
        <w:tc>
          <w:tcPr>
            <w:tcW w:w="485" w:type="pct"/>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41.439</w:t>
            </w:r>
          </w:p>
        </w:tc>
        <w:tc>
          <w:tcPr>
            <w:tcW w:w="1190" w:type="pct"/>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1664.5 (1112.6, 3629.4)</w:t>
            </w:r>
          </w:p>
        </w:tc>
        <w:tc>
          <w:tcPr>
            <w:tcW w:w="741" w:type="pct"/>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Ref</w:t>
            </w:r>
          </w:p>
        </w:tc>
        <w:tc>
          <w:tcPr>
            <w:tcW w:w="779" w:type="pct"/>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p>
        </w:tc>
      </w:tr>
      <w:tr w:rsidR="007B4004" w:rsidRPr="00965249" w:rsidTr="007B4004">
        <w:trPr>
          <w:trHeight w:val="365"/>
        </w:trPr>
        <w:tc>
          <w:tcPr>
            <w:tcW w:w="974" w:type="pct"/>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Mutant</w:t>
            </w:r>
          </w:p>
        </w:tc>
        <w:tc>
          <w:tcPr>
            <w:tcW w:w="440" w:type="pct"/>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48</w:t>
            </w:r>
          </w:p>
        </w:tc>
        <w:tc>
          <w:tcPr>
            <w:tcW w:w="390" w:type="pct"/>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36</w:t>
            </w:r>
          </w:p>
        </w:tc>
        <w:tc>
          <w:tcPr>
            <w:tcW w:w="485" w:type="pct"/>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33.591</w:t>
            </w:r>
          </w:p>
        </w:tc>
        <w:tc>
          <w:tcPr>
            <w:tcW w:w="1190" w:type="pct"/>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1088.6 (722.33-1637.2)</w:t>
            </w:r>
          </w:p>
        </w:tc>
        <w:tc>
          <w:tcPr>
            <w:tcW w:w="741" w:type="pct"/>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0.83 (0.54, 1.28)</w:t>
            </w:r>
          </w:p>
        </w:tc>
        <w:tc>
          <w:tcPr>
            <w:tcW w:w="779" w:type="pct"/>
          </w:tcPr>
          <w:p w:rsidR="007B4004" w:rsidRPr="00965249" w:rsidRDefault="007B4004" w:rsidP="007B4004">
            <w:pPr>
              <w:adjustRightInd w:val="0"/>
              <w:spacing w:before="60" w:after="60" w:line="240" w:lineRule="auto"/>
              <w:rPr>
                <w:rFonts w:ascii="Times New Roman" w:hAnsi="Times New Roman" w:cs="Times New Roman"/>
                <w:color w:val="000000"/>
                <w:sz w:val="20"/>
                <w:szCs w:val="24"/>
                <w:lang w:val="en-US"/>
              </w:rPr>
            </w:pPr>
            <w:r w:rsidRPr="00965249">
              <w:rPr>
                <w:rFonts w:ascii="Times New Roman" w:hAnsi="Times New Roman" w:cs="Times New Roman"/>
                <w:color w:val="000000"/>
                <w:sz w:val="20"/>
                <w:szCs w:val="24"/>
                <w:lang w:val="en-US"/>
              </w:rPr>
              <w:t>-549.1 (-548.1, -550.2)</w:t>
            </w:r>
          </w:p>
        </w:tc>
      </w:tr>
    </w:tbl>
    <w:p w:rsidR="007B4004" w:rsidRPr="00965249" w:rsidRDefault="007B4004" w:rsidP="007B4004">
      <w:pPr>
        <w:pStyle w:val="NormalWeb"/>
        <w:rPr>
          <w:color w:val="000000"/>
          <w:sz w:val="20"/>
          <w:lang w:val="en-US"/>
        </w:rPr>
      </w:pPr>
      <w:proofErr w:type="spellStart"/>
      <w:proofErr w:type="gramStart"/>
      <w:r w:rsidRPr="00965249">
        <w:rPr>
          <w:color w:val="000000"/>
          <w:sz w:val="20"/>
          <w:vertAlign w:val="superscript"/>
          <w:lang w:val="en-US"/>
        </w:rPr>
        <w:t>a</w:t>
      </w:r>
      <w:r w:rsidRPr="00965249">
        <w:rPr>
          <w:color w:val="000000"/>
          <w:sz w:val="20"/>
          <w:lang w:val="en-US"/>
        </w:rPr>
        <w:t>Standardized</w:t>
      </w:r>
      <w:proofErr w:type="spellEnd"/>
      <w:proofErr w:type="gramEnd"/>
      <w:r w:rsidRPr="00965249">
        <w:rPr>
          <w:color w:val="000000"/>
          <w:sz w:val="20"/>
          <w:lang w:val="en-US"/>
        </w:rPr>
        <w:t xml:space="preserve"> to the sex- and age distribution of the baseline population of all </w:t>
      </w:r>
      <w:proofErr w:type="spellStart"/>
      <w:r w:rsidRPr="00965249">
        <w:rPr>
          <w:color w:val="000000"/>
          <w:sz w:val="20"/>
          <w:lang w:val="en-US"/>
        </w:rPr>
        <w:t>mCRC</w:t>
      </w:r>
      <w:proofErr w:type="spellEnd"/>
      <w:r w:rsidRPr="00965249">
        <w:rPr>
          <w:color w:val="000000"/>
          <w:sz w:val="20"/>
          <w:lang w:val="en-US"/>
        </w:rPr>
        <w:t xml:space="preserve"> patients with a KRAS test.</w:t>
      </w:r>
      <w:r w:rsidRPr="00965249">
        <w:rPr>
          <w:color w:val="000000"/>
          <w:sz w:val="20"/>
          <w:lang w:val="en-US"/>
        </w:rPr>
        <w:br/>
      </w:r>
      <w:proofErr w:type="spellStart"/>
      <w:proofErr w:type="gramStart"/>
      <w:r w:rsidRPr="00965249">
        <w:rPr>
          <w:color w:val="000000"/>
          <w:sz w:val="20"/>
          <w:vertAlign w:val="superscript"/>
          <w:lang w:val="en-US"/>
        </w:rPr>
        <w:t>b</w:t>
      </w:r>
      <w:r w:rsidRPr="00965249">
        <w:rPr>
          <w:color w:val="000000"/>
          <w:sz w:val="20"/>
          <w:lang w:val="en-US"/>
        </w:rPr>
        <w:t>Adjusted</w:t>
      </w:r>
      <w:proofErr w:type="spellEnd"/>
      <w:proofErr w:type="gramEnd"/>
      <w:r w:rsidRPr="00965249">
        <w:rPr>
          <w:color w:val="000000"/>
          <w:sz w:val="20"/>
          <w:lang w:val="en-US"/>
        </w:rPr>
        <w:t xml:space="preserve"> for sex, age, and index year. </w:t>
      </w:r>
    </w:p>
    <w:p w:rsidR="00A94539" w:rsidRPr="00965249" w:rsidRDefault="00A94539" w:rsidP="007B4004">
      <w:pPr>
        <w:spacing w:line="240" w:lineRule="auto"/>
        <w:jc w:val="center"/>
        <w:rPr>
          <w:rFonts w:ascii="Times New Roman" w:hAnsi="Times New Roman" w:cs="Times New Roman"/>
          <w:lang w:val="en-US"/>
        </w:rPr>
      </w:pPr>
      <w:bookmarkStart w:id="1" w:name="_GoBack"/>
      <w:bookmarkEnd w:id="1"/>
    </w:p>
    <w:sectPr w:rsidR="00A94539" w:rsidRPr="0096524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004" w:rsidRDefault="007B4004" w:rsidP="007B4004">
      <w:pPr>
        <w:spacing w:after="0" w:line="240" w:lineRule="auto"/>
      </w:pPr>
      <w:r>
        <w:separator/>
      </w:r>
    </w:p>
  </w:endnote>
  <w:endnote w:type="continuationSeparator" w:id="0">
    <w:p w:rsidR="007B4004" w:rsidRDefault="007B4004" w:rsidP="007B4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841762"/>
      <w:docPartObj>
        <w:docPartGallery w:val="Page Numbers (Bottom of Page)"/>
        <w:docPartUnique/>
      </w:docPartObj>
    </w:sdtPr>
    <w:sdtEndPr/>
    <w:sdtContent>
      <w:p w:rsidR="007B4004" w:rsidRDefault="007B4004">
        <w:pPr>
          <w:pStyle w:val="Sidefod"/>
          <w:jc w:val="right"/>
        </w:pPr>
        <w:r>
          <w:fldChar w:fldCharType="begin"/>
        </w:r>
        <w:r>
          <w:instrText>PAGE   \* MERGEFORMAT</w:instrText>
        </w:r>
        <w:r>
          <w:fldChar w:fldCharType="separate"/>
        </w:r>
        <w:r w:rsidR="00174A16">
          <w:rPr>
            <w:noProof/>
          </w:rPr>
          <w:t>5</w:t>
        </w:r>
        <w:r>
          <w:fldChar w:fldCharType="end"/>
        </w:r>
      </w:p>
    </w:sdtContent>
  </w:sdt>
  <w:p w:rsidR="007B4004" w:rsidRDefault="007B400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004" w:rsidRDefault="007B4004" w:rsidP="007B4004">
      <w:pPr>
        <w:spacing w:after="0" w:line="240" w:lineRule="auto"/>
      </w:pPr>
      <w:r>
        <w:separator/>
      </w:r>
    </w:p>
  </w:footnote>
  <w:footnote w:type="continuationSeparator" w:id="0">
    <w:p w:rsidR="007B4004" w:rsidRDefault="007B4004" w:rsidP="007B40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B4"/>
    <w:rsid w:val="00174A16"/>
    <w:rsid w:val="0026259D"/>
    <w:rsid w:val="003B2A72"/>
    <w:rsid w:val="005F639C"/>
    <w:rsid w:val="007B4004"/>
    <w:rsid w:val="00900E79"/>
    <w:rsid w:val="00965249"/>
    <w:rsid w:val="00A322E2"/>
    <w:rsid w:val="00A94539"/>
    <w:rsid w:val="00D76BE8"/>
    <w:rsid w:val="00E567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261DE-02C1-414E-9375-10CBA710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7B4"/>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7B4004"/>
    <w:pPr>
      <w:spacing w:before="100" w:beforeAutospacing="1" w:after="100" w:afterAutospacing="1" w:line="240" w:lineRule="auto"/>
    </w:pPr>
    <w:rPr>
      <w:rFonts w:ascii="Times New Roman" w:eastAsiaTheme="minorEastAsia" w:hAnsi="Times New Roman" w:cs="Times New Roman"/>
      <w:sz w:val="24"/>
      <w:szCs w:val="24"/>
      <w:lang w:eastAsia="da-DK"/>
    </w:rPr>
  </w:style>
  <w:style w:type="table" w:styleId="Tabel-Gitter">
    <w:name w:val="Table Grid"/>
    <w:basedOn w:val="Tabel-Normal"/>
    <w:uiPriority w:val="59"/>
    <w:rsid w:val="007B4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7B4004"/>
    <w:rPr>
      <w:color w:val="0563C1" w:themeColor="hyperlink"/>
      <w:u w:val="single"/>
    </w:rPr>
  </w:style>
  <w:style w:type="character" w:customStyle="1" w:styleId="lrzxr">
    <w:name w:val="lrzxr"/>
    <w:basedOn w:val="Standardskrifttypeiafsnit"/>
    <w:rsid w:val="007B4004"/>
  </w:style>
  <w:style w:type="paragraph" w:styleId="Sidehoved">
    <w:name w:val="header"/>
    <w:basedOn w:val="Normal"/>
    <w:link w:val="SidehovedTegn"/>
    <w:uiPriority w:val="99"/>
    <w:unhideWhenUsed/>
    <w:rsid w:val="007B400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4004"/>
  </w:style>
  <w:style w:type="paragraph" w:styleId="Sidefod">
    <w:name w:val="footer"/>
    <w:basedOn w:val="Normal"/>
    <w:link w:val="SidefodTegn"/>
    <w:uiPriority w:val="99"/>
    <w:unhideWhenUsed/>
    <w:rsid w:val="007B400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4004"/>
  </w:style>
  <w:style w:type="table" w:customStyle="1" w:styleId="Tabelgitter-lys1">
    <w:name w:val="Tabelgitter - lys1"/>
    <w:basedOn w:val="Tabel-Normal"/>
    <w:uiPriority w:val="40"/>
    <w:rsid w:val="009652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mccusker@roche.com" TargetMode="External"/><Relationship Id="rId3" Type="http://schemas.openxmlformats.org/officeDocument/2006/relationships/webSettings" Target="webSettings.xml"/><Relationship Id="rId7" Type="http://schemas.openxmlformats.org/officeDocument/2006/relationships/hyperlink" Target="mailto:hts@clin.au.d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G.Spindler@rm.d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ve@clin.a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764</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Gulbech Ording</dc:creator>
  <cp:keywords/>
  <dc:description/>
  <cp:lastModifiedBy>Anne Gulbech Ording</cp:lastModifiedBy>
  <cp:revision>8</cp:revision>
  <dcterms:created xsi:type="dcterms:W3CDTF">2018-05-01T09:53:00Z</dcterms:created>
  <dcterms:modified xsi:type="dcterms:W3CDTF">2018-07-14T07:16:00Z</dcterms:modified>
</cp:coreProperties>
</file>