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34" w:type="dxa"/>
        <w:tblInd w:w="-604" w:type="dxa"/>
        <w:tblLook w:val="04A0" w:firstRow="1" w:lastRow="0" w:firstColumn="1" w:lastColumn="0" w:noHBand="0" w:noVBand="1"/>
      </w:tblPr>
      <w:tblGrid>
        <w:gridCol w:w="889"/>
        <w:gridCol w:w="4986"/>
        <w:gridCol w:w="3859"/>
      </w:tblGrid>
      <w:tr w:rsidR="00227760" w:rsidRPr="00227760" w:rsidTr="00686314">
        <w:trPr>
          <w:trHeight w:val="521"/>
        </w:trPr>
        <w:tc>
          <w:tcPr>
            <w:tcW w:w="97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3C98" w:rsidRPr="00227760" w:rsidRDefault="00AE3C98" w:rsidP="00F34FB4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Table </w:t>
            </w:r>
            <w:r w:rsidR="00FA7D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S</w:t>
            </w:r>
            <w:r w:rsidRPr="0022776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1. Detailed profile of the </w:t>
            </w:r>
            <w:r w:rsidR="00A0517A" w:rsidRPr="0022776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18F-FDG </w:t>
            </w:r>
            <w:r w:rsidR="00A95610" w:rsidRPr="0022776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PET scanners for patients with </w:t>
            </w:r>
            <w:r w:rsidRPr="0022776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LGI1</w:t>
            </w:r>
            <w:r w:rsidR="00A95610" w:rsidRPr="0022776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-antibody</w:t>
            </w:r>
            <w:r w:rsidRPr="0022776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encephalitis</w:t>
            </w:r>
          </w:p>
        </w:tc>
      </w:tr>
      <w:tr w:rsidR="00227760" w:rsidRPr="00227760" w:rsidTr="00686314">
        <w:trPr>
          <w:trHeight w:val="521"/>
        </w:trPr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3780" w:rsidRPr="00227760" w:rsidRDefault="00F13F54" w:rsidP="00F34FB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Patient ID</w:t>
            </w:r>
            <w:r w:rsidR="00A0517A"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3780" w:rsidRPr="00227760" w:rsidRDefault="00A0517A" w:rsidP="00F34FB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18F-FDG </w:t>
            </w:r>
            <w:r w:rsidR="00AE3C98"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PET Scanner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3780" w:rsidRPr="00227760" w:rsidRDefault="00AE3C98" w:rsidP="00F34FB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Institution</w:t>
            </w:r>
          </w:p>
        </w:tc>
      </w:tr>
      <w:tr w:rsidR="00227760" w:rsidRPr="00227760" w:rsidTr="00686314">
        <w:trPr>
          <w:trHeight w:val="407"/>
        </w:trPr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3780" w:rsidRPr="00227760" w:rsidRDefault="00493780" w:rsidP="00F34FB4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3780" w:rsidRPr="00227760" w:rsidRDefault="00493780" w:rsidP="00F34FB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Discovery STE (General Electric Medical Systems, Milwaukee, WI, USA)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3780" w:rsidRPr="00227760" w:rsidRDefault="00AE3C98" w:rsidP="00F34FB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Seoul National University </w:t>
            </w:r>
            <w:proofErr w:type="spellStart"/>
            <w:r w:rsidRPr="00227760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Bundang</w:t>
            </w:r>
            <w:proofErr w:type="spellEnd"/>
            <w:r w:rsidRPr="00227760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Hospital</w:t>
            </w:r>
          </w:p>
        </w:tc>
      </w:tr>
      <w:tr w:rsidR="00227760" w:rsidRPr="00227760" w:rsidTr="00686314">
        <w:trPr>
          <w:trHeight w:val="318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780" w:rsidRPr="00227760" w:rsidRDefault="00493780" w:rsidP="00F34FB4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780" w:rsidRPr="00227760" w:rsidRDefault="00493780" w:rsidP="00F34FB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Biograph 40 (</w:t>
            </w:r>
            <w:r w:rsidRPr="00227760">
              <w:rPr>
                <w:rFonts w:ascii="Times New Roman" w:hAnsi="Times New Roman" w:cs="Times New Roman"/>
                <w:color w:val="000000" w:themeColor="text1"/>
                <w:spacing w:val="2"/>
                <w:sz w:val="22"/>
                <w:szCs w:val="22"/>
                <w:shd w:val="clear" w:color="auto" w:fill="FCFCFC"/>
              </w:rPr>
              <w:t>Siemens Medical Solutions USA, Knoxville, TN, USA</w:t>
            </w: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780" w:rsidRPr="00227760" w:rsidRDefault="00AE3C98" w:rsidP="00F34FB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Seoul National University Hospital</w:t>
            </w:r>
          </w:p>
        </w:tc>
      </w:tr>
      <w:tr w:rsidR="00227760" w:rsidRPr="00227760" w:rsidTr="00686314">
        <w:trPr>
          <w:trHeight w:val="95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780" w:rsidRPr="00227760" w:rsidRDefault="00493780" w:rsidP="00F34FB4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780" w:rsidRPr="00227760" w:rsidRDefault="00493780" w:rsidP="00F34FB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SOMATOM Definition AS (</w:t>
            </w: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Siemens healthcare, Erlangen, Germany</w:t>
            </w: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780" w:rsidRPr="00227760" w:rsidRDefault="00AE3C98" w:rsidP="00F34FB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Seoul National University Hospital</w:t>
            </w:r>
          </w:p>
        </w:tc>
      </w:tr>
      <w:tr w:rsidR="00227760" w:rsidRPr="00227760" w:rsidTr="00686314">
        <w:trPr>
          <w:trHeight w:val="413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780" w:rsidRPr="00227760" w:rsidRDefault="00493780" w:rsidP="00F34FB4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780" w:rsidRPr="00227760" w:rsidRDefault="00493780" w:rsidP="00F34FB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SOMATOM Definition AS (</w:t>
            </w: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Siemens healthcare, Erlangen, Germany</w:t>
            </w: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780" w:rsidRPr="00227760" w:rsidRDefault="00AE3C98" w:rsidP="00F34FB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Seoul National University Hospital</w:t>
            </w:r>
          </w:p>
        </w:tc>
      </w:tr>
      <w:tr w:rsidR="00227760" w:rsidRPr="00227760" w:rsidTr="00686314">
        <w:trPr>
          <w:trHeight w:val="325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780" w:rsidRPr="00227760" w:rsidRDefault="00493780" w:rsidP="00F34FB4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780" w:rsidRPr="00227760" w:rsidRDefault="00493780" w:rsidP="00F34FB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SOMATOM Definition AS (</w:t>
            </w: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Siemens healthcare, Erlangen, Germany</w:t>
            </w: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780" w:rsidRPr="00227760" w:rsidRDefault="00AE3C98" w:rsidP="00F34FB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Seoul National University Hospital</w:t>
            </w:r>
          </w:p>
        </w:tc>
      </w:tr>
      <w:tr w:rsidR="00227760" w:rsidRPr="00227760" w:rsidTr="00686314">
        <w:trPr>
          <w:trHeight w:val="101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780" w:rsidRPr="00227760" w:rsidRDefault="00493780" w:rsidP="00F34FB4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780" w:rsidRPr="00227760" w:rsidRDefault="00493780" w:rsidP="00F34FB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SOMATOM Definition AS (</w:t>
            </w: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Siemens healthcare, Erlangen, Germany</w:t>
            </w: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780" w:rsidRPr="00227760" w:rsidRDefault="00AE3C98" w:rsidP="00F34FB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Seoul National University Hospital</w:t>
            </w:r>
          </w:p>
        </w:tc>
      </w:tr>
      <w:tr w:rsidR="00227760" w:rsidRPr="00227760" w:rsidTr="00686314">
        <w:trPr>
          <w:trHeight w:val="8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780" w:rsidRPr="00227760" w:rsidRDefault="00493780" w:rsidP="00F34FB4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780" w:rsidRPr="00227760" w:rsidRDefault="00493780" w:rsidP="00F34FB4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Biograph 40 (</w:t>
            </w:r>
            <w:r w:rsidRPr="00227760">
              <w:rPr>
                <w:rFonts w:ascii="Times New Roman" w:hAnsi="Times New Roman" w:cs="Times New Roman"/>
                <w:color w:val="000000" w:themeColor="text1"/>
                <w:spacing w:val="2"/>
                <w:sz w:val="22"/>
                <w:szCs w:val="22"/>
                <w:shd w:val="clear" w:color="auto" w:fill="FCFCFC"/>
              </w:rPr>
              <w:t>Siemens Medical Solutions USA, Knoxville, TN, USA</w:t>
            </w: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780" w:rsidRPr="00227760" w:rsidRDefault="00AE3C98" w:rsidP="00F34FB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Seoul National University Hospital</w:t>
            </w:r>
          </w:p>
        </w:tc>
      </w:tr>
      <w:tr w:rsidR="00227760" w:rsidRPr="00227760" w:rsidTr="00686314">
        <w:trPr>
          <w:trHeight w:val="332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780" w:rsidRPr="00227760" w:rsidRDefault="00493780" w:rsidP="00F34FB4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780" w:rsidRPr="00227760" w:rsidRDefault="00033982" w:rsidP="00F34FB4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Allegro</w:t>
            </w:r>
            <w:r w:rsidR="00493780"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</w:t>
            </w: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Philips Medical Systems, Cleveland, OH, USA</w:t>
            </w: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780" w:rsidRPr="00227760" w:rsidRDefault="00AE3C98" w:rsidP="00F34FB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Korea University </w:t>
            </w:r>
            <w:proofErr w:type="spellStart"/>
            <w:r w:rsidRPr="00227760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Ansan</w:t>
            </w:r>
            <w:proofErr w:type="spellEnd"/>
            <w:r w:rsidRPr="00227760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 xml:space="preserve"> Hospital</w:t>
            </w:r>
          </w:p>
        </w:tc>
      </w:tr>
      <w:tr w:rsidR="00227760" w:rsidRPr="00227760" w:rsidTr="00686314">
        <w:trPr>
          <w:trHeight w:val="8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780" w:rsidRPr="00227760" w:rsidRDefault="00493780" w:rsidP="00F34FB4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780" w:rsidRPr="00227760" w:rsidRDefault="00493780" w:rsidP="00F34FB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Biograph 40 (</w:t>
            </w:r>
            <w:r w:rsidRPr="00227760">
              <w:rPr>
                <w:rFonts w:ascii="Times New Roman" w:hAnsi="Times New Roman" w:cs="Times New Roman"/>
                <w:color w:val="000000" w:themeColor="text1"/>
                <w:spacing w:val="2"/>
                <w:sz w:val="22"/>
                <w:szCs w:val="22"/>
                <w:shd w:val="clear" w:color="auto" w:fill="FCFCFC"/>
              </w:rPr>
              <w:t>Siemens Medical Solutions USA, Knoxville, TN, USA</w:t>
            </w: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780" w:rsidRPr="00227760" w:rsidRDefault="00AE3C98" w:rsidP="00F34FB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Seoul National University Hospital</w:t>
            </w:r>
          </w:p>
        </w:tc>
      </w:tr>
      <w:tr w:rsidR="00227760" w:rsidRPr="00227760" w:rsidTr="00686314">
        <w:trPr>
          <w:trHeight w:val="169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780" w:rsidRPr="00227760" w:rsidRDefault="00493780" w:rsidP="00F34FB4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780" w:rsidRPr="00227760" w:rsidRDefault="00493780" w:rsidP="00F34FB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Biograph 64 (</w:t>
            </w:r>
            <w:r w:rsidRPr="00227760">
              <w:rPr>
                <w:rFonts w:ascii="Times New Roman" w:hAnsi="Times New Roman" w:cs="Times New Roman"/>
                <w:color w:val="000000" w:themeColor="text1"/>
                <w:spacing w:val="2"/>
                <w:sz w:val="22"/>
                <w:szCs w:val="22"/>
                <w:shd w:val="clear" w:color="auto" w:fill="FCFCFC"/>
              </w:rPr>
              <w:t>Siemens Medical Solutions USA, Knoxville, TN, USA</w:t>
            </w: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780" w:rsidRPr="00227760" w:rsidRDefault="00AE3C98" w:rsidP="00F34FB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Seoul National University Hospital</w:t>
            </w:r>
          </w:p>
        </w:tc>
      </w:tr>
      <w:tr w:rsidR="00227760" w:rsidRPr="00227760" w:rsidTr="00686314">
        <w:trPr>
          <w:trHeight w:val="354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780" w:rsidRPr="00227760" w:rsidRDefault="00493780" w:rsidP="00F34FB4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780" w:rsidRPr="00227760" w:rsidRDefault="00493780" w:rsidP="00F34FB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Biograph 40 (</w:t>
            </w:r>
            <w:r w:rsidRPr="00227760">
              <w:rPr>
                <w:rFonts w:ascii="Times New Roman" w:hAnsi="Times New Roman" w:cs="Times New Roman"/>
                <w:color w:val="000000" w:themeColor="text1"/>
                <w:spacing w:val="2"/>
                <w:sz w:val="22"/>
                <w:szCs w:val="22"/>
                <w:shd w:val="clear" w:color="auto" w:fill="FCFCFC"/>
              </w:rPr>
              <w:t>Siemens Medical Solutions USA, Knoxville, TN, USA</w:t>
            </w: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780" w:rsidRPr="00227760" w:rsidRDefault="00AE3C98" w:rsidP="00F34FB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Seoul National University Hospital</w:t>
            </w:r>
          </w:p>
        </w:tc>
      </w:tr>
      <w:tr w:rsidR="00227760" w:rsidRPr="00227760" w:rsidTr="00686314">
        <w:trPr>
          <w:trHeight w:val="80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780" w:rsidRPr="00227760" w:rsidRDefault="00493780" w:rsidP="00F34FB4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780" w:rsidRPr="00227760" w:rsidRDefault="00493780" w:rsidP="00F34FB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SOMATOM Definition AS (</w:t>
            </w: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Siemens healthcare, Erlangen, Germany</w:t>
            </w: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780" w:rsidRPr="00227760" w:rsidRDefault="00AE3C98" w:rsidP="00F34FB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Seoul National University Hospital</w:t>
            </w:r>
          </w:p>
        </w:tc>
      </w:tr>
      <w:tr w:rsidR="00227760" w:rsidRPr="00227760" w:rsidTr="00686314">
        <w:trPr>
          <w:trHeight w:val="585"/>
        </w:trPr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3780" w:rsidRPr="00227760" w:rsidRDefault="00493780" w:rsidP="00F34FB4">
            <w:pPr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3780" w:rsidRPr="00227760" w:rsidRDefault="00493780" w:rsidP="00F34FB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Biograph 64 (</w:t>
            </w:r>
            <w:r w:rsidRPr="00227760">
              <w:rPr>
                <w:rFonts w:ascii="Times New Roman" w:hAnsi="Times New Roman" w:cs="Times New Roman"/>
                <w:color w:val="000000" w:themeColor="text1"/>
                <w:spacing w:val="2"/>
                <w:sz w:val="22"/>
                <w:szCs w:val="22"/>
                <w:shd w:val="clear" w:color="auto" w:fill="FCFCFC"/>
              </w:rPr>
              <w:t>Siemens Medical Solutions USA, Knoxville, TN, USA</w:t>
            </w: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3780" w:rsidRPr="00227760" w:rsidRDefault="00AE3C98" w:rsidP="00F34FB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Seoul National University Hospital</w:t>
            </w:r>
          </w:p>
        </w:tc>
      </w:tr>
      <w:tr w:rsidR="00227760" w:rsidRPr="00227760" w:rsidTr="00686314">
        <w:trPr>
          <w:trHeight w:val="585"/>
        </w:trPr>
        <w:tc>
          <w:tcPr>
            <w:tcW w:w="97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3F54" w:rsidRPr="00227760" w:rsidRDefault="00F13F54" w:rsidP="00F34FB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18F-FDG PET=18F-fluorodeoxyglucose positron emission tomography;</w:t>
            </w:r>
          </w:p>
        </w:tc>
      </w:tr>
    </w:tbl>
    <w:p w:rsidR="00A7597B" w:rsidRPr="00227760" w:rsidRDefault="00A7597B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95610" w:rsidRPr="00227760" w:rsidRDefault="00A7597B">
      <w:pPr>
        <w:widowControl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27760">
        <w:rPr>
          <w:rFonts w:ascii="Times New Roman" w:hAnsi="Times New Roman" w:cs="Times New Roman"/>
          <w:color w:val="000000" w:themeColor="text1"/>
          <w:sz w:val="22"/>
          <w:szCs w:val="22"/>
        </w:rPr>
        <w:br w:type="page"/>
      </w:r>
    </w:p>
    <w:tbl>
      <w:tblPr>
        <w:tblStyle w:val="TableGrid"/>
        <w:tblW w:w="9784" w:type="dxa"/>
        <w:tblInd w:w="-634" w:type="dxa"/>
        <w:tblLook w:val="04A0" w:firstRow="1" w:lastRow="0" w:firstColumn="1" w:lastColumn="0" w:noHBand="0" w:noVBand="1"/>
      </w:tblPr>
      <w:tblGrid>
        <w:gridCol w:w="876"/>
        <w:gridCol w:w="2043"/>
        <w:gridCol w:w="708"/>
        <w:gridCol w:w="703"/>
        <w:gridCol w:w="1397"/>
        <w:gridCol w:w="2749"/>
        <w:gridCol w:w="1308"/>
      </w:tblGrid>
      <w:tr w:rsidR="00227760" w:rsidRPr="00227760" w:rsidTr="00160006">
        <w:trPr>
          <w:trHeight w:val="545"/>
        </w:trPr>
        <w:tc>
          <w:tcPr>
            <w:tcW w:w="97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 xml:space="preserve">Table </w:t>
            </w:r>
            <w:r w:rsidR="00FA7D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S</w:t>
            </w:r>
            <w:r w:rsidRPr="0022776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2. Detailed profile of the autopsy samples</w:t>
            </w:r>
          </w:p>
        </w:tc>
      </w:tr>
      <w:tr w:rsidR="00227760" w:rsidRPr="00227760" w:rsidTr="00160006">
        <w:trPr>
          <w:trHeight w:val="97"/>
        </w:trPr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Sample ID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Institution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Age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Sex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Handedness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Neuropathology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Autolysis time (hours)</w:t>
            </w:r>
          </w:p>
        </w:tc>
      </w:tr>
      <w:tr w:rsidR="00227760" w:rsidRPr="00227760" w:rsidTr="00160006">
        <w:trPr>
          <w:trHeight w:val="324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27760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Sepulveda Research</w:t>
            </w:r>
            <w:r w:rsidRPr="0022776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Normal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19.5</w:t>
            </w:r>
          </w:p>
        </w:tc>
      </w:tr>
      <w:tr w:rsidR="00227760" w:rsidRPr="00227760" w:rsidTr="00160006">
        <w:trPr>
          <w:trHeight w:val="308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27760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Sepulveda Research</w:t>
            </w:r>
            <w:r w:rsidRPr="0022776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Right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Hypoxic change, intermediate, cerebrum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15.5</w:t>
            </w:r>
          </w:p>
        </w:tc>
      </w:tr>
      <w:tr w:rsidR="00227760" w:rsidRPr="00227760" w:rsidTr="00160006">
        <w:trPr>
          <w:trHeight w:val="316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27760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Sepulveda Research</w:t>
            </w:r>
            <w:r w:rsidRPr="0022776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Normal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20.3</w:t>
            </w:r>
          </w:p>
        </w:tc>
      </w:tr>
      <w:tr w:rsidR="00227760" w:rsidRPr="00227760" w:rsidTr="00160006">
        <w:trPr>
          <w:trHeight w:val="404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widowControl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27760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Sepulveda Research</w:t>
            </w:r>
            <w:r w:rsidRPr="0022776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Right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Aging, incidental changes consistent with aging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12.2</w:t>
            </w:r>
          </w:p>
        </w:tc>
      </w:tr>
      <w:tr w:rsidR="00227760" w:rsidRPr="00227760" w:rsidTr="00160006">
        <w:trPr>
          <w:trHeight w:val="324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University of Miami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Normal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16.5</w:t>
            </w:r>
          </w:p>
        </w:tc>
      </w:tr>
      <w:tr w:rsidR="00227760" w:rsidRPr="00227760" w:rsidTr="00160006">
        <w:trPr>
          <w:trHeight w:val="316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University of Miami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Right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Normal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14.2</w:t>
            </w:r>
          </w:p>
        </w:tc>
      </w:tr>
      <w:tr w:rsidR="00227760" w:rsidRPr="00227760" w:rsidTr="00160006">
        <w:trPr>
          <w:trHeight w:val="316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University of Miami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Normal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16.4</w:t>
            </w:r>
          </w:p>
        </w:tc>
      </w:tr>
      <w:tr w:rsidR="00227760" w:rsidRPr="00227760" w:rsidTr="00160006">
        <w:trPr>
          <w:trHeight w:val="324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University of Miami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Right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Normal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17.8</w:t>
            </w:r>
          </w:p>
        </w:tc>
      </w:tr>
      <w:tr w:rsidR="00227760" w:rsidRPr="00227760" w:rsidTr="00160006">
        <w:trPr>
          <w:trHeight w:val="316"/>
        </w:trPr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University of Miami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Right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Normal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37AA" w:rsidRPr="00227760" w:rsidRDefault="00C637AA" w:rsidP="0016000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20.8</w:t>
            </w:r>
          </w:p>
        </w:tc>
      </w:tr>
      <w:tr w:rsidR="00227760" w:rsidRPr="00227760" w:rsidTr="00160006">
        <w:trPr>
          <w:trHeight w:val="316"/>
        </w:trPr>
        <w:tc>
          <w:tcPr>
            <w:tcW w:w="97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135D74" w:rsidRPr="00227760" w:rsidRDefault="00135D74">
      <w:pPr>
        <w:widowControl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80E98" w:rsidRPr="00227760" w:rsidRDefault="00135D74" w:rsidP="004D0AD7">
      <w:pPr>
        <w:widowControl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27760">
        <w:rPr>
          <w:rFonts w:ascii="Times New Roman" w:hAnsi="Times New Roman" w:cs="Times New Roman"/>
          <w:color w:val="000000" w:themeColor="text1"/>
          <w:sz w:val="22"/>
          <w:szCs w:val="22"/>
        </w:rPr>
        <w:br w:type="page"/>
      </w:r>
    </w:p>
    <w:p w:rsidR="00D50BEB" w:rsidRPr="00227760" w:rsidRDefault="00D50BEB" w:rsidP="009B75CA">
      <w:pPr>
        <w:widowControl/>
        <w:jc w:val="left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pPr w:leftFromText="142" w:rightFromText="142" w:horzAnchor="margin" w:tblpY="237"/>
        <w:tblW w:w="7984" w:type="dxa"/>
        <w:tblLook w:val="04A0" w:firstRow="1" w:lastRow="0" w:firstColumn="1" w:lastColumn="0" w:noHBand="0" w:noVBand="1"/>
      </w:tblPr>
      <w:tblGrid>
        <w:gridCol w:w="914"/>
        <w:gridCol w:w="5135"/>
        <w:gridCol w:w="1935"/>
      </w:tblGrid>
      <w:tr w:rsidR="00227760" w:rsidRPr="00227760" w:rsidTr="00160006">
        <w:trPr>
          <w:trHeight w:val="106"/>
        </w:trPr>
        <w:tc>
          <w:tcPr>
            <w:tcW w:w="7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37AA" w:rsidRPr="00227760" w:rsidRDefault="00C637AA" w:rsidP="00FA7D47">
            <w:pPr>
              <w:widowControl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Table </w:t>
            </w:r>
            <w:r w:rsidR="00FA7D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S</w:t>
            </w:r>
            <w:r w:rsidRPr="0022776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 Semiology of the patients with LGI1-antibody encephalitis</w:t>
            </w:r>
          </w:p>
        </w:tc>
      </w:tr>
      <w:tr w:rsidR="00227760" w:rsidRPr="00227760" w:rsidTr="00160006">
        <w:trPr>
          <w:trHeight w:val="167"/>
        </w:trPr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7AA" w:rsidRPr="00227760" w:rsidRDefault="00C637AA" w:rsidP="00160006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Patient ID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7AA" w:rsidRPr="00227760" w:rsidRDefault="00C637AA" w:rsidP="00160006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Semiology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7AA" w:rsidRPr="00227760" w:rsidRDefault="00C637AA" w:rsidP="00160006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Hemisphere Localization </w:t>
            </w:r>
          </w:p>
        </w:tc>
      </w:tr>
      <w:tr w:rsidR="00227760" w:rsidRPr="00227760" w:rsidTr="00160006">
        <w:trPr>
          <w:trHeight w:val="283"/>
        </w:trPr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Ictal speech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27760" w:rsidRPr="00227760" w:rsidTr="00160006">
        <w:trPr>
          <w:trHeight w:val="283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Secondary GTCS, starting with left eyeball deviation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Right </w:t>
            </w:r>
          </w:p>
        </w:tc>
      </w:tr>
      <w:tr w:rsidR="00227760" w:rsidRPr="00227760" w:rsidTr="00160006">
        <w:trPr>
          <w:trHeight w:val="283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Secondary GTCS, starting with right hand tonic posture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Left</w:t>
            </w:r>
          </w:p>
        </w:tc>
      </w:tr>
      <w:tr w:rsidR="00227760" w:rsidRPr="00227760" w:rsidTr="00160006">
        <w:trPr>
          <w:trHeight w:val="283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Myoclonus at both legs (Right&gt;Left)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Bilateral</w:t>
            </w:r>
          </w:p>
        </w:tc>
      </w:tr>
      <w:tr w:rsidR="00227760" w:rsidRPr="00227760" w:rsidTr="00160006">
        <w:trPr>
          <w:trHeight w:val="283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Déjà vu, </w:t>
            </w:r>
            <w:proofErr w:type="spellStart"/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gelastic</w:t>
            </w:r>
            <w:proofErr w:type="spellEnd"/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seizure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27760" w:rsidRPr="00227760" w:rsidTr="00160006">
        <w:trPr>
          <w:trHeight w:val="283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27760" w:rsidRPr="00227760" w:rsidTr="00160006">
        <w:trPr>
          <w:trHeight w:val="283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Right eyeball deviation, Right neck version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Left</w:t>
            </w:r>
          </w:p>
        </w:tc>
      </w:tr>
      <w:tr w:rsidR="00227760" w:rsidRPr="00227760" w:rsidTr="00160006">
        <w:trPr>
          <w:trHeight w:val="283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Goose bump at whole body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27760" w:rsidRPr="00227760" w:rsidTr="00160006">
        <w:trPr>
          <w:trHeight w:val="283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27760" w:rsidRPr="00227760" w:rsidTr="00160006">
        <w:trPr>
          <w:trHeight w:val="283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Dystonic posture at both hands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Bilateral</w:t>
            </w:r>
          </w:p>
        </w:tc>
      </w:tr>
      <w:tr w:rsidR="00227760" w:rsidRPr="00227760" w:rsidTr="00160006">
        <w:trPr>
          <w:trHeight w:val="283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Lip smacking, febrile sensation at face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27760" w:rsidRPr="00227760" w:rsidTr="00160006">
        <w:trPr>
          <w:trHeight w:val="283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7AA" w:rsidRPr="00227760" w:rsidRDefault="00C637AA" w:rsidP="00160006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227760" w:rsidRPr="00227760" w:rsidTr="00160006">
        <w:trPr>
          <w:trHeight w:val="283"/>
        </w:trPr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37AA" w:rsidRPr="00227760" w:rsidRDefault="00C637AA" w:rsidP="00160006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37AA" w:rsidRPr="00227760" w:rsidRDefault="00C637AA" w:rsidP="00160006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37AA" w:rsidRPr="00227760" w:rsidRDefault="00C637AA" w:rsidP="00160006">
            <w:pPr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D01E09" w:rsidRPr="00227760" w:rsidRDefault="00C637AA" w:rsidP="009B75CA">
      <w:pPr>
        <w:spacing w:line="360" w:lineRule="auto"/>
        <w:rPr>
          <w:rFonts w:ascii="Times New Roman" w:hAnsi="Times New Roman" w:cs="Times New Roman"/>
          <w:color w:val="000000" w:themeColor="text1"/>
        </w:rPr>
        <w:sectPr w:rsidR="00D01E09" w:rsidRPr="00227760" w:rsidSect="00F65ED6">
          <w:pgSz w:w="11900" w:h="16840"/>
          <w:pgMar w:top="1985" w:right="1701" w:bottom="1701" w:left="1701" w:header="851" w:footer="992" w:gutter="0"/>
          <w:cols w:space="425"/>
          <w:docGrid w:linePitch="400"/>
        </w:sectPr>
      </w:pPr>
      <w:r w:rsidRPr="00227760">
        <w:rPr>
          <w:rFonts w:ascii="Times New Roman" w:hAnsi="Times New Roman" w:cs="Times New Roman"/>
          <w:color w:val="000000" w:themeColor="text1"/>
        </w:rPr>
        <w:t xml:space="preserve"> </w:t>
      </w:r>
      <w:r w:rsidR="00D50BEB" w:rsidRPr="00227760">
        <w:rPr>
          <w:rFonts w:ascii="Times New Roman" w:hAnsi="Times New Roman" w:cs="Times New Roman"/>
          <w:color w:val="000000" w:themeColor="text1"/>
        </w:rPr>
        <w:br w:type="page"/>
      </w:r>
    </w:p>
    <w:tbl>
      <w:tblPr>
        <w:tblStyle w:val="TableGrid"/>
        <w:tblpPr w:leftFromText="142" w:rightFromText="142" w:vertAnchor="page" w:horzAnchor="margin" w:tblpY="1081"/>
        <w:tblW w:w="13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6"/>
        <w:gridCol w:w="5308"/>
        <w:gridCol w:w="5309"/>
      </w:tblGrid>
      <w:tr w:rsidR="00227760" w:rsidRPr="00227760" w:rsidTr="00AE1864">
        <w:trPr>
          <w:trHeight w:val="467"/>
        </w:trPr>
        <w:tc>
          <w:tcPr>
            <w:tcW w:w="13943" w:type="dxa"/>
            <w:gridSpan w:val="3"/>
            <w:tcBorders>
              <w:bottom w:val="single" w:sz="4" w:space="0" w:color="auto"/>
            </w:tcBorders>
            <w:vAlign w:val="center"/>
          </w:tcPr>
          <w:p w:rsidR="00D01E09" w:rsidRPr="00227760" w:rsidRDefault="00D01E09" w:rsidP="00FA7D47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 xml:space="preserve">Table </w:t>
            </w:r>
            <w:r w:rsidR="00FA7D4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S</w:t>
            </w:r>
            <w:r w:rsidRPr="0022776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 Overall literature review of asymmetric abnormality in patients with ADPEAF</w:t>
            </w:r>
          </w:p>
        </w:tc>
      </w:tr>
      <w:tr w:rsidR="00227760" w:rsidRPr="00227760" w:rsidTr="00AE1864">
        <w:trPr>
          <w:trHeight w:val="467"/>
        </w:trPr>
        <w:tc>
          <w:tcPr>
            <w:tcW w:w="3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E09" w:rsidRPr="00227760" w:rsidRDefault="00D01E09" w:rsidP="00AE1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E09" w:rsidRPr="00227760" w:rsidRDefault="00D01E09" w:rsidP="00AE1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EEG (No</w:t>
            </w:r>
            <w:proofErr w:type="gramStart"/>
            <w:r w:rsidRPr="002277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gramEnd"/>
            <w:r w:rsidRPr="002277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No.)</w:t>
            </w:r>
          </w:p>
        </w:tc>
        <w:tc>
          <w:tcPr>
            <w:tcW w:w="5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E09" w:rsidRPr="00227760" w:rsidRDefault="00D01E09" w:rsidP="00AE18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MRI (No</w:t>
            </w:r>
            <w:proofErr w:type="gramStart"/>
            <w:r w:rsidRPr="002277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./</w:t>
            </w:r>
            <w:proofErr w:type="gramEnd"/>
            <w:r w:rsidRPr="002277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No.)</w:t>
            </w:r>
          </w:p>
        </w:tc>
      </w:tr>
      <w:tr w:rsidR="00227760" w:rsidRPr="00227760" w:rsidTr="00AE1864">
        <w:trPr>
          <w:trHeight w:val="467"/>
        </w:trPr>
        <w:tc>
          <w:tcPr>
            <w:tcW w:w="3326" w:type="dxa"/>
            <w:tcBorders>
              <w:top w:val="single" w:sz="4" w:space="0" w:color="auto"/>
            </w:tcBorders>
            <w:vAlign w:val="center"/>
          </w:tcPr>
          <w:p w:rsidR="00D01E09" w:rsidRPr="00227760" w:rsidRDefault="00D01E09" w:rsidP="00AE186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 Bonaventura et al. (2009)</w:t>
            </w:r>
          </w:p>
        </w:tc>
        <w:tc>
          <w:tcPr>
            <w:tcW w:w="5308" w:type="dxa"/>
            <w:tcBorders>
              <w:top w:val="single" w:sz="4" w:space="0" w:color="auto"/>
            </w:tcBorders>
            <w:vAlign w:val="center"/>
          </w:tcPr>
          <w:p w:rsidR="00D01E09" w:rsidRPr="00227760" w:rsidRDefault="00D01E09" w:rsidP="00AE186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Left (3/3, 100%)</w:t>
            </w:r>
          </w:p>
        </w:tc>
        <w:tc>
          <w:tcPr>
            <w:tcW w:w="5309" w:type="dxa"/>
            <w:tcBorders>
              <w:top w:val="single" w:sz="4" w:space="0" w:color="auto"/>
            </w:tcBorders>
            <w:vAlign w:val="center"/>
          </w:tcPr>
          <w:p w:rsidR="00D01E09" w:rsidRPr="00227760" w:rsidRDefault="00D01E09" w:rsidP="00AE186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27760" w:rsidRPr="00227760" w:rsidTr="00AE1864">
        <w:trPr>
          <w:trHeight w:val="467"/>
        </w:trPr>
        <w:tc>
          <w:tcPr>
            <w:tcW w:w="3326" w:type="dxa"/>
            <w:vAlign w:val="center"/>
          </w:tcPr>
          <w:p w:rsidR="00D01E09" w:rsidRPr="00227760" w:rsidRDefault="00D01E09" w:rsidP="00AE186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277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Ottman</w:t>
            </w:r>
            <w:proofErr w:type="spellEnd"/>
            <w:r w:rsidRPr="002277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et al. (2008)</w:t>
            </w:r>
          </w:p>
        </w:tc>
        <w:tc>
          <w:tcPr>
            <w:tcW w:w="5308" w:type="dxa"/>
            <w:vAlign w:val="center"/>
          </w:tcPr>
          <w:p w:rsidR="00D01E09" w:rsidRPr="00227760" w:rsidRDefault="00D01E09" w:rsidP="00AE186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09" w:type="dxa"/>
            <w:vAlign w:val="center"/>
          </w:tcPr>
          <w:p w:rsidR="00D01E09" w:rsidRPr="00227760" w:rsidRDefault="00D01E09" w:rsidP="00AE186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Left</w:t>
            </w:r>
            <w:r w:rsidRPr="0022776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</w:tr>
      <w:tr w:rsidR="00227760" w:rsidRPr="00227760" w:rsidTr="00AE1864">
        <w:trPr>
          <w:trHeight w:val="467"/>
        </w:trPr>
        <w:tc>
          <w:tcPr>
            <w:tcW w:w="3326" w:type="dxa"/>
            <w:vAlign w:val="center"/>
          </w:tcPr>
          <w:p w:rsidR="00D01E09" w:rsidRPr="00227760" w:rsidRDefault="00D01E09" w:rsidP="00AE186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Tessa et al. (2007)</w:t>
            </w:r>
          </w:p>
        </w:tc>
        <w:tc>
          <w:tcPr>
            <w:tcW w:w="5308" w:type="dxa"/>
            <w:vAlign w:val="center"/>
          </w:tcPr>
          <w:p w:rsidR="00D01E09" w:rsidRPr="00227760" w:rsidRDefault="00D01E09" w:rsidP="00AE186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09" w:type="dxa"/>
            <w:vAlign w:val="center"/>
          </w:tcPr>
          <w:p w:rsidR="00D01E09" w:rsidRPr="00227760" w:rsidRDefault="00D01E09" w:rsidP="00AE186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Left</w:t>
            </w:r>
            <w:r w:rsidRPr="00227760">
              <w:rPr>
                <w:rFonts w:ascii="Times New Roman" w:hAnsi="Times New Roman" w:cs="Times New Roman"/>
                <w:color w:val="000000" w:themeColor="text1"/>
                <w:kern w:val="0"/>
                <w:vertAlign w:val="superscript"/>
              </w:rPr>
              <w:t>†</w:t>
            </w:r>
          </w:p>
        </w:tc>
      </w:tr>
      <w:tr w:rsidR="00227760" w:rsidRPr="00227760" w:rsidTr="00AE1864">
        <w:trPr>
          <w:trHeight w:val="467"/>
        </w:trPr>
        <w:tc>
          <w:tcPr>
            <w:tcW w:w="3326" w:type="dxa"/>
            <w:vAlign w:val="center"/>
          </w:tcPr>
          <w:p w:rsidR="00D01E09" w:rsidRPr="00227760" w:rsidRDefault="00D01E09" w:rsidP="00AE186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277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Brodtkorb</w:t>
            </w:r>
            <w:proofErr w:type="spellEnd"/>
            <w:r w:rsidRPr="002277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et al. (2005)</w:t>
            </w:r>
          </w:p>
        </w:tc>
        <w:tc>
          <w:tcPr>
            <w:tcW w:w="5308" w:type="dxa"/>
            <w:vAlign w:val="center"/>
          </w:tcPr>
          <w:p w:rsidR="00D01E09" w:rsidRPr="00227760" w:rsidRDefault="00D01E09" w:rsidP="00AE186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Left (8/8, 100%</w:t>
            </w:r>
            <w:proofErr w:type="gramStart"/>
            <w:r w:rsidRPr="002277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227760">
              <w:rPr>
                <w:rFonts w:ascii="Times New Roman" w:hAnsi="Times New Roman" w:cs="Times New Roman"/>
                <w:color w:val="000000" w:themeColor="text1"/>
                <w:kern w:val="0"/>
                <w:vertAlign w:val="superscript"/>
              </w:rPr>
              <w:t>‡</w:t>
            </w:r>
            <w:proofErr w:type="gramEnd"/>
          </w:p>
        </w:tc>
        <w:tc>
          <w:tcPr>
            <w:tcW w:w="5309" w:type="dxa"/>
            <w:vAlign w:val="center"/>
          </w:tcPr>
          <w:p w:rsidR="00D01E09" w:rsidRPr="00227760" w:rsidRDefault="00D01E09" w:rsidP="00AE186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27760" w:rsidRPr="00227760" w:rsidTr="00AE1864">
        <w:trPr>
          <w:trHeight w:val="467"/>
        </w:trPr>
        <w:tc>
          <w:tcPr>
            <w:tcW w:w="3326" w:type="dxa"/>
            <w:vAlign w:val="center"/>
          </w:tcPr>
          <w:p w:rsidR="00D01E09" w:rsidRPr="00227760" w:rsidRDefault="00D01E09" w:rsidP="00AE186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277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Pizzuti</w:t>
            </w:r>
            <w:proofErr w:type="spellEnd"/>
            <w:r w:rsidRPr="002277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et al. (2003)</w:t>
            </w:r>
          </w:p>
        </w:tc>
        <w:tc>
          <w:tcPr>
            <w:tcW w:w="5308" w:type="dxa"/>
            <w:vAlign w:val="center"/>
          </w:tcPr>
          <w:p w:rsidR="00D01E09" w:rsidRPr="00227760" w:rsidRDefault="00D01E09" w:rsidP="00AE186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Left (2/4, 50%) vs Bilateral (1/4, 25%) vs Normal (1/4, 25%)</w:t>
            </w:r>
          </w:p>
        </w:tc>
        <w:tc>
          <w:tcPr>
            <w:tcW w:w="5309" w:type="dxa"/>
            <w:vAlign w:val="center"/>
          </w:tcPr>
          <w:p w:rsidR="00D01E09" w:rsidRPr="00227760" w:rsidRDefault="00D01E09" w:rsidP="00AE186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27760" w:rsidRPr="00227760" w:rsidTr="00AE1864">
        <w:trPr>
          <w:trHeight w:val="467"/>
        </w:trPr>
        <w:tc>
          <w:tcPr>
            <w:tcW w:w="3326" w:type="dxa"/>
            <w:vAlign w:val="center"/>
          </w:tcPr>
          <w:p w:rsidR="00D01E09" w:rsidRPr="00227760" w:rsidRDefault="00D01E09" w:rsidP="00AE186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Kobayashi et al. (2003)</w:t>
            </w:r>
          </w:p>
        </w:tc>
        <w:tc>
          <w:tcPr>
            <w:tcW w:w="5308" w:type="dxa"/>
            <w:vAlign w:val="center"/>
          </w:tcPr>
          <w:p w:rsidR="00D01E09" w:rsidRPr="00227760" w:rsidRDefault="00D01E09" w:rsidP="00AE186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09" w:type="dxa"/>
            <w:vAlign w:val="center"/>
          </w:tcPr>
          <w:p w:rsidR="00D01E09" w:rsidRPr="00227760" w:rsidRDefault="00D01E09" w:rsidP="00AE186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Left (10/22, 45.5%) vs Normal (12/22, 54.5%)</w:t>
            </w:r>
          </w:p>
        </w:tc>
      </w:tr>
      <w:tr w:rsidR="00227760" w:rsidRPr="00227760" w:rsidTr="00AE1864">
        <w:trPr>
          <w:trHeight w:val="467"/>
        </w:trPr>
        <w:tc>
          <w:tcPr>
            <w:tcW w:w="13943" w:type="dxa"/>
            <w:gridSpan w:val="3"/>
            <w:tcBorders>
              <w:top w:val="single" w:sz="4" w:space="0" w:color="auto"/>
            </w:tcBorders>
            <w:vAlign w:val="center"/>
          </w:tcPr>
          <w:p w:rsidR="00D01E09" w:rsidRPr="00227760" w:rsidRDefault="00D01E09" w:rsidP="00AE186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277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Left and right indicate the abnormal hemisphere. ADPEAF=</w:t>
            </w:r>
            <w:r w:rsidRPr="00227760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GB"/>
              </w:rPr>
              <w:t>autosomal dominant partial epilepsy with auditory features; EEG=electroencephalography; MRI=magnetic resonance imaging; No</w:t>
            </w:r>
            <w:proofErr w:type="gramStart"/>
            <w:r w:rsidRPr="00227760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GB"/>
              </w:rPr>
              <w:t>.=</w:t>
            </w:r>
            <w:proofErr w:type="gramEnd"/>
            <w:r w:rsidRPr="00227760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GB"/>
              </w:rPr>
              <w:t xml:space="preserve"> number of subjects; Empty cells indicate non-lateralized result or not available data; *</w:t>
            </w:r>
            <w:r w:rsidRPr="00227760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functional MRI analysis during auditory description decision task in 8 patients compared with 20 healthy control subjects; †</w:t>
            </w:r>
            <w:r w:rsidRPr="00227760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  <w:lang w:val="en-GB"/>
              </w:rPr>
              <w:t xml:space="preserve">voxel-based analysis in 8 patients compared with 24 healthy control subjects; </w:t>
            </w:r>
            <w:r w:rsidRPr="00227760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szCs w:val="22"/>
              </w:rPr>
              <w:t>‡Auditory evoked potentials analysis.</w:t>
            </w:r>
          </w:p>
        </w:tc>
      </w:tr>
    </w:tbl>
    <w:p w:rsidR="00D01E09" w:rsidRPr="00227760" w:rsidRDefault="00D01E09" w:rsidP="009B75CA">
      <w:pPr>
        <w:spacing w:line="360" w:lineRule="auto"/>
        <w:rPr>
          <w:rFonts w:ascii="Times New Roman" w:hAnsi="Times New Roman" w:cs="Times New Roman"/>
          <w:color w:val="000000" w:themeColor="text1"/>
        </w:rPr>
        <w:sectPr w:rsidR="00D01E09" w:rsidRPr="00227760" w:rsidSect="00D01E09">
          <w:pgSz w:w="16840" w:h="11900" w:orient="landscape"/>
          <w:pgMar w:top="1701" w:right="1701" w:bottom="1701" w:left="1985" w:header="851" w:footer="992" w:gutter="0"/>
          <w:cols w:space="425"/>
          <w:docGrid w:linePitch="400"/>
        </w:sectPr>
      </w:pPr>
    </w:p>
    <w:p w:rsidR="009B75CA" w:rsidRPr="00227760" w:rsidRDefault="002C46C0" w:rsidP="009B75CA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227760">
        <w:rPr>
          <w:rFonts w:ascii="Times New Roman" w:hAnsi="Times New Roman" w:cs="Times New Roman"/>
          <w:noProof/>
          <w:color w:val="000000" w:themeColor="text1"/>
          <w:lang w:eastAsia="en-US"/>
        </w:rPr>
        <w:lastRenderedPageBreak/>
        <w:drawing>
          <wp:inline distT="0" distB="0" distL="0" distR="0">
            <wp:extent cx="5396230" cy="2990850"/>
            <wp:effectExtent l="0" t="0" r="1270" b="635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0384" cy="30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5CA" w:rsidRPr="00227760" w:rsidRDefault="009B75CA" w:rsidP="009B75CA">
      <w:pPr>
        <w:spacing w:line="360" w:lineRule="auto"/>
        <w:rPr>
          <w:rFonts w:ascii="Times New Roman" w:hAnsi="Times New Roman" w:cs="Times New Roman"/>
          <w:color w:val="000000" w:themeColor="text1"/>
          <w:lang w:val="en-GB"/>
        </w:rPr>
      </w:pPr>
      <w:r w:rsidRPr="00227760">
        <w:rPr>
          <w:rFonts w:ascii="Times New Roman" w:hAnsi="Times New Roman" w:cs="Times New Roman"/>
          <w:b/>
          <w:color w:val="000000" w:themeColor="text1"/>
          <w:lang w:val="en-GB"/>
        </w:rPr>
        <w:t xml:space="preserve">Figure </w:t>
      </w:r>
      <w:r w:rsidR="00FA7D47">
        <w:rPr>
          <w:rFonts w:ascii="Times New Roman" w:hAnsi="Times New Roman" w:cs="Times New Roman"/>
          <w:b/>
          <w:color w:val="000000" w:themeColor="text1"/>
          <w:lang w:val="en-GB"/>
        </w:rPr>
        <w:t>S</w:t>
      </w:r>
      <w:r w:rsidRPr="00227760">
        <w:rPr>
          <w:rFonts w:ascii="Times New Roman" w:hAnsi="Times New Roman" w:cs="Times New Roman"/>
          <w:b/>
          <w:color w:val="000000" w:themeColor="text1"/>
          <w:lang w:val="en-GB"/>
        </w:rPr>
        <w:t>1 Summary of pre-treatment clinical and laboratory laterality in patients with LGI1-antibody encephalitis</w:t>
      </w:r>
      <w:r w:rsidRPr="00227760">
        <w:rPr>
          <w:rFonts w:ascii="Times New Roman" w:hAnsi="Times New Roman" w:cs="Times New Roman"/>
          <w:color w:val="000000" w:themeColor="text1"/>
          <w:lang w:val="en-GB"/>
        </w:rPr>
        <w:t>. Each row indicates patients with LGI1-antibody encephalitis, and each column indicates the clinical and diagnostic information of the patients. Colour indicates the laterality of each item in the column: pink=right side; blue=left side; grey=no laterality; white=no symptoms or not available. R=right; L=left; FBDS=</w:t>
      </w:r>
      <w:proofErr w:type="spellStart"/>
      <w:r w:rsidRPr="00227760">
        <w:rPr>
          <w:rFonts w:ascii="Times New Roman" w:hAnsi="Times New Roman" w:cs="Times New Roman"/>
          <w:color w:val="000000" w:themeColor="text1"/>
          <w:lang w:val="en-GB"/>
        </w:rPr>
        <w:t>faciobrahial</w:t>
      </w:r>
      <w:proofErr w:type="spellEnd"/>
      <w:r w:rsidRPr="00227760">
        <w:rPr>
          <w:rFonts w:ascii="Times New Roman" w:hAnsi="Times New Roman" w:cs="Times New Roman"/>
          <w:color w:val="000000" w:themeColor="text1"/>
          <w:lang w:val="en-GB"/>
        </w:rPr>
        <w:t xml:space="preserve"> seizure.</w:t>
      </w:r>
    </w:p>
    <w:p w:rsidR="009B75CA" w:rsidRPr="00227760" w:rsidRDefault="009B75CA">
      <w:pPr>
        <w:widowControl/>
        <w:jc w:val="left"/>
        <w:rPr>
          <w:rFonts w:ascii="Times New Roman" w:hAnsi="Times New Roman" w:cs="Times New Roman"/>
          <w:color w:val="000000" w:themeColor="text1"/>
        </w:rPr>
      </w:pPr>
      <w:r w:rsidRPr="00227760">
        <w:rPr>
          <w:rFonts w:ascii="Times New Roman" w:hAnsi="Times New Roman" w:cs="Times New Roman"/>
          <w:color w:val="000000" w:themeColor="text1"/>
        </w:rPr>
        <w:br w:type="page"/>
      </w:r>
    </w:p>
    <w:p w:rsidR="00D50BEB" w:rsidRPr="00227760" w:rsidRDefault="00D50BEB" w:rsidP="009B75CA">
      <w:pPr>
        <w:widowControl/>
        <w:jc w:val="right"/>
        <w:rPr>
          <w:rFonts w:ascii="Times New Roman" w:hAnsi="Times New Roman" w:cs="Times New Roman"/>
          <w:color w:val="000000" w:themeColor="text1"/>
        </w:rPr>
      </w:pPr>
    </w:p>
    <w:p w:rsidR="001841CC" w:rsidRPr="00227760" w:rsidRDefault="00D50BEB">
      <w:pPr>
        <w:rPr>
          <w:rFonts w:ascii="Times New Roman" w:hAnsi="Times New Roman" w:cs="Times New Roman"/>
          <w:color w:val="000000" w:themeColor="text1"/>
        </w:rPr>
      </w:pPr>
      <w:r w:rsidRPr="00227760">
        <w:rPr>
          <w:rFonts w:ascii="Times New Roman" w:hAnsi="Times New Roman" w:cs="Times New Roman"/>
          <w:noProof/>
          <w:color w:val="000000" w:themeColor="text1"/>
          <w:lang w:eastAsia="en-US"/>
        </w:rPr>
        <w:drawing>
          <wp:inline distT="0" distB="0" distL="0" distR="0">
            <wp:extent cx="3678865" cy="3678865"/>
            <wp:effectExtent l="0" t="0" r="4445" b="444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l Fig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2852" cy="3682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BEB" w:rsidRPr="00227760" w:rsidRDefault="00D50BEB">
      <w:pPr>
        <w:rPr>
          <w:rFonts w:ascii="Times New Roman" w:hAnsi="Times New Roman" w:cs="Times New Roman"/>
          <w:color w:val="000000" w:themeColor="text1"/>
        </w:rPr>
      </w:pPr>
    </w:p>
    <w:p w:rsidR="00F26799" w:rsidRPr="00227760" w:rsidRDefault="00F26799" w:rsidP="00F26799">
      <w:pPr>
        <w:widowControl/>
        <w:spacing w:line="360" w:lineRule="auto"/>
        <w:jc w:val="left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 w:rsidRPr="00227760">
        <w:rPr>
          <w:rFonts w:ascii="Times New Roman" w:hAnsi="Times New Roman" w:cs="Times New Roman"/>
          <w:b/>
          <w:color w:val="000000" w:themeColor="text1"/>
          <w:sz w:val="22"/>
          <w:szCs w:val="22"/>
          <w:lang w:val="en-GB"/>
        </w:rPr>
        <w:t>Figure</w:t>
      </w:r>
      <w:r w:rsidR="009B75CA" w:rsidRPr="00227760">
        <w:rPr>
          <w:rFonts w:ascii="Times New Roman" w:hAnsi="Times New Roman" w:cs="Times New Roman"/>
          <w:b/>
          <w:color w:val="000000" w:themeColor="text1"/>
          <w:sz w:val="22"/>
          <w:szCs w:val="22"/>
          <w:lang w:val="en-GB"/>
        </w:rPr>
        <w:t xml:space="preserve"> </w:t>
      </w:r>
      <w:r w:rsidR="00FA7D47">
        <w:rPr>
          <w:rFonts w:ascii="Times New Roman" w:hAnsi="Times New Roman" w:cs="Times New Roman"/>
          <w:b/>
          <w:color w:val="000000" w:themeColor="text1"/>
          <w:sz w:val="22"/>
          <w:szCs w:val="22"/>
          <w:lang w:val="en-GB"/>
        </w:rPr>
        <w:t>S</w:t>
      </w:r>
      <w:r w:rsidR="009B75CA" w:rsidRPr="00227760">
        <w:rPr>
          <w:rFonts w:ascii="Times New Roman" w:hAnsi="Times New Roman" w:cs="Times New Roman"/>
          <w:b/>
          <w:color w:val="000000" w:themeColor="text1"/>
          <w:sz w:val="22"/>
          <w:szCs w:val="22"/>
          <w:lang w:val="en-GB"/>
        </w:rPr>
        <w:t>2</w:t>
      </w:r>
      <w:bookmarkStart w:id="0" w:name="_GoBack"/>
      <w:bookmarkEnd w:id="0"/>
      <w:r w:rsidRPr="00227760">
        <w:rPr>
          <w:rFonts w:ascii="Times New Roman" w:hAnsi="Times New Roman" w:cs="Times New Roman"/>
          <w:b/>
          <w:color w:val="000000" w:themeColor="text1"/>
          <w:sz w:val="22"/>
          <w:szCs w:val="22"/>
          <w:lang w:val="en-GB"/>
        </w:rPr>
        <w:t xml:space="preserve"> T2-weighted FLAIR MRI of Patient 13.</w:t>
      </w:r>
      <w:r w:rsidRPr="00227760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(A) Patient 13 initially showed high signal intensity in the left hippocampus. (B) After 8.5 months without immune therapy (at the time point of FDG-PET), the follow-up images revealed atrophy of the left hippocampus and newly developed high signal intensity in the right hippocampus.</w:t>
      </w:r>
    </w:p>
    <w:p w:rsidR="0030157C" w:rsidRPr="00227760" w:rsidRDefault="0030157C">
      <w:pPr>
        <w:widowControl/>
        <w:jc w:val="left"/>
        <w:rPr>
          <w:rFonts w:ascii="Times New Roman" w:hAnsi="Times New Roman" w:cs="Times New Roman"/>
          <w:color w:val="000000" w:themeColor="text1"/>
          <w:lang w:val="en-GB"/>
        </w:rPr>
      </w:pPr>
    </w:p>
    <w:sectPr w:rsidR="0030157C" w:rsidRPr="00227760" w:rsidSect="00F65ED6"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rawingGridVerticalSpacing w:val="2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3"/>
  </w:docVars>
  <w:rsids>
    <w:rsidRoot w:val="00493780"/>
    <w:rsid w:val="000321E5"/>
    <w:rsid w:val="00033982"/>
    <w:rsid w:val="00035F42"/>
    <w:rsid w:val="0005102F"/>
    <w:rsid w:val="00095DF0"/>
    <w:rsid w:val="00096138"/>
    <w:rsid w:val="000A3936"/>
    <w:rsid w:val="000B0335"/>
    <w:rsid w:val="00101C52"/>
    <w:rsid w:val="0011375A"/>
    <w:rsid w:val="0012687D"/>
    <w:rsid w:val="00132E00"/>
    <w:rsid w:val="00135D74"/>
    <w:rsid w:val="001377BD"/>
    <w:rsid w:val="00142B25"/>
    <w:rsid w:val="0015505E"/>
    <w:rsid w:val="00171FC4"/>
    <w:rsid w:val="00181927"/>
    <w:rsid w:val="001841CC"/>
    <w:rsid w:val="001A49C5"/>
    <w:rsid w:val="001C424E"/>
    <w:rsid w:val="001C691C"/>
    <w:rsid w:val="001D49AF"/>
    <w:rsid w:val="001F0C11"/>
    <w:rsid w:val="00217A92"/>
    <w:rsid w:val="00227760"/>
    <w:rsid w:val="002505AE"/>
    <w:rsid w:val="00267B77"/>
    <w:rsid w:val="00274BB5"/>
    <w:rsid w:val="002933BC"/>
    <w:rsid w:val="002C01BF"/>
    <w:rsid w:val="002C03A9"/>
    <w:rsid w:val="002C46C0"/>
    <w:rsid w:val="002D64C2"/>
    <w:rsid w:val="002E2336"/>
    <w:rsid w:val="002F210A"/>
    <w:rsid w:val="002F2C94"/>
    <w:rsid w:val="003014FC"/>
    <w:rsid w:val="0030157C"/>
    <w:rsid w:val="00303BDE"/>
    <w:rsid w:val="00305A79"/>
    <w:rsid w:val="00336BC4"/>
    <w:rsid w:val="00337118"/>
    <w:rsid w:val="0036434F"/>
    <w:rsid w:val="00375E37"/>
    <w:rsid w:val="00382CBA"/>
    <w:rsid w:val="003874FE"/>
    <w:rsid w:val="003C6D80"/>
    <w:rsid w:val="003F0860"/>
    <w:rsid w:val="00405651"/>
    <w:rsid w:val="00407766"/>
    <w:rsid w:val="0041110B"/>
    <w:rsid w:val="00411814"/>
    <w:rsid w:val="0045270D"/>
    <w:rsid w:val="00493780"/>
    <w:rsid w:val="00496675"/>
    <w:rsid w:val="004A2AE6"/>
    <w:rsid w:val="004C0E0D"/>
    <w:rsid w:val="004C358D"/>
    <w:rsid w:val="004D0AD7"/>
    <w:rsid w:val="004D6E84"/>
    <w:rsid w:val="004E5986"/>
    <w:rsid w:val="004E6BBD"/>
    <w:rsid w:val="00503167"/>
    <w:rsid w:val="0051374F"/>
    <w:rsid w:val="00533DE7"/>
    <w:rsid w:val="005441FB"/>
    <w:rsid w:val="00591F04"/>
    <w:rsid w:val="005A097E"/>
    <w:rsid w:val="005A17C1"/>
    <w:rsid w:val="005D397B"/>
    <w:rsid w:val="005D5160"/>
    <w:rsid w:val="005F7B34"/>
    <w:rsid w:val="00601D52"/>
    <w:rsid w:val="00622A5C"/>
    <w:rsid w:val="00623E53"/>
    <w:rsid w:val="00623F7D"/>
    <w:rsid w:val="00681D98"/>
    <w:rsid w:val="00686314"/>
    <w:rsid w:val="006952E8"/>
    <w:rsid w:val="006A7A01"/>
    <w:rsid w:val="006A7E2F"/>
    <w:rsid w:val="006D4B4C"/>
    <w:rsid w:val="006D66E2"/>
    <w:rsid w:val="007044BD"/>
    <w:rsid w:val="007271AE"/>
    <w:rsid w:val="00766803"/>
    <w:rsid w:val="00791159"/>
    <w:rsid w:val="007C24D5"/>
    <w:rsid w:val="008018AE"/>
    <w:rsid w:val="008254DF"/>
    <w:rsid w:val="008264A5"/>
    <w:rsid w:val="00831CDC"/>
    <w:rsid w:val="00845A32"/>
    <w:rsid w:val="00860EAD"/>
    <w:rsid w:val="00880E98"/>
    <w:rsid w:val="00881AC6"/>
    <w:rsid w:val="008A0F84"/>
    <w:rsid w:val="008A10EF"/>
    <w:rsid w:val="009054DE"/>
    <w:rsid w:val="00911CE9"/>
    <w:rsid w:val="00935D97"/>
    <w:rsid w:val="0097716F"/>
    <w:rsid w:val="00987344"/>
    <w:rsid w:val="00992238"/>
    <w:rsid w:val="0099770C"/>
    <w:rsid w:val="009A3999"/>
    <w:rsid w:val="009B75CA"/>
    <w:rsid w:val="009D5DE3"/>
    <w:rsid w:val="00A0517A"/>
    <w:rsid w:val="00A36D1C"/>
    <w:rsid w:val="00A7597B"/>
    <w:rsid w:val="00A95610"/>
    <w:rsid w:val="00AA0518"/>
    <w:rsid w:val="00AA0929"/>
    <w:rsid w:val="00AA3854"/>
    <w:rsid w:val="00AE3C98"/>
    <w:rsid w:val="00B0634E"/>
    <w:rsid w:val="00B15CB7"/>
    <w:rsid w:val="00B17AD4"/>
    <w:rsid w:val="00B66421"/>
    <w:rsid w:val="00B9459C"/>
    <w:rsid w:val="00BC3F79"/>
    <w:rsid w:val="00C52AB5"/>
    <w:rsid w:val="00C60231"/>
    <w:rsid w:val="00C637AA"/>
    <w:rsid w:val="00C85315"/>
    <w:rsid w:val="00C956C3"/>
    <w:rsid w:val="00CA0680"/>
    <w:rsid w:val="00CA7870"/>
    <w:rsid w:val="00CD6F38"/>
    <w:rsid w:val="00D01E09"/>
    <w:rsid w:val="00D0551E"/>
    <w:rsid w:val="00D50BEB"/>
    <w:rsid w:val="00D6171D"/>
    <w:rsid w:val="00D75278"/>
    <w:rsid w:val="00DE1E2F"/>
    <w:rsid w:val="00E51A33"/>
    <w:rsid w:val="00E96405"/>
    <w:rsid w:val="00EC6110"/>
    <w:rsid w:val="00EC7841"/>
    <w:rsid w:val="00ED5016"/>
    <w:rsid w:val="00F03143"/>
    <w:rsid w:val="00F13F54"/>
    <w:rsid w:val="00F26799"/>
    <w:rsid w:val="00F32F3F"/>
    <w:rsid w:val="00F34FB4"/>
    <w:rsid w:val="00F47B4D"/>
    <w:rsid w:val="00F6260E"/>
    <w:rsid w:val="00F65ED6"/>
    <w:rsid w:val="00F96A57"/>
    <w:rsid w:val="00FA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7597B"/>
    <w:rPr>
      <w:b/>
      <w:bCs/>
    </w:rPr>
  </w:style>
  <w:style w:type="paragraph" w:customStyle="1" w:styleId="Default">
    <w:name w:val="Default"/>
    <w:rsid w:val="0030157C"/>
    <w:pPr>
      <w:widowControl w:val="0"/>
      <w:autoSpaceDE w:val="0"/>
      <w:autoSpaceDN w:val="0"/>
      <w:adjustRightInd w:val="0"/>
    </w:pPr>
    <w:rPr>
      <w:rFonts w:ascii="Arial" w:eastAsiaTheme="minorHAnsi" w:hAnsi="Arial" w:cs="Arial"/>
      <w:color w:val="000000"/>
      <w:kern w:val="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015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57C"/>
    <w:pPr>
      <w:jc w:val="left"/>
    </w:pPr>
    <w:rPr>
      <w:rFonts w:ascii="Tahoma" w:hAnsi="Tahoma" w:cs="Tahoma"/>
      <w:sz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57C"/>
    <w:rPr>
      <w:rFonts w:ascii="Tahoma" w:hAnsi="Tahoma" w:cs="Tahom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57C"/>
    <w:rPr>
      <w:rFonts w:ascii="Batang" w:eastAsia="Batan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57C"/>
    <w:rPr>
      <w:rFonts w:ascii="Batang" w:eastAsia="Batang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7597B"/>
    <w:rPr>
      <w:b/>
      <w:bCs/>
    </w:rPr>
  </w:style>
  <w:style w:type="paragraph" w:customStyle="1" w:styleId="Default">
    <w:name w:val="Default"/>
    <w:rsid w:val="0030157C"/>
    <w:pPr>
      <w:widowControl w:val="0"/>
      <w:autoSpaceDE w:val="0"/>
      <w:autoSpaceDN w:val="0"/>
      <w:adjustRightInd w:val="0"/>
    </w:pPr>
    <w:rPr>
      <w:rFonts w:ascii="Arial" w:eastAsiaTheme="minorHAnsi" w:hAnsi="Arial" w:cs="Arial"/>
      <w:color w:val="000000"/>
      <w:kern w:val="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015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57C"/>
    <w:pPr>
      <w:jc w:val="left"/>
    </w:pPr>
    <w:rPr>
      <w:rFonts w:ascii="Tahoma" w:hAnsi="Tahoma" w:cs="Tahoma"/>
      <w:sz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57C"/>
    <w:rPr>
      <w:rFonts w:ascii="Tahoma" w:hAnsi="Tahoma" w:cs="Tahom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57C"/>
    <w:rPr>
      <w:rFonts w:ascii="Batang" w:eastAsia="Batan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57C"/>
    <w:rPr>
      <w:rFonts w:ascii="Batang" w:eastAsia="Batang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628</Words>
  <Characters>3781</Characters>
  <Application>Microsoft Office Word</Application>
  <DocSecurity>0</DocSecurity>
  <Lines>236</Lines>
  <Paragraphs>191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사용자</dc:creator>
  <cp:keywords/>
  <dc:description/>
  <cp:lastModifiedBy>TBANIGA</cp:lastModifiedBy>
  <cp:revision>6</cp:revision>
  <dcterms:created xsi:type="dcterms:W3CDTF">2018-08-24T01:55:00Z</dcterms:created>
  <dcterms:modified xsi:type="dcterms:W3CDTF">2018-09-14T08:24:00Z</dcterms:modified>
</cp:coreProperties>
</file>