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65" w:rsidRPr="00D97BA2" w:rsidRDefault="00AA3338" w:rsidP="00D97BA2">
      <w:pPr>
        <w:spacing w:before="0"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Supplemental Information</w:t>
      </w:r>
    </w:p>
    <w:p w:rsidR="004453A2" w:rsidRPr="00D97BA2" w:rsidRDefault="004453A2" w:rsidP="00D97BA2">
      <w:pPr>
        <w:spacing w:before="0" w:after="0"/>
        <w:jc w:val="center"/>
        <w:rPr>
          <w:rFonts w:ascii="Times New Roman" w:hAnsi="Times New Roman" w:cs="Times New Roman"/>
          <w:b/>
          <w:color w:val="000000" w:themeColor="text1"/>
          <w:sz w:val="28"/>
          <w:szCs w:val="28"/>
        </w:rPr>
      </w:pPr>
    </w:p>
    <w:p w:rsidR="002F43A7" w:rsidRDefault="002F43A7" w:rsidP="00D97BA2">
      <w:pPr>
        <w:spacing w:before="0" w:after="0"/>
        <w:jc w:val="center"/>
        <w:rPr>
          <w:rFonts w:ascii="Times New Roman" w:hAnsi="Times New Roman" w:cs="Times New Roman"/>
          <w:b/>
          <w:color w:val="000000" w:themeColor="text1"/>
          <w:sz w:val="28"/>
          <w:szCs w:val="28"/>
        </w:rPr>
      </w:pPr>
      <w:r w:rsidRPr="00D97BA2">
        <w:rPr>
          <w:rFonts w:ascii="Times New Roman" w:hAnsi="Times New Roman" w:cs="Times New Roman"/>
          <w:b/>
          <w:color w:val="000000" w:themeColor="text1"/>
          <w:sz w:val="28"/>
          <w:szCs w:val="28"/>
        </w:rPr>
        <w:t>Effect of venting range hood flow rate on size-resolved ultrafine particle concentrations from gas stove cooking</w:t>
      </w:r>
    </w:p>
    <w:p w:rsidR="0005616F" w:rsidRPr="00D97BA2" w:rsidRDefault="0005616F" w:rsidP="00D97BA2">
      <w:pPr>
        <w:spacing w:before="0" w:after="0"/>
        <w:jc w:val="center"/>
        <w:rPr>
          <w:rFonts w:ascii="Times New Roman" w:hAnsi="Times New Roman" w:cs="Times New Roman"/>
          <w:b/>
          <w:color w:val="000000" w:themeColor="text1"/>
          <w:sz w:val="28"/>
          <w:szCs w:val="28"/>
        </w:rPr>
      </w:pPr>
    </w:p>
    <w:p w:rsidR="0020347A" w:rsidRPr="0005616F" w:rsidRDefault="0020347A" w:rsidP="0020347A">
      <w:pPr>
        <w:spacing w:after="240"/>
        <w:jc w:val="center"/>
        <w:rPr>
          <w:rFonts w:ascii="Times New Roman" w:hAnsi="Times New Roman" w:cs="Times New Roman"/>
          <w:color w:val="000000" w:themeColor="text1"/>
          <w:szCs w:val="24"/>
          <w:vertAlign w:val="superscript"/>
        </w:rPr>
      </w:pPr>
      <w:r w:rsidRPr="0005616F">
        <w:rPr>
          <w:rFonts w:ascii="Times New Roman" w:hAnsi="Times New Roman" w:cs="Times New Roman"/>
          <w:color w:val="000000" w:themeColor="text1"/>
          <w:szCs w:val="24"/>
        </w:rPr>
        <w:t xml:space="preserve">Liu </w:t>
      </w:r>
      <w:proofErr w:type="spellStart"/>
      <w:r w:rsidRPr="0005616F">
        <w:rPr>
          <w:rFonts w:ascii="Times New Roman" w:hAnsi="Times New Roman" w:cs="Times New Roman"/>
          <w:color w:val="000000" w:themeColor="text1"/>
          <w:szCs w:val="24"/>
        </w:rPr>
        <w:t>Sun</w:t>
      </w:r>
      <w:r w:rsidRPr="0005616F">
        <w:rPr>
          <w:rFonts w:ascii="Times New Roman" w:hAnsi="Times New Roman" w:cs="Times New Roman"/>
          <w:color w:val="000000" w:themeColor="text1"/>
          <w:szCs w:val="24"/>
          <w:vertAlign w:val="superscript"/>
        </w:rPr>
        <w:t>a</w:t>
      </w:r>
      <w:proofErr w:type="spellEnd"/>
      <w:r w:rsidRPr="0005616F">
        <w:rPr>
          <w:rFonts w:ascii="Times New Roman" w:hAnsi="Times New Roman" w:cs="Times New Roman"/>
          <w:color w:val="000000" w:themeColor="text1"/>
          <w:szCs w:val="24"/>
        </w:rPr>
        <w:t xml:space="preserve">, Lance A. </w:t>
      </w:r>
      <w:proofErr w:type="spellStart"/>
      <w:r w:rsidRPr="0005616F">
        <w:rPr>
          <w:rFonts w:ascii="Times New Roman" w:hAnsi="Times New Roman" w:cs="Times New Roman"/>
          <w:color w:val="000000" w:themeColor="text1"/>
          <w:szCs w:val="24"/>
        </w:rPr>
        <w:t>Wallace</w:t>
      </w:r>
      <w:r w:rsidRPr="0005616F">
        <w:rPr>
          <w:rFonts w:ascii="Times New Roman" w:hAnsi="Times New Roman" w:cs="Times New Roman"/>
          <w:color w:val="000000" w:themeColor="text1"/>
          <w:szCs w:val="24"/>
          <w:vertAlign w:val="superscript"/>
        </w:rPr>
        <w:t>b</w:t>
      </w:r>
      <w:proofErr w:type="spellEnd"/>
      <w:r w:rsidR="00BD470C"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Nina A. </w:t>
      </w:r>
      <w:proofErr w:type="spellStart"/>
      <w:r w:rsidRPr="0005616F">
        <w:rPr>
          <w:rFonts w:ascii="Times New Roman" w:hAnsi="Times New Roman" w:cs="Times New Roman"/>
          <w:color w:val="000000" w:themeColor="text1"/>
          <w:szCs w:val="24"/>
        </w:rPr>
        <w:t>Dobbin</w:t>
      </w:r>
      <w:r w:rsidRPr="0005616F">
        <w:rPr>
          <w:rFonts w:ascii="Times New Roman" w:hAnsi="Times New Roman" w:cs="Times New Roman"/>
          <w:color w:val="000000" w:themeColor="text1"/>
          <w:szCs w:val="24"/>
          <w:vertAlign w:val="superscript"/>
        </w:rPr>
        <w:t>a</w:t>
      </w:r>
      <w:proofErr w:type="spellEnd"/>
      <w:r w:rsidRPr="0005616F">
        <w:rPr>
          <w:rFonts w:ascii="Times New Roman" w:hAnsi="Times New Roman" w:cs="Times New Roman"/>
          <w:color w:val="000000" w:themeColor="text1"/>
          <w:szCs w:val="24"/>
        </w:rPr>
        <w:t xml:space="preserve">, </w:t>
      </w:r>
      <w:proofErr w:type="spellStart"/>
      <w:r w:rsidRPr="0005616F">
        <w:rPr>
          <w:rFonts w:ascii="Times New Roman" w:hAnsi="Times New Roman" w:cs="Times New Roman"/>
          <w:color w:val="000000" w:themeColor="text1"/>
          <w:szCs w:val="24"/>
        </w:rPr>
        <w:t>Hongyu</w:t>
      </w:r>
      <w:proofErr w:type="spellEnd"/>
      <w:r w:rsidRPr="0005616F">
        <w:rPr>
          <w:rFonts w:ascii="Times New Roman" w:hAnsi="Times New Roman" w:cs="Times New Roman"/>
          <w:color w:val="000000" w:themeColor="text1"/>
          <w:szCs w:val="24"/>
        </w:rPr>
        <w:t xml:space="preserve"> </w:t>
      </w:r>
      <w:proofErr w:type="spellStart"/>
      <w:r w:rsidRPr="0005616F">
        <w:rPr>
          <w:rFonts w:ascii="Times New Roman" w:hAnsi="Times New Roman" w:cs="Times New Roman"/>
          <w:color w:val="000000" w:themeColor="text1"/>
          <w:szCs w:val="24"/>
        </w:rPr>
        <w:t>You</w:t>
      </w:r>
      <w:r w:rsidRPr="0005616F">
        <w:rPr>
          <w:rFonts w:ascii="Times New Roman" w:hAnsi="Times New Roman" w:cs="Times New Roman"/>
          <w:color w:val="000000" w:themeColor="text1"/>
          <w:szCs w:val="24"/>
          <w:vertAlign w:val="superscript"/>
        </w:rPr>
        <w:t>a</w:t>
      </w:r>
      <w:proofErr w:type="spellEnd"/>
      <w:r w:rsidRPr="0005616F">
        <w:rPr>
          <w:rFonts w:ascii="Times New Roman" w:hAnsi="Times New Roman" w:cs="Times New Roman"/>
          <w:color w:val="000000" w:themeColor="text1"/>
          <w:szCs w:val="24"/>
        </w:rPr>
        <w:t xml:space="preserve">, Ryan </w:t>
      </w:r>
      <w:proofErr w:type="spellStart"/>
      <w:r w:rsidRPr="0005616F">
        <w:rPr>
          <w:rFonts w:ascii="Times New Roman" w:hAnsi="Times New Roman" w:cs="Times New Roman"/>
          <w:color w:val="000000" w:themeColor="text1"/>
          <w:szCs w:val="24"/>
        </w:rPr>
        <w:t>Kulka</w:t>
      </w:r>
      <w:r w:rsidRPr="0005616F">
        <w:rPr>
          <w:rFonts w:ascii="Times New Roman" w:hAnsi="Times New Roman" w:cs="Times New Roman"/>
          <w:color w:val="000000" w:themeColor="text1"/>
          <w:szCs w:val="24"/>
          <w:vertAlign w:val="superscript"/>
        </w:rPr>
        <w:t>a</w:t>
      </w:r>
      <w:proofErr w:type="spellEnd"/>
      <w:r w:rsidRPr="0005616F">
        <w:rPr>
          <w:rFonts w:ascii="Times New Roman" w:hAnsi="Times New Roman" w:cs="Times New Roman"/>
          <w:color w:val="000000" w:themeColor="text1"/>
          <w:szCs w:val="24"/>
        </w:rPr>
        <w:t>, Tim Shin</w:t>
      </w:r>
      <w:r w:rsidRPr="0005616F">
        <w:rPr>
          <w:rFonts w:ascii="Times New Roman" w:hAnsi="Times New Roman" w:cs="Times New Roman"/>
          <w:color w:val="000000" w:themeColor="text1"/>
          <w:szCs w:val="24"/>
          <w:vertAlign w:val="superscript"/>
        </w:rPr>
        <w:t>a</w:t>
      </w:r>
      <w:r w:rsidRPr="0005616F">
        <w:rPr>
          <w:rFonts w:ascii="Times New Roman" w:hAnsi="Times New Roman" w:cs="Times New Roman"/>
          <w:color w:val="000000" w:themeColor="text1"/>
          <w:szCs w:val="24"/>
        </w:rPr>
        <w:t>, Melissa St-Jean</w:t>
      </w:r>
      <w:r w:rsidRPr="0005616F">
        <w:rPr>
          <w:rFonts w:ascii="Times New Roman" w:hAnsi="Times New Roman" w:cs="Times New Roman"/>
          <w:color w:val="000000" w:themeColor="text1"/>
          <w:szCs w:val="24"/>
          <w:vertAlign w:val="superscript"/>
        </w:rPr>
        <w:t>a</w:t>
      </w:r>
      <w:r w:rsidRPr="0005616F">
        <w:rPr>
          <w:rFonts w:ascii="Times New Roman" w:hAnsi="Times New Roman" w:cs="Times New Roman"/>
          <w:color w:val="000000" w:themeColor="text1"/>
          <w:szCs w:val="24"/>
        </w:rPr>
        <w:t xml:space="preserve">, Daniel </w:t>
      </w:r>
      <w:proofErr w:type="spellStart"/>
      <w:r w:rsidRPr="0005616F">
        <w:rPr>
          <w:rFonts w:ascii="Times New Roman" w:hAnsi="Times New Roman" w:cs="Times New Roman"/>
          <w:color w:val="000000" w:themeColor="text1"/>
          <w:szCs w:val="24"/>
        </w:rPr>
        <w:t>Aubin</w:t>
      </w:r>
      <w:r w:rsidRPr="0005616F">
        <w:rPr>
          <w:rFonts w:ascii="Times New Roman" w:hAnsi="Times New Roman" w:cs="Times New Roman"/>
          <w:color w:val="000000" w:themeColor="text1"/>
          <w:szCs w:val="24"/>
          <w:vertAlign w:val="superscript"/>
        </w:rPr>
        <w:t>c</w:t>
      </w:r>
      <w:proofErr w:type="spellEnd"/>
      <w:r w:rsidRPr="0005616F">
        <w:rPr>
          <w:rFonts w:ascii="Times New Roman" w:hAnsi="Times New Roman" w:cs="Times New Roman"/>
          <w:color w:val="000000" w:themeColor="text1"/>
          <w:szCs w:val="24"/>
        </w:rPr>
        <w:t xml:space="preserve">, Brett C. </w:t>
      </w:r>
      <w:proofErr w:type="spellStart"/>
      <w:r w:rsidRPr="0005616F">
        <w:rPr>
          <w:rFonts w:ascii="Times New Roman" w:hAnsi="Times New Roman" w:cs="Times New Roman"/>
          <w:color w:val="000000" w:themeColor="text1"/>
          <w:szCs w:val="24"/>
        </w:rPr>
        <w:t>Singer</w:t>
      </w:r>
      <w:r w:rsidRPr="0005616F">
        <w:rPr>
          <w:rFonts w:ascii="Times New Roman" w:hAnsi="Times New Roman" w:cs="Times New Roman"/>
          <w:color w:val="000000" w:themeColor="text1"/>
          <w:szCs w:val="24"/>
          <w:vertAlign w:val="superscript"/>
        </w:rPr>
        <w:t>d</w:t>
      </w:r>
      <w:proofErr w:type="spellEnd"/>
    </w:p>
    <w:p w:rsidR="0020347A" w:rsidRPr="0005616F" w:rsidRDefault="0020347A" w:rsidP="0020347A">
      <w:pPr>
        <w:spacing w:after="240"/>
        <w:jc w:val="left"/>
        <w:rPr>
          <w:rFonts w:ascii="Times New Roman" w:hAnsi="Times New Roman" w:cs="Times New Roman"/>
          <w:color w:val="000000" w:themeColor="text1"/>
          <w:szCs w:val="24"/>
        </w:rPr>
      </w:pPr>
      <w:proofErr w:type="spellStart"/>
      <w:proofErr w:type="gramStart"/>
      <w:r w:rsidRPr="0005616F">
        <w:rPr>
          <w:rFonts w:ascii="Times New Roman" w:hAnsi="Times New Roman" w:cs="Times New Roman"/>
          <w:color w:val="000000" w:themeColor="text1"/>
          <w:szCs w:val="24"/>
          <w:vertAlign w:val="superscript"/>
        </w:rPr>
        <w:t>a</w:t>
      </w:r>
      <w:proofErr w:type="spellEnd"/>
      <w:proofErr w:type="gramEnd"/>
      <w:r w:rsidRPr="0005616F">
        <w:rPr>
          <w:rFonts w:ascii="Times New Roman" w:hAnsi="Times New Roman" w:cs="Times New Roman"/>
          <w:color w:val="000000" w:themeColor="text1"/>
          <w:szCs w:val="24"/>
        </w:rPr>
        <w:t xml:space="preserve"> Air Health Science Division, Water and Air Quality Bureau, Health Canada, Ottawa, ON, Canada</w:t>
      </w:r>
    </w:p>
    <w:p w:rsidR="0020347A" w:rsidRPr="0005616F" w:rsidRDefault="0020347A" w:rsidP="0020347A">
      <w:pPr>
        <w:spacing w:after="240"/>
        <w:jc w:val="left"/>
        <w:rPr>
          <w:rFonts w:ascii="Times New Roman" w:hAnsi="Times New Roman" w:cs="Times New Roman"/>
          <w:color w:val="000000" w:themeColor="text1"/>
          <w:szCs w:val="24"/>
          <w:lang w:val="fr-CA"/>
        </w:rPr>
      </w:pPr>
      <w:proofErr w:type="gramStart"/>
      <w:r w:rsidRPr="0005616F">
        <w:rPr>
          <w:rFonts w:ascii="Times New Roman" w:hAnsi="Times New Roman" w:cs="Times New Roman"/>
          <w:color w:val="000000" w:themeColor="text1"/>
          <w:szCs w:val="24"/>
          <w:vertAlign w:val="superscript"/>
          <w:lang w:val="fr-CA"/>
        </w:rPr>
        <w:t>b</w:t>
      </w:r>
      <w:proofErr w:type="gramEnd"/>
      <w:r w:rsidRPr="0005616F">
        <w:rPr>
          <w:rFonts w:ascii="Times New Roman" w:hAnsi="Times New Roman" w:cs="Times New Roman"/>
          <w:color w:val="000000" w:themeColor="text1"/>
          <w:szCs w:val="24"/>
          <w:lang w:val="fr-CA"/>
        </w:rPr>
        <w:t xml:space="preserve"> Consultant, Santa Rosa, CA, USA</w:t>
      </w:r>
    </w:p>
    <w:p w:rsidR="0020347A" w:rsidRPr="0005616F" w:rsidRDefault="0020347A" w:rsidP="0020347A">
      <w:pPr>
        <w:spacing w:after="240"/>
        <w:jc w:val="left"/>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vertAlign w:val="superscript"/>
        </w:rPr>
        <w:t>c</w:t>
      </w:r>
      <w:r w:rsidRPr="0005616F">
        <w:rPr>
          <w:rFonts w:ascii="Times New Roman" w:hAnsi="Times New Roman" w:cs="Times New Roman"/>
          <w:color w:val="000000" w:themeColor="text1"/>
          <w:szCs w:val="24"/>
        </w:rPr>
        <w:t xml:space="preserve"> Indoor Air Quality Group, NRC Construction Research Centre, National Research Council Canada, Ottawa, ON, Canada</w:t>
      </w:r>
    </w:p>
    <w:p w:rsidR="0020347A" w:rsidRPr="0005616F" w:rsidRDefault="0020347A" w:rsidP="0020347A">
      <w:pPr>
        <w:spacing w:after="240"/>
        <w:jc w:val="left"/>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vertAlign w:val="superscript"/>
        </w:rPr>
        <w:t xml:space="preserve">d </w:t>
      </w:r>
      <w:r w:rsidRPr="0005616F">
        <w:rPr>
          <w:rFonts w:ascii="Times New Roman" w:hAnsi="Times New Roman" w:cs="Times New Roman"/>
          <w:color w:val="000000" w:themeColor="text1"/>
          <w:szCs w:val="24"/>
        </w:rPr>
        <w:t>Indoor Environment Group, Energy Technologies Area, Lawrence Berkeley National Laboratory, Berkeley, CA, USA</w:t>
      </w:r>
    </w:p>
    <w:p w:rsidR="00805109" w:rsidRDefault="00805109" w:rsidP="00D97BA2">
      <w:pPr>
        <w:spacing w:before="0" w:after="0"/>
        <w:jc w:val="left"/>
        <w:rPr>
          <w:rFonts w:ascii="Times New Roman" w:hAnsi="Times New Roman" w:cs="Times New Roman"/>
          <w:color w:val="000000" w:themeColor="text1"/>
          <w:szCs w:val="24"/>
        </w:rPr>
      </w:pPr>
    </w:p>
    <w:p w:rsidR="0005616F" w:rsidRDefault="0005616F" w:rsidP="00D97BA2">
      <w:pPr>
        <w:spacing w:before="0" w:after="0"/>
        <w:jc w:val="left"/>
        <w:rPr>
          <w:rFonts w:ascii="Times New Roman" w:hAnsi="Times New Roman" w:cs="Times New Roman"/>
          <w:color w:val="000000" w:themeColor="text1"/>
          <w:szCs w:val="24"/>
        </w:rPr>
      </w:pPr>
    </w:p>
    <w:p w:rsidR="0005616F" w:rsidRPr="0005616F" w:rsidRDefault="0005616F" w:rsidP="00D97BA2">
      <w:pPr>
        <w:spacing w:before="0" w:after="0"/>
        <w:jc w:val="left"/>
        <w:rPr>
          <w:rFonts w:ascii="Times New Roman" w:hAnsi="Times New Roman" w:cs="Times New Roman"/>
          <w:color w:val="000000" w:themeColor="text1"/>
          <w:szCs w:val="24"/>
        </w:rPr>
      </w:pPr>
    </w:p>
    <w:p w:rsidR="00D97BA2" w:rsidRPr="0005616F" w:rsidRDefault="00D97BA2" w:rsidP="00D97BA2">
      <w:pPr>
        <w:spacing w:before="0" w:after="0"/>
        <w:jc w:val="left"/>
        <w:rPr>
          <w:rFonts w:ascii="Times New Roman" w:hAnsi="Times New Roman" w:cs="Times New Roman"/>
          <w:color w:val="000000" w:themeColor="text1"/>
          <w:szCs w:val="24"/>
        </w:rPr>
      </w:pPr>
    </w:p>
    <w:p w:rsidR="00337645" w:rsidRPr="0005616F" w:rsidRDefault="00337645" w:rsidP="00D97BA2">
      <w:pPr>
        <w:autoSpaceDE w:val="0"/>
        <w:autoSpaceDN w:val="0"/>
        <w:adjustRightInd w:val="0"/>
        <w:spacing w:before="0" w:after="0"/>
        <w:jc w:val="center"/>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t>Corresponding author</w:t>
      </w:r>
    </w:p>
    <w:p w:rsidR="00337645" w:rsidRPr="0005616F" w:rsidRDefault="00337645" w:rsidP="00D97BA2">
      <w:pPr>
        <w:autoSpaceDE w:val="0"/>
        <w:autoSpaceDN w:val="0"/>
        <w:adjustRightInd w:val="0"/>
        <w:spacing w:before="0" w:after="0"/>
        <w:jc w:val="center"/>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Liu Sun</w:t>
      </w:r>
    </w:p>
    <w:p w:rsidR="00337645" w:rsidRPr="0005616F" w:rsidRDefault="00337645" w:rsidP="00D97BA2">
      <w:pPr>
        <w:autoSpaceDE w:val="0"/>
        <w:autoSpaceDN w:val="0"/>
        <w:adjustRightInd w:val="0"/>
        <w:spacing w:before="0" w:after="0"/>
        <w:jc w:val="center"/>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269 Laurier Ave. West, 4903 C, Ottawa</w:t>
      </w:r>
    </w:p>
    <w:p w:rsidR="00337645" w:rsidRPr="0005616F" w:rsidRDefault="00337645" w:rsidP="00D97BA2">
      <w:pPr>
        <w:autoSpaceDE w:val="0"/>
        <w:autoSpaceDN w:val="0"/>
        <w:adjustRightInd w:val="0"/>
        <w:spacing w:before="0" w:after="0"/>
        <w:jc w:val="center"/>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 Ontario, Canada, K1A0K9</w:t>
      </w:r>
    </w:p>
    <w:p w:rsidR="00337645" w:rsidRPr="0005616F" w:rsidRDefault="00337645" w:rsidP="00D97BA2">
      <w:pPr>
        <w:autoSpaceDE w:val="0"/>
        <w:autoSpaceDN w:val="0"/>
        <w:adjustRightInd w:val="0"/>
        <w:spacing w:before="0" w:after="0"/>
        <w:jc w:val="center"/>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Phone: +1 613-941-0316</w:t>
      </w:r>
    </w:p>
    <w:p w:rsidR="00337645" w:rsidRPr="0005616F" w:rsidRDefault="00337645" w:rsidP="00D97BA2">
      <w:pPr>
        <w:autoSpaceDE w:val="0"/>
        <w:autoSpaceDN w:val="0"/>
        <w:adjustRightInd w:val="0"/>
        <w:spacing w:before="0" w:after="0"/>
        <w:jc w:val="center"/>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Email: liu.sun@canada.ca</w:t>
      </w:r>
    </w:p>
    <w:p w:rsidR="00805109" w:rsidRPr="0005616F" w:rsidRDefault="00805109" w:rsidP="00805109">
      <w:pPr>
        <w:spacing w:before="120" w:line="480" w:lineRule="auto"/>
        <w:jc w:val="left"/>
        <w:rPr>
          <w:rFonts w:ascii="Times New Roman" w:hAnsi="Times New Roman" w:cs="Times New Roman"/>
          <w:color w:val="000000" w:themeColor="text1"/>
          <w:szCs w:val="24"/>
        </w:rPr>
      </w:pPr>
    </w:p>
    <w:p w:rsidR="00D97BA2" w:rsidRDefault="00D97BA2" w:rsidP="00805109">
      <w:pPr>
        <w:spacing w:before="120" w:line="480" w:lineRule="auto"/>
        <w:jc w:val="left"/>
        <w:rPr>
          <w:rFonts w:ascii="Times New Roman" w:hAnsi="Times New Roman" w:cs="Times New Roman"/>
          <w:color w:val="000000" w:themeColor="text1"/>
        </w:rPr>
      </w:pPr>
    </w:p>
    <w:p w:rsidR="0005616F" w:rsidRDefault="0005616F" w:rsidP="00805109">
      <w:pPr>
        <w:spacing w:before="120" w:line="480" w:lineRule="auto"/>
        <w:jc w:val="left"/>
        <w:rPr>
          <w:rFonts w:ascii="Times New Roman" w:hAnsi="Times New Roman" w:cs="Times New Roman"/>
          <w:color w:val="000000" w:themeColor="text1"/>
        </w:rPr>
      </w:pPr>
    </w:p>
    <w:p w:rsidR="008B42CE" w:rsidRPr="009D752B" w:rsidRDefault="008B42CE" w:rsidP="00C87617">
      <w:pPr>
        <w:keepNext/>
        <w:autoSpaceDE w:val="0"/>
        <w:autoSpaceDN w:val="0"/>
        <w:adjustRightInd w:val="0"/>
        <w:spacing w:line="480" w:lineRule="auto"/>
        <w:jc w:val="center"/>
        <w:rPr>
          <w:rFonts w:cs="Arial"/>
        </w:rPr>
      </w:pPr>
      <w:r>
        <w:rPr>
          <w:rFonts w:cs="Arial"/>
          <w:noProof/>
        </w:rPr>
        <w:lastRenderedPageBreak/>
        <w:drawing>
          <wp:inline distT="0" distB="0" distL="0" distR="0" wp14:anchorId="5AE4EC71" wp14:editId="1B4F9C1F">
            <wp:extent cx="5943600" cy="6027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027420"/>
                    </a:xfrm>
                    <a:prstGeom prst="rect">
                      <a:avLst/>
                    </a:prstGeom>
                    <a:noFill/>
                    <a:ln>
                      <a:noFill/>
                    </a:ln>
                  </pic:spPr>
                </pic:pic>
              </a:graphicData>
            </a:graphic>
          </wp:inline>
        </w:drawing>
      </w:r>
    </w:p>
    <w:p w:rsidR="00FE578D" w:rsidRDefault="00C87617" w:rsidP="00C87617">
      <w:pPr>
        <w:spacing w:before="0" w:after="240" w:line="240" w:lineRule="auto"/>
        <w:rPr>
          <w:rFonts w:ascii="Times New Roman" w:hAnsi="Times New Roman" w:cs="Times New Roman"/>
          <w:b/>
          <w:color w:val="000000" w:themeColor="text1"/>
          <w:szCs w:val="24"/>
        </w:rPr>
      </w:pPr>
      <w:r w:rsidRPr="0041222D">
        <w:rPr>
          <w:rFonts w:ascii="Times New Roman" w:hAnsi="Times New Roman" w:cs="Times New Roman"/>
          <w:b/>
          <w:color w:val="000000" w:themeColor="text1"/>
          <w:szCs w:val="24"/>
        </w:rPr>
        <w:t xml:space="preserve">Figure </w:t>
      </w:r>
      <w:r>
        <w:rPr>
          <w:rFonts w:ascii="Times New Roman" w:hAnsi="Times New Roman" w:cs="Times New Roman"/>
          <w:b/>
          <w:color w:val="000000" w:themeColor="text1"/>
          <w:szCs w:val="24"/>
        </w:rPr>
        <w:t>S1.</w:t>
      </w:r>
      <w:r w:rsidRPr="0041222D">
        <w:rPr>
          <w:rFonts w:ascii="Times New Roman" w:hAnsi="Times New Roman" w:cs="Times New Roman"/>
          <w:b/>
          <w:color w:val="000000" w:themeColor="text1"/>
          <w:szCs w:val="24"/>
        </w:rPr>
        <w:t xml:space="preserve"> Floorplan of the main floor of both test homes. The location of the gas stove</w:t>
      </w:r>
      <w:r w:rsidR="0063132A">
        <w:rPr>
          <w:rFonts w:ascii="Times New Roman" w:hAnsi="Times New Roman" w:cs="Times New Roman"/>
          <w:b/>
          <w:color w:val="000000" w:themeColor="text1"/>
          <w:szCs w:val="24"/>
        </w:rPr>
        <w:t xml:space="preserve"> and range hood</w:t>
      </w:r>
      <w:r w:rsidRPr="0041222D">
        <w:rPr>
          <w:rFonts w:ascii="Times New Roman" w:hAnsi="Times New Roman" w:cs="Times New Roman"/>
          <w:b/>
          <w:color w:val="000000" w:themeColor="text1"/>
          <w:szCs w:val="24"/>
        </w:rPr>
        <w:t xml:space="preserve"> is indicated by the </w:t>
      </w:r>
      <w:r w:rsidR="008B42CE">
        <w:rPr>
          <w:rFonts w:ascii="Times New Roman" w:hAnsi="Times New Roman" w:cs="Times New Roman"/>
          <w:b/>
          <w:color w:val="000000" w:themeColor="text1"/>
          <w:szCs w:val="24"/>
        </w:rPr>
        <w:t>green</w:t>
      </w:r>
      <w:r w:rsidRPr="0041222D">
        <w:rPr>
          <w:rFonts w:ascii="Times New Roman" w:hAnsi="Times New Roman" w:cs="Times New Roman"/>
          <w:b/>
          <w:color w:val="000000" w:themeColor="text1"/>
          <w:szCs w:val="24"/>
        </w:rPr>
        <w:t xml:space="preserve"> rectangle. The monitoring equipment was placed on a table next to the kitchen island, indicated by the red </w:t>
      </w:r>
      <w:r w:rsidR="008B42CE" w:rsidRPr="0041222D">
        <w:rPr>
          <w:rFonts w:ascii="Times New Roman" w:hAnsi="Times New Roman" w:cs="Times New Roman"/>
          <w:b/>
          <w:color w:val="000000" w:themeColor="text1"/>
          <w:szCs w:val="24"/>
        </w:rPr>
        <w:t>rectangle</w:t>
      </w:r>
      <w:r w:rsidRPr="0041222D">
        <w:rPr>
          <w:rFonts w:ascii="Times New Roman" w:hAnsi="Times New Roman" w:cs="Times New Roman"/>
          <w:b/>
          <w:color w:val="000000" w:themeColor="text1"/>
          <w:szCs w:val="24"/>
        </w:rPr>
        <w:t xml:space="preserve">, about </w:t>
      </w:r>
      <w:r>
        <w:rPr>
          <w:rFonts w:ascii="Times New Roman" w:hAnsi="Times New Roman" w:cs="Times New Roman"/>
          <w:b/>
          <w:color w:val="000000" w:themeColor="text1"/>
          <w:szCs w:val="24"/>
        </w:rPr>
        <w:t>three</w:t>
      </w:r>
      <w:r w:rsidRPr="0041222D">
        <w:rPr>
          <w:rFonts w:ascii="Times New Roman" w:hAnsi="Times New Roman" w:cs="Times New Roman"/>
          <w:b/>
          <w:color w:val="000000" w:themeColor="text1"/>
          <w:szCs w:val="24"/>
        </w:rPr>
        <w:t xml:space="preserve"> meters away from the gas stove.</w:t>
      </w:r>
    </w:p>
    <w:p w:rsidR="00FE578D" w:rsidRDefault="00FE578D">
      <w:pPr>
        <w:spacing w:before="0" w:after="200" w:line="276" w:lineRule="auto"/>
        <w:jc w:val="left"/>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rsidR="00286EB4" w:rsidRPr="0005616F" w:rsidRDefault="0020347A" w:rsidP="00D97BA2">
      <w:pPr>
        <w:spacing w:before="0" w:after="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lastRenderedPageBreak/>
        <w:t>C</w:t>
      </w:r>
      <w:r w:rsidR="00286EB4" w:rsidRPr="0005616F">
        <w:rPr>
          <w:rFonts w:ascii="Times New Roman" w:hAnsi="Times New Roman" w:cs="Times New Roman"/>
          <w:b/>
          <w:color w:val="000000" w:themeColor="text1"/>
          <w:szCs w:val="24"/>
        </w:rPr>
        <w:t>alculation of volume flow rate</w:t>
      </w:r>
    </w:p>
    <w:p w:rsidR="00D97BA2" w:rsidRPr="0005616F" w:rsidRDefault="00D97BA2" w:rsidP="00D97BA2">
      <w:pPr>
        <w:spacing w:before="0" w:after="0" w:line="240" w:lineRule="auto"/>
        <w:rPr>
          <w:rFonts w:ascii="Times New Roman" w:hAnsi="Times New Roman" w:cs="Times New Roman"/>
          <w:b/>
          <w:color w:val="000000" w:themeColor="text1"/>
          <w:szCs w:val="24"/>
        </w:rPr>
      </w:pPr>
    </w:p>
    <w:p w:rsidR="00286EB4" w:rsidRPr="0005616F" w:rsidRDefault="00286EB4" w:rsidP="00D97BA2">
      <w:pPr>
        <w:spacing w:before="0" w:after="0" w:line="240" w:lineRule="auto"/>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Experimental volume flow rate was calculated as: </w:t>
      </w:r>
    </w:p>
    <w:p w:rsidR="00286EB4" w:rsidRPr="0005616F" w:rsidRDefault="00DD4265" w:rsidP="00D97BA2">
      <w:pPr>
        <w:spacing w:before="120" w:line="240" w:lineRule="auto"/>
        <w:jc w:val="center"/>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794F34"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 xml:space="preserve"> F</m:t>
            </m:r>
          </m:e>
          <m:sub>
            <m:r>
              <w:rPr>
                <w:rFonts w:ascii="Cambria Math" w:hAnsi="Cambria Math" w:cs="Times New Roman"/>
                <w:color w:val="000000" w:themeColor="text1"/>
                <w:szCs w:val="24"/>
              </w:rPr>
              <m:t>experiment</m:t>
            </m:r>
          </m:sub>
        </m:sSub>
        <m:r>
          <w:rPr>
            <w:rFonts w:ascii="Cambria Math" w:hAnsi="Cambria Math" w:cs="Times New Roman"/>
            <w:color w:val="000000" w:themeColor="text1"/>
            <w:szCs w:val="24"/>
          </w:rPr>
          <m:t xml:space="preserve">= α v </m:t>
        </m:r>
      </m:oMath>
      <w:r w:rsidR="00286EB4"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00794F34"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00DD5F36" w:rsidRPr="0005616F">
        <w:rPr>
          <w:rFonts w:ascii="Times New Roman" w:hAnsi="Times New Roman" w:cs="Times New Roman"/>
          <w:color w:val="000000" w:themeColor="text1"/>
          <w:szCs w:val="24"/>
        </w:rPr>
        <w:t>[</w:t>
      </w:r>
      <w:r w:rsidR="00FE578D">
        <w:rPr>
          <w:rFonts w:ascii="Times New Roman" w:hAnsi="Times New Roman" w:cs="Times New Roman"/>
          <w:color w:val="000000" w:themeColor="text1"/>
          <w:szCs w:val="24"/>
        </w:rPr>
        <w:t>S</w:t>
      </w:r>
      <w:r w:rsidRPr="0005616F">
        <w:rPr>
          <w:rFonts w:ascii="Times New Roman" w:hAnsi="Times New Roman" w:cs="Times New Roman"/>
          <w:color w:val="000000" w:themeColor="text1"/>
          <w:szCs w:val="24"/>
        </w:rPr>
        <w:t>1</w:t>
      </w:r>
      <w:r w:rsidR="00DD5F36" w:rsidRPr="0005616F">
        <w:rPr>
          <w:rFonts w:ascii="Times New Roman" w:hAnsi="Times New Roman" w:cs="Times New Roman"/>
          <w:color w:val="000000" w:themeColor="text1"/>
          <w:szCs w:val="24"/>
        </w:rPr>
        <w:t>]</w:t>
      </w:r>
    </w:p>
    <w:p w:rsidR="00286EB4" w:rsidRPr="0005616F" w:rsidRDefault="00286EB4" w:rsidP="00D97BA2">
      <w:pPr>
        <w:spacing w:before="0" w:after="0" w:line="240" w:lineRule="auto"/>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where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experiment</m:t>
            </m:r>
          </m:sub>
        </m:sSub>
      </m:oMath>
      <w:r w:rsidRPr="0005616F">
        <w:rPr>
          <w:rFonts w:ascii="Times New Roman" w:hAnsi="Times New Roman" w:cs="Times New Roman"/>
          <w:color w:val="000000" w:themeColor="text1"/>
          <w:szCs w:val="24"/>
        </w:rPr>
        <w:t xml:space="preserve"> is the experimental volume flow rate (m</w:t>
      </w:r>
      <w:r w:rsidRPr="0005616F">
        <w:rPr>
          <w:rFonts w:ascii="Times New Roman" w:hAnsi="Times New Roman" w:cs="Times New Roman"/>
          <w:color w:val="000000" w:themeColor="text1"/>
          <w:szCs w:val="24"/>
          <w:vertAlign w:val="superscript"/>
        </w:rPr>
        <w:t>3</w:t>
      </w:r>
      <w:r w:rsidRPr="0005616F">
        <w:rPr>
          <w:rFonts w:ascii="Times New Roman" w:hAnsi="Times New Roman" w:cs="Times New Roman"/>
          <w:color w:val="000000" w:themeColor="text1"/>
          <w:szCs w:val="24"/>
        </w:rPr>
        <w:t xml:space="preserve">/h), </w:t>
      </w:r>
      <m:oMath>
        <m:r>
          <w:rPr>
            <w:rFonts w:ascii="Cambria Math" w:hAnsi="Cambria Math" w:cs="Times New Roman"/>
            <w:color w:val="000000" w:themeColor="text1"/>
            <w:szCs w:val="24"/>
          </w:rPr>
          <m:t>α</m:t>
        </m:r>
      </m:oMath>
      <w:r w:rsidRPr="0005616F">
        <w:rPr>
          <w:rFonts w:ascii="Times New Roman" w:hAnsi="Times New Roman" w:cs="Times New Roman"/>
          <w:color w:val="000000" w:themeColor="text1"/>
          <w:szCs w:val="24"/>
        </w:rPr>
        <w:t xml:space="preserve"> is the measured air exchange rate (h</w:t>
      </w:r>
      <w:r w:rsidRPr="0005616F">
        <w:rPr>
          <w:rFonts w:ascii="Times New Roman" w:hAnsi="Times New Roman" w:cs="Times New Roman"/>
          <w:color w:val="000000" w:themeColor="text1"/>
          <w:szCs w:val="24"/>
          <w:vertAlign w:val="superscript"/>
        </w:rPr>
        <w:t>-1</w:t>
      </w:r>
      <w:r w:rsidRPr="0005616F">
        <w:rPr>
          <w:rFonts w:ascii="Times New Roman" w:hAnsi="Times New Roman" w:cs="Times New Roman"/>
          <w:color w:val="000000" w:themeColor="text1"/>
          <w:szCs w:val="24"/>
        </w:rPr>
        <w:t xml:space="preserve">) and </w:t>
      </w:r>
      <m:oMath>
        <m:r>
          <w:rPr>
            <w:rFonts w:ascii="Cambria Math" w:hAnsi="Cambria Math" w:cs="Times New Roman"/>
            <w:color w:val="000000" w:themeColor="text1"/>
            <w:szCs w:val="24"/>
          </w:rPr>
          <m:t>v</m:t>
        </m:r>
      </m:oMath>
      <w:r w:rsidRPr="0005616F">
        <w:rPr>
          <w:rFonts w:ascii="Times New Roman" w:hAnsi="Times New Roman" w:cs="Times New Roman"/>
          <w:color w:val="000000" w:themeColor="text1"/>
          <w:szCs w:val="24"/>
        </w:rPr>
        <w:t xml:space="preserve"> is the mixing volume (m</w:t>
      </w:r>
      <w:r w:rsidRPr="0005616F">
        <w:rPr>
          <w:rFonts w:ascii="Times New Roman" w:hAnsi="Times New Roman" w:cs="Times New Roman"/>
          <w:color w:val="000000" w:themeColor="text1"/>
          <w:szCs w:val="24"/>
          <w:vertAlign w:val="superscript"/>
        </w:rPr>
        <w:t>3</w:t>
      </w:r>
      <w:r w:rsidRPr="0005616F">
        <w:rPr>
          <w:rFonts w:ascii="Times New Roman" w:hAnsi="Times New Roman" w:cs="Times New Roman"/>
          <w:color w:val="000000" w:themeColor="text1"/>
          <w:szCs w:val="24"/>
        </w:rPr>
        <w:t>).</w:t>
      </w:r>
    </w:p>
    <w:p w:rsidR="00D97BA2" w:rsidRPr="0005616F" w:rsidRDefault="00D97BA2" w:rsidP="00D97BA2">
      <w:pPr>
        <w:spacing w:before="0" w:after="0" w:line="240" w:lineRule="auto"/>
        <w:rPr>
          <w:rFonts w:ascii="Times New Roman" w:hAnsi="Times New Roman" w:cs="Times New Roman"/>
          <w:color w:val="000000" w:themeColor="text1"/>
          <w:szCs w:val="24"/>
        </w:rPr>
      </w:pPr>
    </w:p>
    <w:p w:rsidR="00286EB4" w:rsidRPr="0005616F" w:rsidRDefault="00286EB4" w:rsidP="00D97BA2">
      <w:pPr>
        <w:spacing w:before="0" w:after="0" w:line="240" w:lineRule="auto"/>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The volume flow rate calculated using the LBL method</w:t>
      </w:r>
      <w:r w:rsidR="00885E4E" w:rsidRPr="0005616F">
        <w:rPr>
          <w:rFonts w:ascii="Times New Roman" w:hAnsi="Times New Roman" w:cs="Times New Roman"/>
          <w:color w:val="000000" w:themeColor="text1"/>
          <w:szCs w:val="24"/>
        </w:rPr>
        <w:t xml:space="preserve"> </w:t>
      </w:r>
      <w:r w:rsidR="00F66AF3" w:rsidRPr="0005616F">
        <w:rPr>
          <w:rFonts w:ascii="Times New Roman" w:hAnsi="Times New Roman" w:cs="Times New Roman"/>
          <w:color w:val="000000" w:themeColor="text1"/>
          <w:szCs w:val="24"/>
        </w:rPr>
        <w:t>(Sherman 1992)</w:t>
      </w:r>
      <w:r w:rsidRPr="0005616F">
        <w:rPr>
          <w:rFonts w:ascii="Times New Roman" w:hAnsi="Times New Roman" w:cs="Times New Roman"/>
          <w:color w:val="000000" w:themeColor="text1"/>
          <w:szCs w:val="24"/>
        </w:rPr>
        <w:t>:</w:t>
      </w:r>
    </w:p>
    <w:p w:rsidR="00286EB4" w:rsidRDefault="00DD4265" w:rsidP="00D97BA2">
      <w:pPr>
        <w:spacing w:before="120" w:line="240" w:lineRule="auto"/>
        <w:jc w:val="center"/>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LBL</m:t>
            </m:r>
          </m:sub>
        </m:sSub>
        <m:r>
          <w:rPr>
            <w:rFonts w:ascii="Cambria Math" w:hAnsi="Cambria Math" w:cs="Times New Roman"/>
            <w:color w:val="000000" w:themeColor="text1"/>
            <w:szCs w:val="24"/>
          </w:rPr>
          <m:t>=</m:t>
        </m:r>
        <m:rad>
          <m:radPr>
            <m:degHide m:val="1"/>
            <m:ctrlPr>
              <w:rPr>
                <w:rFonts w:ascii="Cambria Math" w:hAnsi="Cambria Math" w:cs="Times New Roman"/>
                <w:i/>
                <w:color w:val="000000" w:themeColor="text1"/>
                <w:szCs w:val="24"/>
              </w:rPr>
            </m:ctrlPr>
          </m:radPr>
          <m:deg/>
          <m:e>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α</m:t>
                    </m:r>
                  </m:e>
                  <m:sub>
                    <m:r>
                      <w:rPr>
                        <w:rFonts w:ascii="Cambria Math" w:hAnsi="Cambria Math" w:cs="Times New Roman"/>
                        <w:color w:val="000000" w:themeColor="text1"/>
                        <w:szCs w:val="24"/>
                      </w:rPr>
                      <m:t>inf</m:t>
                    </m:r>
                  </m:sub>
                </m:sSub>
                <m:r>
                  <w:rPr>
                    <w:rFonts w:ascii="Cambria Math" w:hAnsi="Cambria Math" w:cs="Times New Roman"/>
                    <w:color w:val="000000" w:themeColor="text1"/>
                    <w:szCs w:val="24"/>
                  </w:rPr>
                  <m:t>v)</m:t>
                </m:r>
              </m:e>
              <m:sup>
                <m:r>
                  <w:rPr>
                    <w:rFonts w:ascii="Cambria Math" w:hAnsi="Cambria Math" w:cs="Times New Roman"/>
                    <w:color w:val="000000" w:themeColor="text1"/>
                    <w:szCs w:val="24"/>
                  </w:rPr>
                  <m:t>2</m:t>
                </m:r>
              </m:sup>
            </m:sSup>
            <m:r>
              <w:rPr>
                <w:rFonts w:ascii="Cambria Math" w:hAnsi="Cambria Math" w:cs="Times New Roman"/>
                <w:color w:val="000000" w:themeColor="text1"/>
                <w:szCs w:val="24"/>
              </w:rPr>
              <m:t>+</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fan</m:t>
                    </m:r>
                  </m:sub>
                </m:sSub>
                <m:r>
                  <w:rPr>
                    <w:rFonts w:ascii="Cambria Math" w:hAnsi="Cambria Math" w:cs="Times New Roman"/>
                    <w:color w:val="000000" w:themeColor="text1"/>
                    <w:szCs w:val="24"/>
                  </w:rPr>
                  <m:t>)</m:t>
                </m:r>
              </m:e>
              <m:sup>
                <m:r>
                  <w:rPr>
                    <w:rFonts w:ascii="Cambria Math" w:hAnsi="Cambria Math" w:cs="Times New Roman"/>
                    <w:color w:val="000000" w:themeColor="text1"/>
                    <w:szCs w:val="24"/>
                  </w:rPr>
                  <m:t>2</m:t>
                </m:r>
              </m:sup>
            </m:sSup>
          </m:e>
        </m:rad>
        <m:r>
          <w:rPr>
            <w:rFonts w:ascii="Cambria Math" w:hAnsi="Cambria Math" w:cs="Times New Roman"/>
            <w:color w:val="000000" w:themeColor="text1"/>
            <w:szCs w:val="24"/>
          </w:rPr>
          <m:t xml:space="preserve"> </m:t>
        </m:r>
      </m:oMath>
      <w:r w:rsidRPr="0005616F">
        <w:rPr>
          <w:rFonts w:ascii="Times New Roman" w:hAnsi="Times New Roman" w:cs="Times New Roman"/>
          <w:color w:val="000000" w:themeColor="text1"/>
          <w:szCs w:val="24"/>
        </w:rPr>
        <w:t xml:space="preserve">                    </w:t>
      </w:r>
      <w:r w:rsidR="00794F34"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DD5F36" w:rsidRPr="0005616F">
        <w:rPr>
          <w:rFonts w:ascii="Times New Roman" w:hAnsi="Times New Roman" w:cs="Times New Roman"/>
          <w:color w:val="000000" w:themeColor="text1"/>
          <w:szCs w:val="24"/>
        </w:rPr>
        <w:t>[</w:t>
      </w:r>
      <w:r w:rsidR="00FE578D">
        <w:rPr>
          <w:rFonts w:ascii="Times New Roman" w:hAnsi="Times New Roman" w:cs="Times New Roman"/>
          <w:color w:val="000000" w:themeColor="text1"/>
          <w:szCs w:val="24"/>
        </w:rPr>
        <w:t>S</w:t>
      </w:r>
      <w:r w:rsidRPr="0005616F">
        <w:rPr>
          <w:rFonts w:ascii="Times New Roman" w:hAnsi="Times New Roman" w:cs="Times New Roman"/>
          <w:color w:val="000000" w:themeColor="text1"/>
          <w:szCs w:val="24"/>
        </w:rPr>
        <w:t>2</w:t>
      </w:r>
      <w:r w:rsidR="00DD5F36" w:rsidRPr="0005616F">
        <w:rPr>
          <w:rFonts w:ascii="Times New Roman" w:hAnsi="Times New Roman" w:cs="Times New Roman"/>
          <w:color w:val="000000" w:themeColor="text1"/>
          <w:szCs w:val="24"/>
        </w:rPr>
        <w:t>]</w:t>
      </w:r>
    </w:p>
    <w:p w:rsidR="00286EB4" w:rsidRPr="0005616F" w:rsidRDefault="00286EB4" w:rsidP="00D97BA2">
      <w:pPr>
        <w:spacing w:before="0" w:after="0" w:line="240" w:lineRule="auto"/>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where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α</m:t>
            </m:r>
          </m:e>
          <m:sub>
            <m:r>
              <w:rPr>
                <w:rFonts w:ascii="Cambria Math" w:hAnsi="Cambria Math" w:cs="Times New Roman"/>
                <w:color w:val="000000" w:themeColor="text1"/>
                <w:szCs w:val="24"/>
              </w:rPr>
              <m:t>inf</m:t>
            </m:r>
          </m:sub>
        </m:sSub>
      </m:oMath>
      <w:r w:rsidRPr="0005616F">
        <w:rPr>
          <w:rFonts w:ascii="Times New Roman" w:hAnsi="Times New Roman" w:cs="Times New Roman"/>
          <w:color w:val="000000" w:themeColor="text1"/>
          <w:szCs w:val="24"/>
        </w:rPr>
        <w:t xml:space="preserve"> is the house infiltration rate (h</w:t>
      </w:r>
      <w:r w:rsidRPr="0005616F">
        <w:rPr>
          <w:rFonts w:ascii="Times New Roman" w:hAnsi="Times New Roman" w:cs="Times New Roman"/>
          <w:color w:val="000000" w:themeColor="text1"/>
          <w:szCs w:val="24"/>
          <w:vertAlign w:val="superscript"/>
        </w:rPr>
        <w:t>-1</w:t>
      </w:r>
      <w:r w:rsidRPr="0005616F">
        <w:rPr>
          <w:rFonts w:ascii="Times New Roman" w:hAnsi="Times New Roman" w:cs="Times New Roman"/>
          <w:color w:val="000000" w:themeColor="text1"/>
          <w:szCs w:val="24"/>
        </w:rPr>
        <w:t xml:space="preserve">), and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fan</m:t>
            </m:r>
          </m:sub>
        </m:sSub>
      </m:oMath>
      <w:r w:rsidRPr="0005616F">
        <w:rPr>
          <w:rFonts w:ascii="Times New Roman" w:hAnsi="Times New Roman" w:cs="Times New Roman"/>
          <w:color w:val="000000" w:themeColor="text1"/>
          <w:szCs w:val="24"/>
        </w:rPr>
        <w:t xml:space="preserve"> is the range hood air flow rate (m</w:t>
      </w:r>
      <w:r w:rsidRPr="0005616F">
        <w:rPr>
          <w:rFonts w:ascii="Times New Roman" w:hAnsi="Times New Roman" w:cs="Times New Roman"/>
          <w:color w:val="000000" w:themeColor="text1"/>
          <w:szCs w:val="24"/>
          <w:vertAlign w:val="superscript"/>
        </w:rPr>
        <w:t>3</w:t>
      </w:r>
      <w:r w:rsidRPr="0005616F">
        <w:rPr>
          <w:rFonts w:ascii="Times New Roman" w:hAnsi="Times New Roman" w:cs="Times New Roman"/>
          <w:color w:val="000000" w:themeColor="text1"/>
          <w:szCs w:val="24"/>
        </w:rPr>
        <w:t>/h).</w:t>
      </w:r>
    </w:p>
    <w:p w:rsidR="00D97BA2" w:rsidRPr="0005616F" w:rsidRDefault="00D97BA2" w:rsidP="00D97BA2">
      <w:pPr>
        <w:spacing w:before="0" w:after="0" w:line="240" w:lineRule="auto"/>
        <w:rPr>
          <w:rFonts w:ascii="Times New Roman" w:hAnsi="Times New Roman" w:cs="Times New Roman"/>
          <w:color w:val="000000" w:themeColor="text1"/>
          <w:szCs w:val="24"/>
        </w:rPr>
      </w:pPr>
    </w:p>
    <w:p w:rsidR="00286EB4" w:rsidRPr="0005616F" w:rsidRDefault="00286EB4" w:rsidP="00D97BA2">
      <w:pPr>
        <w:spacing w:before="0" w:after="0" w:line="240" w:lineRule="auto"/>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The volume flow rate calculated using the </w:t>
      </w:r>
      <w:proofErr w:type="spellStart"/>
      <w:r w:rsidRPr="0005616F">
        <w:rPr>
          <w:rFonts w:ascii="Times New Roman" w:hAnsi="Times New Roman" w:cs="Times New Roman"/>
          <w:color w:val="000000" w:themeColor="text1"/>
          <w:szCs w:val="24"/>
        </w:rPr>
        <w:t>Palmiter</w:t>
      </w:r>
      <w:proofErr w:type="spellEnd"/>
      <w:r w:rsidRPr="0005616F">
        <w:rPr>
          <w:rFonts w:ascii="Times New Roman" w:hAnsi="Times New Roman" w:cs="Times New Roman"/>
          <w:color w:val="000000" w:themeColor="text1"/>
          <w:szCs w:val="24"/>
        </w:rPr>
        <w:t xml:space="preserve"> and Bond method</w:t>
      </w:r>
      <w:r w:rsidR="00535BC2" w:rsidRPr="0005616F">
        <w:rPr>
          <w:rFonts w:ascii="Times New Roman" w:hAnsi="Times New Roman" w:cs="Times New Roman"/>
          <w:color w:val="000000" w:themeColor="text1"/>
          <w:szCs w:val="24"/>
        </w:rPr>
        <w:t xml:space="preserve"> </w:t>
      </w:r>
      <w:r w:rsidR="00F66AF3" w:rsidRPr="0005616F">
        <w:rPr>
          <w:rFonts w:ascii="Times New Roman" w:hAnsi="Times New Roman" w:cs="Times New Roman"/>
          <w:color w:val="000000" w:themeColor="text1"/>
          <w:szCs w:val="24"/>
        </w:rPr>
        <w:t>(</w:t>
      </w:r>
      <w:proofErr w:type="spellStart"/>
      <w:r w:rsidR="00F66AF3" w:rsidRPr="0005616F">
        <w:rPr>
          <w:rFonts w:ascii="Times New Roman" w:hAnsi="Times New Roman" w:cs="Times New Roman"/>
          <w:color w:val="000000" w:themeColor="text1"/>
          <w:szCs w:val="24"/>
        </w:rPr>
        <w:t>Palmiter</w:t>
      </w:r>
      <w:proofErr w:type="spellEnd"/>
      <w:r w:rsidR="00F66AF3" w:rsidRPr="0005616F">
        <w:rPr>
          <w:rFonts w:ascii="Times New Roman" w:hAnsi="Times New Roman" w:cs="Times New Roman"/>
          <w:color w:val="000000" w:themeColor="text1"/>
          <w:szCs w:val="24"/>
        </w:rPr>
        <w:t xml:space="preserve"> and Bond 1991)</w:t>
      </w:r>
      <w:r w:rsidRPr="0005616F">
        <w:rPr>
          <w:rFonts w:ascii="Times New Roman" w:hAnsi="Times New Roman" w:cs="Times New Roman"/>
          <w:color w:val="000000" w:themeColor="text1"/>
          <w:szCs w:val="24"/>
        </w:rPr>
        <w:t>:</w:t>
      </w:r>
    </w:p>
    <w:p w:rsidR="00286EB4" w:rsidRPr="0005616F" w:rsidRDefault="00DD4265" w:rsidP="00D97BA2">
      <w:pPr>
        <w:spacing w:before="120" w:line="240" w:lineRule="auto"/>
        <w:jc w:val="center"/>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Palmiter</m:t>
            </m:r>
          </m:sub>
        </m:sSub>
        <m:r>
          <w:rPr>
            <w:rFonts w:ascii="Cambria Math" w:hAnsi="Cambria Math" w:cs="Times New Roman"/>
            <w:color w:val="000000" w:themeColor="text1"/>
            <w:szCs w:val="24"/>
          </w:rPr>
          <m:t xml:space="preserve">= </m:t>
        </m:r>
        <m:d>
          <m:dPr>
            <m:begChr m:val="{"/>
            <m:endChr m:val=""/>
            <m:ctrlPr>
              <w:rPr>
                <w:rFonts w:ascii="Cambria Math" w:hAnsi="Cambria Math" w:cs="Times New Roman"/>
                <w:i/>
                <w:color w:val="000000" w:themeColor="text1"/>
                <w:szCs w:val="24"/>
              </w:rPr>
            </m:ctrlPr>
          </m:dPr>
          <m:e>
            <m:eqArr>
              <m:eqArrPr>
                <m:ctrlPr>
                  <w:rPr>
                    <w:rFonts w:ascii="Cambria Math" w:hAnsi="Cambria Math" w:cs="Times New Roman"/>
                    <w:i/>
                    <w:color w:val="000000" w:themeColor="text1"/>
                    <w:szCs w:val="24"/>
                  </w:rPr>
                </m:ctrlPr>
              </m:eqArrPr>
              <m:e>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 xml:space="preserve">fan </m:t>
                    </m:r>
                  </m:sub>
                </m:sSub>
                <m:r>
                  <w:rPr>
                    <w:rFonts w:ascii="Cambria Math" w:hAnsi="Cambria Math" w:cs="Times New Roman"/>
                    <w:color w:val="000000" w:themeColor="text1"/>
                    <w:szCs w:val="24"/>
                  </w:rPr>
                  <m:t xml:space="preserve">                     if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fan</m:t>
                    </m:r>
                  </m:sub>
                </m:sSub>
                <m:r>
                  <w:rPr>
                    <w:rFonts w:ascii="Cambria Math" w:hAnsi="Cambria Math" w:cs="Times New Roman"/>
                    <w:color w:val="000000" w:themeColor="text1"/>
                    <w:szCs w:val="24"/>
                  </w:rPr>
                  <m:t xml:space="preserve">≥2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α</m:t>
                    </m:r>
                  </m:e>
                  <m:sub>
                    <m:r>
                      <w:rPr>
                        <w:rFonts w:ascii="Cambria Math" w:hAnsi="Cambria Math" w:cs="Times New Roman"/>
                        <w:color w:val="000000" w:themeColor="text1"/>
                        <w:szCs w:val="24"/>
                      </w:rPr>
                      <m:t>inf</m:t>
                    </m:r>
                  </m:sub>
                </m:sSub>
                <m:r>
                  <w:rPr>
                    <w:rFonts w:ascii="Cambria Math" w:hAnsi="Cambria Math" w:cs="Times New Roman"/>
                    <w:color w:val="000000" w:themeColor="text1"/>
                    <w:szCs w:val="24"/>
                  </w:rPr>
                  <m:t>v</m:t>
                </m:r>
              </m:e>
              <m:e>
                <m:r>
                  <w:rPr>
                    <w:rFonts w:ascii="Cambria Math" w:hAnsi="Cambria Math" w:cs="Times New Roman"/>
                    <w:color w:val="000000" w:themeColor="text1"/>
                    <w:szCs w:val="24"/>
                  </w:rPr>
                  <m:t xml:space="preserve">  </m:t>
                </m:r>
                <m:f>
                  <m:fPr>
                    <m:ctrlPr>
                      <w:rPr>
                        <w:rFonts w:ascii="Cambria Math" w:hAnsi="Cambria Math" w:cs="Times New Roman"/>
                        <w:i/>
                        <w:color w:val="000000" w:themeColor="text1"/>
                        <w:szCs w:val="24"/>
                      </w:rPr>
                    </m:ctrlPr>
                  </m:fPr>
                  <m:num>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fan</m:t>
                        </m:r>
                      </m:sub>
                    </m:sSub>
                  </m:num>
                  <m:den>
                    <m:r>
                      <w:rPr>
                        <w:rFonts w:ascii="Cambria Math" w:hAnsi="Cambria Math" w:cs="Times New Roman"/>
                        <w:color w:val="000000" w:themeColor="text1"/>
                        <w:szCs w:val="24"/>
                      </w:rPr>
                      <m:t>2</m:t>
                    </m:r>
                  </m:den>
                </m:f>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α</m:t>
                    </m:r>
                  </m:e>
                  <m:sub>
                    <m:r>
                      <w:rPr>
                        <w:rFonts w:ascii="Cambria Math" w:hAnsi="Cambria Math" w:cs="Times New Roman"/>
                        <w:color w:val="000000" w:themeColor="text1"/>
                        <w:szCs w:val="24"/>
                      </w:rPr>
                      <m:t>inf</m:t>
                    </m:r>
                  </m:sub>
                </m:sSub>
                <m:r>
                  <w:rPr>
                    <w:rFonts w:ascii="Cambria Math" w:hAnsi="Cambria Math" w:cs="Times New Roman"/>
                    <w:color w:val="000000" w:themeColor="text1"/>
                    <w:szCs w:val="24"/>
                  </w:rPr>
                  <m:t xml:space="preserve">v      if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fan</m:t>
                    </m:r>
                  </m:sub>
                </m:sSub>
                <m:r>
                  <w:rPr>
                    <w:rFonts w:ascii="Cambria Math" w:hAnsi="Cambria Math" w:cs="Times New Roman"/>
                    <w:color w:val="000000" w:themeColor="text1"/>
                    <w:szCs w:val="24"/>
                  </w:rPr>
                  <m:t xml:space="preserve">&lt;2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α</m:t>
                    </m:r>
                  </m:e>
                  <m:sub>
                    <m:r>
                      <w:rPr>
                        <w:rFonts w:ascii="Cambria Math" w:hAnsi="Cambria Math" w:cs="Times New Roman"/>
                        <w:color w:val="000000" w:themeColor="text1"/>
                        <w:szCs w:val="24"/>
                      </w:rPr>
                      <m:t>inf</m:t>
                    </m:r>
                  </m:sub>
                </m:sSub>
                <m:r>
                  <w:rPr>
                    <w:rFonts w:ascii="Cambria Math" w:hAnsi="Cambria Math" w:cs="Times New Roman"/>
                    <w:color w:val="000000" w:themeColor="text1"/>
                    <w:szCs w:val="24"/>
                  </w:rPr>
                  <m:t>v</m:t>
                </m:r>
              </m:e>
            </m:eqArr>
          </m:e>
        </m:d>
      </m:oMath>
      <w:r w:rsidRPr="0005616F">
        <w:rPr>
          <w:rFonts w:ascii="Times New Roman" w:hAnsi="Times New Roman" w:cs="Times New Roman"/>
          <w:color w:val="000000" w:themeColor="text1"/>
          <w:szCs w:val="24"/>
        </w:rPr>
        <w:t xml:space="preserve">                   </w:t>
      </w:r>
      <w:r w:rsid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D97BA2"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  </w:t>
      </w:r>
      <w:r w:rsidR="00DD5F36" w:rsidRPr="0005616F">
        <w:rPr>
          <w:rFonts w:ascii="Times New Roman" w:hAnsi="Times New Roman" w:cs="Times New Roman"/>
          <w:color w:val="000000" w:themeColor="text1"/>
          <w:szCs w:val="24"/>
        </w:rPr>
        <w:t>[</w:t>
      </w:r>
      <w:r w:rsidR="00FE578D">
        <w:rPr>
          <w:rFonts w:ascii="Times New Roman" w:hAnsi="Times New Roman" w:cs="Times New Roman"/>
          <w:color w:val="000000" w:themeColor="text1"/>
          <w:szCs w:val="24"/>
        </w:rPr>
        <w:t>S</w:t>
      </w:r>
      <w:r w:rsidRPr="0005616F">
        <w:rPr>
          <w:rFonts w:ascii="Times New Roman" w:hAnsi="Times New Roman" w:cs="Times New Roman"/>
          <w:color w:val="000000" w:themeColor="text1"/>
          <w:szCs w:val="24"/>
        </w:rPr>
        <w:t>3</w:t>
      </w:r>
      <w:r w:rsidR="00DD5F36" w:rsidRPr="0005616F">
        <w:rPr>
          <w:rFonts w:ascii="Times New Roman" w:hAnsi="Times New Roman" w:cs="Times New Roman"/>
          <w:color w:val="000000" w:themeColor="text1"/>
          <w:szCs w:val="24"/>
        </w:rPr>
        <w:t>]</w:t>
      </w:r>
    </w:p>
    <w:p w:rsidR="0005616F" w:rsidRDefault="0005616F" w:rsidP="00D97BA2">
      <w:pPr>
        <w:spacing w:before="0" w:after="240" w:line="240" w:lineRule="auto"/>
        <w:rPr>
          <w:rFonts w:ascii="Times New Roman" w:hAnsi="Times New Roman" w:cs="Times New Roman"/>
          <w:b/>
          <w:color w:val="000000" w:themeColor="text1"/>
          <w:szCs w:val="24"/>
        </w:rPr>
      </w:pPr>
    </w:p>
    <w:p w:rsidR="00CA6429" w:rsidRPr="0005616F" w:rsidRDefault="008579C0"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t xml:space="preserve">Table S1. Summary statistics for air exchange </w:t>
      </w:r>
      <w:r w:rsidR="000209FB" w:rsidRPr="0005616F">
        <w:rPr>
          <w:rFonts w:ascii="Times New Roman" w:hAnsi="Times New Roman" w:cs="Times New Roman"/>
          <w:b/>
          <w:color w:val="000000" w:themeColor="text1"/>
          <w:szCs w:val="24"/>
        </w:rPr>
        <w:t>rates</w:t>
      </w:r>
      <w:r w:rsidR="00924FB5" w:rsidRPr="0005616F">
        <w:rPr>
          <w:rFonts w:ascii="Times New Roman" w:hAnsi="Times New Roman" w:cs="Times New Roman"/>
          <w:b/>
          <w:color w:val="000000" w:themeColor="text1"/>
          <w:szCs w:val="24"/>
        </w:rPr>
        <w:t xml:space="preserve"> </w:t>
      </w:r>
      <w:r w:rsidRPr="0005616F">
        <w:rPr>
          <w:rFonts w:ascii="Times New Roman" w:hAnsi="Times New Roman" w:cs="Times New Roman"/>
          <w:b/>
          <w:color w:val="000000" w:themeColor="text1"/>
          <w:szCs w:val="24"/>
        </w:rPr>
        <w:t xml:space="preserve">associated with different </w:t>
      </w:r>
      <w:r w:rsidR="000F2134" w:rsidRPr="0005616F">
        <w:rPr>
          <w:rFonts w:ascii="Times New Roman" w:hAnsi="Times New Roman" w:cs="Times New Roman"/>
          <w:b/>
          <w:color w:val="000000" w:themeColor="text1"/>
          <w:szCs w:val="24"/>
        </w:rPr>
        <w:t>venting range hood</w:t>
      </w:r>
      <w:r w:rsidRPr="0005616F">
        <w:rPr>
          <w:rFonts w:ascii="Times New Roman" w:hAnsi="Times New Roman" w:cs="Times New Roman"/>
          <w:b/>
          <w:color w:val="000000" w:themeColor="text1"/>
          <w:szCs w:val="24"/>
        </w:rPr>
        <w:t xml:space="preserve"> flow rates</w:t>
      </w:r>
      <w:r w:rsidR="00BC2624" w:rsidRPr="0005616F">
        <w:rPr>
          <w:rFonts w:ascii="Times New Roman" w:hAnsi="Times New Roman" w:cs="Times New Roman"/>
          <w:b/>
          <w:color w:val="000000" w:themeColor="text1"/>
          <w:szCs w:val="24"/>
        </w:rPr>
        <w:t>,</w:t>
      </w:r>
      <w:r w:rsidR="00C636F8" w:rsidRPr="0005616F">
        <w:rPr>
          <w:rFonts w:ascii="Times New Roman" w:hAnsi="Times New Roman" w:cs="Times New Roman"/>
          <w:b/>
          <w:color w:val="000000" w:themeColor="text1"/>
          <w:szCs w:val="24"/>
        </w:rPr>
        <w:t xml:space="preserve"> measured under Fan </w:t>
      </w:r>
      <w:r w:rsidR="00823DA4" w:rsidRPr="0005616F">
        <w:rPr>
          <w:rFonts w:ascii="Times New Roman" w:hAnsi="Times New Roman" w:cs="Times New Roman"/>
          <w:b/>
          <w:color w:val="000000" w:themeColor="text1"/>
          <w:szCs w:val="24"/>
        </w:rPr>
        <w:t xml:space="preserve">Always </w:t>
      </w:r>
      <w:r w:rsidR="00C636F8" w:rsidRPr="0005616F">
        <w:rPr>
          <w:rFonts w:ascii="Times New Roman" w:hAnsi="Times New Roman" w:cs="Times New Roman"/>
          <w:b/>
          <w:color w:val="000000" w:themeColor="text1"/>
          <w:szCs w:val="24"/>
        </w:rPr>
        <w:t>On test condition.</w:t>
      </w:r>
    </w:p>
    <w:tbl>
      <w:tblPr>
        <w:tblpPr w:leftFromText="180" w:rightFromText="180" w:vertAnchor="text" w:tblpXSpec="center" w:tblpY="1"/>
        <w:tblOverlap w:val="never"/>
        <w:tblW w:w="7621" w:type="dxa"/>
        <w:tblBorders>
          <w:top w:val="single" w:sz="4" w:space="0" w:color="auto"/>
          <w:bottom w:val="single" w:sz="4" w:space="0" w:color="auto"/>
        </w:tblBorders>
        <w:tblLook w:val="04A0" w:firstRow="1" w:lastRow="0" w:firstColumn="1" w:lastColumn="0" w:noHBand="0" w:noVBand="1"/>
      </w:tblPr>
      <w:tblGrid>
        <w:gridCol w:w="1843"/>
        <w:gridCol w:w="2093"/>
        <w:gridCol w:w="2126"/>
        <w:gridCol w:w="1559"/>
      </w:tblGrid>
      <w:tr w:rsidR="00805109" w:rsidRPr="00805109" w:rsidTr="000E2D71">
        <w:trPr>
          <w:trHeight w:val="340"/>
        </w:trPr>
        <w:tc>
          <w:tcPr>
            <w:tcW w:w="1843" w:type="dxa"/>
            <w:tcBorders>
              <w:bottom w:val="single" w:sz="4" w:space="0" w:color="auto"/>
            </w:tcBorders>
            <w:shd w:val="clear" w:color="auto" w:fill="D9D9D9" w:themeFill="background1" w:themeFillShade="D9"/>
            <w:noWrap/>
            <w:vAlign w:val="center"/>
            <w:hideMark/>
          </w:tcPr>
          <w:p w:rsidR="008579C0" w:rsidRPr="00805109" w:rsidRDefault="008579C0" w:rsidP="00D97BA2">
            <w:pPr>
              <w:spacing w:before="0" w:after="0" w:line="240" w:lineRule="auto"/>
              <w:jc w:val="center"/>
              <w:rPr>
                <w:rFonts w:ascii="Times New Roman" w:eastAsia="Times New Roman" w:hAnsi="Times New Roman" w:cs="Times New Roman"/>
                <w:b/>
                <w:color w:val="000000" w:themeColor="text1"/>
                <w:szCs w:val="24"/>
              </w:rPr>
            </w:pPr>
            <w:r w:rsidRPr="00805109">
              <w:rPr>
                <w:rFonts w:ascii="Times New Roman" w:eastAsia="Times New Roman" w:hAnsi="Times New Roman" w:cs="Times New Roman"/>
                <w:b/>
                <w:color w:val="000000" w:themeColor="text1"/>
                <w:szCs w:val="24"/>
              </w:rPr>
              <w:t>Flow rate (</w:t>
            </w:r>
            <w:r w:rsidR="00EB4028" w:rsidRPr="00805109">
              <w:rPr>
                <w:rFonts w:ascii="Times New Roman" w:eastAsia="Times New Roman" w:hAnsi="Times New Roman" w:cs="Times New Roman"/>
                <w:b/>
                <w:color w:val="000000" w:themeColor="text1"/>
                <w:szCs w:val="24"/>
              </w:rPr>
              <w:t>L/s</w:t>
            </w:r>
            <w:r w:rsidRPr="00805109">
              <w:rPr>
                <w:rFonts w:ascii="Times New Roman" w:eastAsia="Times New Roman" w:hAnsi="Times New Roman" w:cs="Times New Roman"/>
                <w:b/>
                <w:color w:val="000000" w:themeColor="text1"/>
                <w:szCs w:val="24"/>
              </w:rPr>
              <w:t>)</w:t>
            </w:r>
          </w:p>
        </w:tc>
        <w:tc>
          <w:tcPr>
            <w:tcW w:w="2093" w:type="dxa"/>
            <w:tcBorders>
              <w:bottom w:val="single" w:sz="4" w:space="0" w:color="auto"/>
            </w:tcBorders>
            <w:shd w:val="clear" w:color="auto" w:fill="D9D9D9" w:themeFill="background1" w:themeFillShade="D9"/>
            <w:noWrap/>
            <w:vAlign w:val="center"/>
            <w:hideMark/>
          </w:tcPr>
          <w:p w:rsidR="008579C0" w:rsidRPr="00805109" w:rsidRDefault="008579C0" w:rsidP="00D97BA2">
            <w:pPr>
              <w:spacing w:before="0" w:after="0" w:line="240" w:lineRule="auto"/>
              <w:jc w:val="center"/>
              <w:rPr>
                <w:rFonts w:ascii="Times New Roman" w:eastAsia="Times New Roman" w:hAnsi="Times New Roman" w:cs="Times New Roman"/>
                <w:b/>
                <w:color w:val="000000" w:themeColor="text1"/>
                <w:szCs w:val="24"/>
              </w:rPr>
            </w:pPr>
            <w:r w:rsidRPr="00805109">
              <w:rPr>
                <w:rFonts w:ascii="Times New Roman" w:eastAsia="Times New Roman" w:hAnsi="Times New Roman" w:cs="Times New Roman"/>
                <w:b/>
                <w:color w:val="000000" w:themeColor="text1"/>
                <w:szCs w:val="24"/>
              </w:rPr>
              <w:t>Mean (h</w:t>
            </w:r>
            <w:r w:rsidRPr="00805109">
              <w:rPr>
                <w:rFonts w:ascii="Times New Roman" w:eastAsia="Times New Roman" w:hAnsi="Times New Roman" w:cs="Times New Roman"/>
                <w:b/>
                <w:color w:val="000000" w:themeColor="text1"/>
                <w:szCs w:val="24"/>
                <w:vertAlign w:val="superscript"/>
              </w:rPr>
              <w:t>-1</w:t>
            </w:r>
            <w:r w:rsidRPr="00805109">
              <w:rPr>
                <w:rFonts w:ascii="Times New Roman" w:eastAsia="Times New Roman" w:hAnsi="Times New Roman" w:cs="Times New Roman"/>
                <w:b/>
                <w:color w:val="000000" w:themeColor="text1"/>
                <w:szCs w:val="24"/>
              </w:rPr>
              <w:t>)</w:t>
            </w:r>
          </w:p>
        </w:tc>
        <w:tc>
          <w:tcPr>
            <w:tcW w:w="2126" w:type="dxa"/>
            <w:tcBorders>
              <w:bottom w:val="single" w:sz="4" w:space="0" w:color="auto"/>
            </w:tcBorders>
            <w:shd w:val="clear" w:color="auto" w:fill="D9D9D9" w:themeFill="background1" w:themeFillShade="D9"/>
            <w:noWrap/>
            <w:vAlign w:val="center"/>
            <w:hideMark/>
          </w:tcPr>
          <w:p w:rsidR="008579C0" w:rsidRPr="00805109" w:rsidRDefault="008579C0" w:rsidP="00D97BA2">
            <w:pPr>
              <w:spacing w:before="0" w:after="0" w:line="240" w:lineRule="auto"/>
              <w:jc w:val="center"/>
              <w:rPr>
                <w:rFonts w:ascii="Times New Roman" w:eastAsia="Times New Roman" w:hAnsi="Times New Roman" w:cs="Times New Roman"/>
                <w:b/>
                <w:color w:val="000000" w:themeColor="text1"/>
                <w:szCs w:val="24"/>
              </w:rPr>
            </w:pPr>
            <w:r w:rsidRPr="00805109">
              <w:rPr>
                <w:rFonts w:ascii="Times New Roman" w:eastAsia="Times New Roman" w:hAnsi="Times New Roman" w:cs="Times New Roman"/>
                <w:b/>
                <w:color w:val="000000" w:themeColor="text1"/>
                <w:szCs w:val="24"/>
              </w:rPr>
              <w:t>SE (h</w:t>
            </w:r>
            <w:r w:rsidRPr="00805109">
              <w:rPr>
                <w:rFonts w:ascii="Times New Roman" w:eastAsia="Times New Roman" w:hAnsi="Times New Roman" w:cs="Times New Roman"/>
                <w:b/>
                <w:color w:val="000000" w:themeColor="text1"/>
                <w:szCs w:val="24"/>
                <w:vertAlign w:val="superscript"/>
              </w:rPr>
              <w:t>-1</w:t>
            </w:r>
            <w:r w:rsidRPr="00805109">
              <w:rPr>
                <w:rFonts w:ascii="Times New Roman" w:eastAsia="Times New Roman" w:hAnsi="Times New Roman" w:cs="Times New Roman"/>
                <w:b/>
                <w:color w:val="000000" w:themeColor="text1"/>
                <w:szCs w:val="24"/>
              </w:rPr>
              <w:t>)</w:t>
            </w:r>
          </w:p>
        </w:tc>
        <w:tc>
          <w:tcPr>
            <w:tcW w:w="1559" w:type="dxa"/>
            <w:tcBorders>
              <w:bottom w:val="single" w:sz="4" w:space="0" w:color="auto"/>
            </w:tcBorders>
            <w:shd w:val="clear" w:color="auto" w:fill="D9D9D9" w:themeFill="background1" w:themeFillShade="D9"/>
            <w:vAlign w:val="center"/>
          </w:tcPr>
          <w:p w:rsidR="008579C0" w:rsidRPr="00805109" w:rsidRDefault="008579C0" w:rsidP="00D97BA2">
            <w:pPr>
              <w:spacing w:before="0" w:after="0" w:line="240" w:lineRule="auto"/>
              <w:jc w:val="center"/>
              <w:rPr>
                <w:rFonts w:ascii="Times New Roman" w:eastAsia="Times New Roman" w:hAnsi="Times New Roman" w:cs="Times New Roman"/>
                <w:b/>
                <w:color w:val="000000" w:themeColor="text1"/>
                <w:szCs w:val="24"/>
              </w:rPr>
            </w:pPr>
            <w:r w:rsidRPr="00805109">
              <w:rPr>
                <w:rFonts w:ascii="Times New Roman" w:eastAsia="Times New Roman" w:hAnsi="Times New Roman" w:cs="Times New Roman"/>
                <w:b/>
                <w:color w:val="000000" w:themeColor="text1"/>
                <w:szCs w:val="24"/>
              </w:rPr>
              <w:t>N</w:t>
            </w:r>
          </w:p>
        </w:tc>
      </w:tr>
      <w:tr w:rsidR="00805109" w:rsidRPr="00805109" w:rsidTr="000E2D71">
        <w:trPr>
          <w:trHeight w:val="340"/>
        </w:trPr>
        <w:tc>
          <w:tcPr>
            <w:tcW w:w="1843" w:type="dxa"/>
            <w:tcBorders>
              <w:top w:val="nil"/>
            </w:tcBorders>
            <w:shd w:val="clear" w:color="auto" w:fill="auto"/>
            <w:noWrap/>
            <w:vAlign w:val="center"/>
            <w:hideMark/>
          </w:tcPr>
          <w:p w:rsidR="00FD050F" w:rsidRPr="00805109" w:rsidRDefault="00EB4028"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36</w:t>
            </w:r>
          </w:p>
        </w:tc>
        <w:tc>
          <w:tcPr>
            <w:tcW w:w="2093" w:type="dxa"/>
            <w:tcBorders>
              <w:top w:val="nil"/>
            </w:tcBorders>
            <w:shd w:val="clear" w:color="auto" w:fill="auto"/>
            <w:noWrap/>
            <w:vAlign w:val="center"/>
            <w:hideMark/>
          </w:tcPr>
          <w:p w:rsidR="00FD050F" w:rsidRPr="00805109" w:rsidRDefault="00FD050F" w:rsidP="00D97BA2">
            <w:pPr>
              <w:autoSpaceDE w:val="0"/>
              <w:autoSpaceDN w:val="0"/>
              <w:adjustRightInd w:val="0"/>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0.72</w:t>
            </w:r>
          </w:p>
        </w:tc>
        <w:tc>
          <w:tcPr>
            <w:tcW w:w="2126" w:type="dxa"/>
            <w:tcBorders>
              <w:top w:val="nil"/>
            </w:tcBorders>
            <w:shd w:val="clear" w:color="auto" w:fill="auto"/>
            <w:noWrap/>
            <w:vAlign w:val="center"/>
            <w:hideMark/>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0.33</w:t>
            </w:r>
          </w:p>
        </w:tc>
        <w:tc>
          <w:tcPr>
            <w:tcW w:w="1559" w:type="dxa"/>
            <w:tcBorders>
              <w:top w:val="nil"/>
            </w:tcBorders>
            <w:vAlign w:val="center"/>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2</w:t>
            </w:r>
          </w:p>
        </w:tc>
      </w:tr>
      <w:tr w:rsidR="00805109" w:rsidRPr="00805109" w:rsidTr="000E2D71">
        <w:trPr>
          <w:trHeight w:val="340"/>
        </w:trPr>
        <w:tc>
          <w:tcPr>
            <w:tcW w:w="1843" w:type="dxa"/>
            <w:shd w:val="clear" w:color="auto" w:fill="auto"/>
            <w:noWrap/>
            <w:vAlign w:val="center"/>
            <w:hideMark/>
          </w:tcPr>
          <w:p w:rsidR="00FD050F" w:rsidRPr="00805109" w:rsidRDefault="00EB4028"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69</w:t>
            </w:r>
          </w:p>
        </w:tc>
        <w:tc>
          <w:tcPr>
            <w:tcW w:w="2093" w:type="dxa"/>
            <w:shd w:val="clear" w:color="auto" w:fill="auto"/>
            <w:noWrap/>
            <w:vAlign w:val="center"/>
            <w:hideMark/>
          </w:tcPr>
          <w:p w:rsidR="00FD050F" w:rsidRPr="00805109" w:rsidRDefault="00FD050F" w:rsidP="00D97BA2">
            <w:pPr>
              <w:autoSpaceDE w:val="0"/>
              <w:autoSpaceDN w:val="0"/>
              <w:adjustRightInd w:val="0"/>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1.46</w:t>
            </w:r>
          </w:p>
        </w:tc>
        <w:tc>
          <w:tcPr>
            <w:tcW w:w="2126" w:type="dxa"/>
            <w:shd w:val="clear" w:color="auto" w:fill="auto"/>
            <w:noWrap/>
            <w:vAlign w:val="center"/>
            <w:hideMark/>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0.11</w:t>
            </w:r>
          </w:p>
        </w:tc>
        <w:tc>
          <w:tcPr>
            <w:tcW w:w="1559" w:type="dxa"/>
            <w:vAlign w:val="center"/>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4</w:t>
            </w:r>
          </w:p>
        </w:tc>
      </w:tr>
      <w:tr w:rsidR="00805109" w:rsidRPr="00805109" w:rsidTr="000E2D71">
        <w:trPr>
          <w:trHeight w:val="340"/>
        </w:trPr>
        <w:tc>
          <w:tcPr>
            <w:tcW w:w="1843" w:type="dxa"/>
            <w:shd w:val="clear" w:color="auto" w:fill="auto"/>
            <w:noWrap/>
            <w:vAlign w:val="center"/>
            <w:hideMark/>
          </w:tcPr>
          <w:p w:rsidR="00FD050F" w:rsidRPr="00805109" w:rsidRDefault="00EB4028"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75</w:t>
            </w:r>
          </w:p>
        </w:tc>
        <w:tc>
          <w:tcPr>
            <w:tcW w:w="2093" w:type="dxa"/>
            <w:shd w:val="clear" w:color="auto" w:fill="auto"/>
            <w:noWrap/>
            <w:vAlign w:val="center"/>
            <w:hideMark/>
          </w:tcPr>
          <w:p w:rsidR="00FD050F" w:rsidRPr="00805109" w:rsidRDefault="00FD050F" w:rsidP="00D97BA2">
            <w:pPr>
              <w:autoSpaceDE w:val="0"/>
              <w:autoSpaceDN w:val="0"/>
              <w:adjustRightInd w:val="0"/>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0.99</w:t>
            </w:r>
          </w:p>
        </w:tc>
        <w:tc>
          <w:tcPr>
            <w:tcW w:w="2126" w:type="dxa"/>
            <w:shd w:val="clear" w:color="auto" w:fill="auto"/>
            <w:noWrap/>
            <w:vAlign w:val="center"/>
            <w:hideMark/>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0.11</w:t>
            </w:r>
          </w:p>
        </w:tc>
        <w:tc>
          <w:tcPr>
            <w:tcW w:w="1559" w:type="dxa"/>
            <w:vAlign w:val="center"/>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7</w:t>
            </w:r>
          </w:p>
        </w:tc>
      </w:tr>
      <w:tr w:rsidR="00805109" w:rsidRPr="00805109" w:rsidTr="000E2D71">
        <w:trPr>
          <w:trHeight w:val="340"/>
        </w:trPr>
        <w:tc>
          <w:tcPr>
            <w:tcW w:w="1843" w:type="dxa"/>
            <w:shd w:val="clear" w:color="auto" w:fill="auto"/>
            <w:noWrap/>
            <w:vAlign w:val="center"/>
            <w:hideMark/>
          </w:tcPr>
          <w:p w:rsidR="00FD050F" w:rsidRPr="00805109" w:rsidRDefault="00EB4028"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84</w:t>
            </w:r>
          </w:p>
        </w:tc>
        <w:tc>
          <w:tcPr>
            <w:tcW w:w="2093" w:type="dxa"/>
            <w:shd w:val="clear" w:color="auto" w:fill="auto"/>
            <w:noWrap/>
            <w:vAlign w:val="center"/>
            <w:hideMark/>
          </w:tcPr>
          <w:p w:rsidR="00FD050F" w:rsidRPr="00805109" w:rsidRDefault="00FD050F" w:rsidP="00D97BA2">
            <w:pPr>
              <w:autoSpaceDE w:val="0"/>
              <w:autoSpaceDN w:val="0"/>
              <w:adjustRightInd w:val="0"/>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1.30</w:t>
            </w:r>
          </w:p>
        </w:tc>
        <w:tc>
          <w:tcPr>
            <w:tcW w:w="2126" w:type="dxa"/>
            <w:shd w:val="clear" w:color="auto" w:fill="auto"/>
            <w:noWrap/>
            <w:vAlign w:val="center"/>
            <w:hideMark/>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0.15</w:t>
            </w:r>
          </w:p>
        </w:tc>
        <w:tc>
          <w:tcPr>
            <w:tcW w:w="1559" w:type="dxa"/>
            <w:vAlign w:val="center"/>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8</w:t>
            </w:r>
          </w:p>
        </w:tc>
      </w:tr>
      <w:tr w:rsidR="00805109" w:rsidRPr="00805109" w:rsidTr="000E2D71">
        <w:trPr>
          <w:trHeight w:val="340"/>
        </w:trPr>
        <w:tc>
          <w:tcPr>
            <w:tcW w:w="1843" w:type="dxa"/>
            <w:shd w:val="clear" w:color="auto" w:fill="auto"/>
            <w:noWrap/>
            <w:vAlign w:val="center"/>
            <w:hideMark/>
          </w:tcPr>
          <w:p w:rsidR="00FD050F" w:rsidRPr="00805109" w:rsidRDefault="00EB4028"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120</w:t>
            </w:r>
          </w:p>
        </w:tc>
        <w:tc>
          <w:tcPr>
            <w:tcW w:w="2093" w:type="dxa"/>
            <w:shd w:val="clear" w:color="auto" w:fill="auto"/>
            <w:noWrap/>
            <w:vAlign w:val="center"/>
            <w:hideMark/>
          </w:tcPr>
          <w:p w:rsidR="00FD050F" w:rsidRPr="00805109" w:rsidRDefault="00FD050F" w:rsidP="00D97BA2">
            <w:pPr>
              <w:autoSpaceDE w:val="0"/>
              <w:autoSpaceDN w:val="0"/>
              <w:adjustRightInd w:val="0"/>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2.03</w:t>
            </w:r>
          </w:p>
        </w:tc>
        <w:tc>
          <w:tcPr>
            <w:tcW w:w="2126" w:type="dxa"/>
            <w:shd w:val="clear" w:color="auto" w:fill="auto"/>
            <w:noWrap/>
            <w:vAlign w:val="center"/>
            <w:hideMark/>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0.23</w:t>
            </w:r>
          </w:p>
        </w:tc>
        <w:tc>
          <w:tcPr>
            <w:tcW w:w="1559" w:type="dxa"/>
            <w:vAlign w:val="center"/>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8</w:t>
            </w:r>
          </w:p>
        </w:tc>
      </w:tr>
      <w:tr w:rsidR="00805109" w:rsidRPr="00805109" w:rsidTr="000E2D71">
        <w:trPr>
          <w:trHeight w:val="340"/>
        </w:trPr>
        <w:tc>
          <w:tcPr>
            <w:tcW w:w="1843" w:type="dxa"/>
            <w:shd w:val="clear" w:color="auto" w:fill="auto"/>
            <w:noWrap/>
            <w:vAlign w:val="center"/>
            <w:hideMark/>
          </w:tcPr>
          <w:p w:rsidR="00FD050F" w:rsidRPr="00805109" w:rsidRDefault="00EB4028"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146</w:t>
            </w:r>
          </w:p>
        </w:tc>
        <w:tc>
          <w:tcPr>
            <w:tcW w:w="2093" w:type="dxa"/>
            <w:shd w:val="clear" w:color="auto" w:fill="auto"/>
            <w:noWrap/>
            <w:vAlign w:val="center"/>
            <w:hideMark/>
          </w:tcPr>
          <w:p w:rsidR="00FD050F" w:rsidRPr="00805109" w:rsidRDefault="00FD050F" w:rsidP="00D97BA2">
            <w:pPr>
              <w:autoSpaceDE w:val="0"/>
              <w:autoSpaceDN w:val="0"/>
              <w:adjustRightInd w:val="0"/>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2.30</w:t>
            </w:r>
          </w:p>
        </w:tc>
        <w:tc>
          <w:tcPr>
            <w:tcW w:w="2126" w:type="dxa"/>
            <w:shd w:val="clear" w:color="auto" w:fill="auto"/>
            <w:noWrap/>
            <w:vAlign w:val="center"/>
            <w:hideMark/>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0.23</w:t>
            </w:r>
          </w:p>
        </w:tc>
        <w:tc>
          <w:tcPr>
            <w:tcW w:w="1559" w:type="dxa"/>
            <w:vAlign w:val="center"/>
          </w:tcPr>
          <w:p w:rsidR="00FD050F" w:rsidRPr="00805109" w:rsidRDefault="00FD050F" w:rsidP="00D97BA2">
            <w:pPr>
              <w:spacing w:before="0" w:after="0" w:line="240" w:lineRule="auto"/>
              <w:jc w:val="center"/>
              <w:rPr>
                <w:rFonts w:ascii="Times New Roman" w:eastAsia="Times New Roman" w:hAnsi="Times New Roman" w:cs="Times New Roman"/>
                <w:color w:val="000000" w:themeColor="text1"/>
                <w:szCs w:val="24"/>
              </w:rPr>
            </w:pPr>
            <w:r w:rsidRPr="00805109">
              <w:rPr>
                <w:rFonts w:ascii="Times New Roman" w:eastAsia="Times New Roman" w:hAnsi="Times New Roman" w:cs="Times New Roman"/>
                <w:color w:val="000000" w:themeColor="text1"/>
                <w:szCs w:val="24"/>
              </w:rPr>
              <w:t>7</w:t>
            </w:r>
          </w:p>
        </w:tc>
      </w:tr>
    </w:tbl>
    <w:p w:rsidR="00A704DB" w:rsidRPr="00805109" w:rsidRDefault="00A704DB" w:rsidP="00D97BA2">
      <w:pPr>
        <w:spacing w:before="0" w:after="0" w:line="240" w:lineRule="auto"/>
        <w:jc w:val="left"/>
        <w:rPr>
          <w:rFonts w:ascii="Times New Roman" w:hAnsi="Times New Roman" w:cs="Times New Roman"/>
          <w:color w:val="000000" w:themeColor="text1"/>
          <w:szCs w:val="24"/>
        </w:rPr>
      </w:pPr>
    </w:p>
    <w:p w:rsidR="00CA6429" w:rsidRPr="00805109" w:rsidRDefault="00CA6429" w:rsidP="00D97BA2">
      <w:pPr>
        <w:spacing w:before="0" w:after="0" w:line="240" w:lineRule="auto"/>
        <w:jc w:val="left"/>
        <w:rPr>
          <w:rFonts w:ascii="Times New Roman" w:hAnsi="Times New Roman" w:cs="Times New Roman"/>
          <w:color w:val="000000" w:themeColor="text1"/>
          <w:szCs w:val="24"/>
        </w:rPr>
      </w:pPr>
    </w:p>
    <w:p w:rsidR="00CA6429" w:rsidRPr="00805109" w:rsidRDefault="00CA6429" w:rsidP="00D97BA2">
      <w:pPr>
        <w:spacing w:before="0" w:after="0" w:line="240" w:lineRule="auto"/>
        <w:jc w:val="left"/>
        <w:rPr>
          <w:rFonts w:ascii="Times New Roman" w:hAnsi="Times New Roman" w:cs="Times New Roman"/>
          <w:color w:val="000000" w:themeColor="text1"/>
          <w:szCs w:val="24"/>
        </w:rPr>
      </w:pPr>
    </w:p>
    <w:p w:rsidR="00CA6429" w:rsidRPr="00805109" w:rsidRDefault="00CA6429" w:rsidP="00D97BA2">
      <w:pPr>
        <w:spacing w:before="0" w:after="0" w:line="240" w:lineRule="auto"/>
        <w:jc w:val="left"/>
        <w:rPr>
          <w:rFonts w:ascii="Times New Roman" w:hAnsi="Times New Roman" w:cs="Times New Roman"/>
          <w:color w:val="000000" w:themeColor="text1"/>
          <w:szCs w:val="24"/>
        </w:rPr>
      </w:pPr>
    </w:p>
    <w:p w:rsidR="00CA6429" w:rsidRDefault="00CA6429" w:rsidP="00D97BA2">
      <w:pPr>
        <w:spacing w:before="0" w:after="0" w:line="240" w:lineRule="auto"/>
        <w:jc w:val="left"/>
        <w:rPr>
          <w:rFonts w:ascii="Times New Roman" w:hAnsi="Times New Roman" w:cs="Times New Roman"/>
          <w:color w:val="000000" w:themeColor="text1"/>
          <w:szCs w:val="24"/>
        </w:rPr>
      </w:pPr>
    </w:p>
    <w:p w:rsidR="00FE578D" w:rsidRPr="00805109" w:rsidRDefault="00FE578D" w:rsidP="00D97BA2">
      <w:pPr>
        <w:spacing w:before="0" w:after="0" w:line="240" w:lineRule="auto"/>
        <w:jc w:val="left"/>
        <w:rPr>
          <w:rFonts w:ascii="Times New Roman" w:hAnsi="Times New Roman" w:cs="Times New Roman"/>
          <w:color w:val="000000" w:themeColor="text1"/>
          <w:szCs w:val="24"/>
        </w:rPr>
      </w:pPr>
    </w:p>
    <w:p w:rsidR="00CA6429" w:rsidRPr="00805109" w:rsidRDefault="00CA6429" w:rsidP="00D97BA2">
      <w:pPr>
        <w:spacing w:before="0" w:after="0" w:line="240" w:lineRule="auto"/>
        <w:jc w:val="left"/>
        <w:rPr>
          <w:rFonts w:ascii="Times New Roman" w:hAnsi="Times New Roman" w:cs="Times New Roman"/>
          <w:color w:val="000000" w:themeColor="text1"/>
          <w:szCs w:val="24"/>
        </w:rPr>
      </w:pPr>
    </w:p>
    <w:p w:rsidR="005D2707" w:rsidRDefault="005D2707" w:rsidP="00D97BA2">
      <w:pPr>
        <w:spacing w:before="0" w:after="0" w:line="240" w:lineRule="auto"/>
        <w:rPr>
          <w:rFonts w:ascii="Times New Roman" w:hAnsi="Times New Roman" w:cs="Times New Roman"/>
          <w:b/>
          <w:color w:val="000000" w:themeColor="text1"/>
        </w:rPr>
      </w:pPr>
    </w:p>
    <w:p w:rsidR="00FE578D" w:rsidRDefault="00FE578D" w:rsidP="00D97BA2">
      <w:pPr>
        <w:spacing w:before="0" w:after="0" w:line="240" w:lineRule="auto"/>
        <w:rPr>
          <w:rFonts w:ascii="Times New Roman" w:hAnsi="Times New Roman" w:cs="Times New Roman"/>
          <w:b/>
          <w:color w:val="000000" w:themeColor="text1"/>
        </w:rPr>
      </w:pPr>
    </w:p>
    <w:p w:rsidR="00FE578D" w:rsidRPr="00805109" w:rsidRDefault="00FE578D" w:rsidP="00D97BA2">
      <w:pPr>
        <w:spacing w:before="0" w:after="0" w:line="240" w:lineRule="auto"/>
        <w:rPr>
          <w:rFonts w:ascii="Times New Roman" w:hAnsi="Times New Roman" w:cs="Times New Roman"/>
          <w:b/>
          <w:color w:val="000000" w:themeColor="text1"/>
        </w:rPr>
      </w:pPr>
    </w:p>
    <w:p w:rsidR="00D025C2" w:rsidRDefault="004C13C6" w:rsidP="00D97BA2">
      <w:pPr>
        <w:spacing w:before="0" w:line="240" w:lineRule="auto"/>
        <w:rPr>
          <w:rFonts w:ascii="Times New Roman" w:hAnsi="Times New Roman" w:cs="Times New Roman"/>
          <w:b/>
          <w:color w:val="000000" w:themeColor="text1"/>
          <w:szCs w:val="24"/>
        </w:rPr>
      </w:pPr>
      <w:r w:rsidRPr="00805109">
        <w:rPr>
          <w:rFonts w:ascii="Times New Roman" w:hAnsi="Times New Roman" w:cs="Times New Roman"/>
          <w:b/>
          <w:noProof/>
          <w:color w:val="000000" w:themeColor="text1"/>
          <w:szCs w:val="24"/>
        </w:rPr>
        <w:lastRenderedPageBreak/>
        <w:drawing>
          <wp:inline distT="0" distB="0" distL="0" distR="0" wp14:anchorId="66CC6BEE" wp14:editId="4B5583C8">
            <wp:extent cx="5935980" cy="4137660"/>
            <wp:effectExtent l="19050" t="19050" r="2667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4137660"/>
                    </a:xfrm>
                    <a:prstGeom prst="rect">
                      <a:avLst/>
                    </a:prstGeom>
                    <a:noFill/>
                    <a:ln w="6350">
                      <a:solidFill>
                        <a:schemeClr val="tx1"/>
                      </a:solidFill>
                    </a:ln>
                  </pic:spPr>
                </pic:pic>
              </a:graphicData>
            </a:graphic>
          </wp:inline>
        </w:drawing>
      </w:r>
    </w:p>
    <w:p w:rsidR="005D2707" w:rsidRDefault="005D2707"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t xml:space="preserve">Figure </w:t>
      </w:r>
      <w:r w:rsidR="00C87617" w:rsidRPr="0005616F">
        <w:rPr>
          <w:rFonts w:ascii="Times New Roman" w:hAnsi="Times New Roman" w:cs="Times New Roman"/>
          <w:b/>
          <w:color w:val="000000" w:themeColor="text1"/>
          <w:szCs w:val="24"/>
        </w:rPr>
        <w:t>S</w:t>
      </w:r>
      <w:r w:rsidR="00C87617">
        <w:rPr>
          <w:rFonts w:ascii="Times New Roman" w:hAnsi="Times New Roman" w:cs="Times New Roman"/>
          <w:b/>
          <w:color w:val="000000" w:themeColor="text1"/>
          <w:szCs w:val="24"/>
        </w:rPr>
        <w:t>2</w:t>
      </w:r>
      <w:r w:rsidRPr="0005616F">
        <w:rPr>
          <w:rFonts w:ascii="Times New Roman" w:hAnsi="Times New Roman" w:cs="Times New Roman"/>
          <w:b/>
          <w:color w:val="000000" w:themeColor="text1"/>
          <w:szCs w:val="24"/>
        </w:rPr>
        <w:t xml:space="preserve">. </w:t>
      </w:r>
      <w:r w:rsidR="001D611F" w:rsidRPr="0005616F">
        <w:rPr>
          <w:rFonts w:ascii="Times New Roman" w:hAnsi="Times New Roman" w:cs="Times New Roman"/>
          <w:b/>
          <w:color w:val="000000" w:themeColor="text1"/>
          <w:szCs w:val="24"/>
        </w:rPr>
        <w:t>Linear r</w:t>
      </w:r>
      <w:r w:rsidRPr="0005616F">
        <w:rPr>
          <w:rFonts w:ascii="Times New Roman" w:hAnsi="Times New Roman" w:cs="Times New Roman"/>
          <w:b/>
          <w:color w:val="000000" w:themeColor="text1"/>
          <w:szCs w:val="24"/>
        </w:rPr>
        <w:t>egression of particle peak concentration again</w:t>
      </w:r>
      <w:r w:rsidR="00F543D2" w:rsidRPr="0005616F">
        <w:rPr>
          <w:rFonts w:ascii="Times New Roman" w:hAnsi="Times New Roman" w:cs="Times New Roman"/>
          <w:b/>
          <w:color w:val="000000" w:themeColor="text1"/>
          <w:szCs w:val="24"/>
        </w:rPr>
        <w:t>st range hood flow rate (excluding</w:t>
      </w:r>
      <w:r w:rsidRPr="0005616F">
        <w:rPr>
          <w:rFonts w:ascii="Times New Roman" w:hAnsi="Times New Roman" w:cs="Times New Roman"/>
          <w:b/>
          <w:color w:val="000000" w:themeColor="text1"/>
          <w:szCs w:val="24"/>
        </w:rPr>
        <w:t xml:space="preserve"> range hood A at 75 L/s) by particle size category.</w:t>
      </w:r>
    </w:p>
    <w:p w:rsidR="001F2A88" w:rsidRDefault="001F2A88">
      <w:pPr>
        <w:spacing w:before="0" w:after="200" w:line="276" w:lineRule="auto"/>
        <w:jc w:val="left"/>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rsidR="001F2A88" w:rsidRDefault="001F2A88" w:rsidP="00D97BA2">
      <w:pPr>
        <w:spacing w:before="0" w:after="240" w:line="240" w:lineRule="auto"/>
        <w:rPr>
          <w:rFonts w:ascii="Times New Roman" w:hAnsi="Times New Roman" w:cs="Times New Roman"/>
          <w:b/>
          <w:color w:val="000000" w:themeColor="text1"/>
          <w:szCs w:val="24"/>
        </w:rPr>
        <w:sectPr w:rsidR="001F2A88" w:rsidSect="005675FA">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08" w:footer="708" w:gutter="0"/>
          <w:pgNumType w:start="3"/>
          <w:cols w:space="708"/>
          <w:titlePg/>
          <w:docGrid w:linePitch="360"/>
        </w:sectPr>
      </w:pPr>
    </w:p>
    <w:p w:rsidR="00C87617" w:rsidRDefault="00C87617" w:rsidP="00C87617">
      <w:pPr>
        <w:spacing w:before="0" w:after="240" w:line="240" w:lineRule="auto"/>
        <w:rPr>
          <w:rFonts w:ascii="Times New Roman" w:hAnsi="Times New Roman" w:cs="Times New Roman"/>
          <w:b/>
          <w:color w:val="000000" w:themeColor="text1"/>
          <w:szCs w:val="24"/>
        </w:rPr>
      </w:pPr>
      <w:r>
        <w:rPr>
          <w:rFonts w:ascii="Times New Roman" w:hAnsi="Times New Roman" w:cs="Times New Roman"/>
          <w:b/>
          <w:noProof/>
          <w:color w:val="000000" w:themeColor="text1"/>
          <w:szCs w:val="24"/>
        </w:rPr>
        <w:lastRenderedPageBreak/>
        <w:drawing>
          <wp:inline distT="0" distB="0" distL="0" distR="0" wp14:anchorId="37F22B63" wp14:editId="6077565F">
            <wp:extent cx="8686800" cy="4145280"/>
            <wp:effectExtent l="19050" t="19050" r="1905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4145280"/>
                    </a:xfrm>
                    <a:prstGeom prst="rect">
                      <a:avLst/>
                    </a:prstGeom>
                    <a:noFill/>
                    <a:ln>
                      <a:solidFill>
                        <a:schemeClr val="tx1"/>
                      </a:solidFill>
                    </a:ln>
                  </pic:spPr>
                </pic:pic>
              </a:graphicData>
            </a:graphic>
          </wp:inline>
        </w:drawing>
      </w:r>
    </w:p>
    <w:p w:rsidR="00C87617" w:rsidRDefault="00C87617" w:rsidP="00C87617">
      <w:pPr>
        <w:spacing w:before="0" w:after="240" w:line="240" w:lineRule="auto"/>
        <w:rPr>
          <w:rFonts w:ascii="Times New Roman" w:hAnsi="Times New Roman" w:cs="Times New Roman"/>
          <w:b/>
          <w:color w:val="000000" w:themeColor="text1"/>
          <w:szCs w:val="24"/>
        </w:rPr>
      </w:pPr>
      <w:r>
        <w:rPr>
          <w:rFonts w:ascii="Times New Roman" w:hAnsi="Times New Roman" w:cs="Times New Roman"/>
          <w:b/>
          <w:color w:val="000000" w:themeColor="text1"/>
          <w:szCs w:val="24"/>
        </w:rPr>
        <w:t>Figure S3. Size-resolved particle</w:t>
      </w:r>
      <w:r w:rsidRPr="00E6505A">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 xml:space="preserve">number exposures </w:t>
      </w:r>
      <w:r w:rsidRPr="00E6505A">
        <w:rPr>
          <w:rFonts w:ascii="Times New Roman" w:hAnsi="Times New Roman" w:cs="Times New Roman"/>
          <w:b/>
          <w:color w:val="000000" w:themeColor="text1"/>
          <w:szCs w:val="24"/>
        </w:rPr>
        <w:t xml:space="preserve">due to cooking over the entire monitoring period, measured under Fan Off After Cooking test condition. The x-axis represents the time </w:t>
      </w:r>
      <w:r>
        <w:rPr>
          <w:rFonts w:ascii="Times New Roman" w:hAnsi="Times New Roman" w:cs="Times New Roman"/>
          <w:b/>
          <w:color w:val="000000" w:themeColor="text1"/>
          <w:szCs w:val="24"/>
        </w:rPr>
        <w:t xml:space="preserve">relative to the end of cooking by range hood flow rate. </w:t>
      </w:r>
    </w:p>
    <w:p w:rsidR="00C87617" w:rsidRDefault="00C87617" w:rsidP="00C87617">
      <w:pPr>
        <w:spacing w:before="0" w:after="240" w:line="240" w:lineRule="auto"/>
        <w:rPr>
          <w:rFonts w:ascii="Times New Roman" w:hAnsi="Times New Roman" w:cs="Times New Roman"/>
          <w:b/>
          <w:color w:val="000000" w:themeColor="text1"/>
          <w:szCs w:val="24"/>
        </w:rPr>
      </w:pPr>
    </w:p>
    <w:p w:rsidR="00C87617" w:rsidRDefault="00C87617" w:rsidP="00C87617">
      <w:pPr>
        <w:spacing w:before="0" w:after="240" w:line="240" w:lineRule="auto"/>
        <w:rPr>
          <w:rFonts w:ascii="Times New Roman" w:hAnsi="Times New Roman" w:cs="Times New Roman"/>
          <w:b/>
          <w:color w:val="000000" w:themeColor="text1"/>
          <w:szCs w:val="24"/>
        </w:rPr>
      </w:pPr>
    </w:p>
    <w:p w:rsidR="00C87617" w:rsidRDefault="00C87617" w:rsidP="00C87617">
      <w:pPr>
        <w:spacing w:before="0" w:after="240" w:line="240" w:lineRule="auto"/>
        <w:rPr>
          <w:rFonts w:ascii="Times New Roman" w:hAnsi="Times New Roman" w:cs="Times New Roman"/>
          <w:b/>
          <w:color w:val="000000" w:themeColor="text1"/>
          <w:szCs w:val="24"/>
        </w:rPr>
      </w:pPr>
      <w:r>
        <w:rPr>
          <w:rFonts w:ascii="Times New Roman" w:hAnsi="Times New Roman" w:cs="Times New Roman"/>
          <w:b/>
          <w:noProof/>
          <w:color w:val="000000" w:themeColor="text1"/>
          <w:szCs w:val="24"/>
        </w:rPr>
        <w:lastRenderedPageBreak/>
        <w:drawing>
          <wp:inline distT="0" distB="0" distL="0" distR="0" wp14:anchorId="16A05680" wp14:editId="20232200">
            <wp:extent cx="8686800" cy="41148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6800" cy="4114800"/>
                    </a:xfrm>
                    <a:prstGeom prst="rect">
                      <a:avLst/>
                    </a:prstGeom>
                    <a:noFill/>
                    <a:ln>
                      <a:solidFill>
                        <a:schemeClr val="tx1"/>
                      </a:solidFill>
                    </a:ln>
                  </pic:spPr>
                </pic:pic>
              </a:graphicData>
            </a:graphic>
          </wp:inline>
        </w:drawing>
      </w:r>
    </w:p>
    <w:p w:rsidR="00C87617" w:rsidRDefault="00C87617" w:rsidP="00C87617">
      <w:pPr>
        <w:spacing w:before="0" w:after="240" w:line="240" w:lineRule="auto"/>
        <w:rPr>
          <w:rFonts w:ascii="Times New Roman" w:hAnsi="Times New Roman" w:cs="Times New Roman"/>
          <w:b/>
          <w:color w:val="000000" w:themeColor="text1"/>
          <w:szCs w:val="24"/>
        </w:rPr>
      </w:pPr>
      <w:r>
        <w:rPr>
          <w:rFonts w:ascii="Times New Roman" w:hAnsi="Times New Roman" w:cs="Times New Roman"/>
          <w:b/>
          <w:color w:val="000000" w:themeColor="text1"/>
          <w:szCs w:val="24"/>
        </w:rPr>
        <w:t>Figure S4. Size-resolved particle</w:t>
      </w:r>
      <w:r w:rsidRPr="00E6505A">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 xml:space="preserve">mass exposures </w:t>
      </w:r>
      <w:r w:rsidRPr="00E6505A">
        <w:rPr>
          <w:rFonts w:ascii="Times New Roman" w:hAnsi="Times New Roman" w:cs="Times New Roman"/>
          <w:b/>
          <w:color w:val="000000" w:themeColor="text1"/>
          <w:szCs w:val="24"/>
        </w:rPr>
        <w:t xml:space="preserve">due to cooking over the entire monitoring period, measured under Fan Off After Cooking test condition. The x-axis represents the time </w:t>
      </w:r>
      <w:r>
        <w:rPr>
          <w:rFonts w:ascii="Times New Roman" w:hAnsi="Times New Roman" w:cs="Times New Roman"/>
          <w:b/>
          <w:color w:val="000000" w:themeColor="text1"/>
          <w:szCs w:val="24"/>
        </w:rPr>
        <w:t xml:space="preserve">relative to the end of cooking by range hood flow rate. </w:t>
      </w:r>
    </w:p>
    <w:p w:rsidR="006B457A" w:rsidRDefault="006B457A" w:rsidP="004E316F">
      <w:pPr>
        <w:spacing w:before="0" w:after="240" w:line="240" w:lineRule="auto"/>
        <w:rPr>
          <w:rFonts w:ascii="Times New Roman" w:hAnsi="Times New Roman" w:cs="Times New Roman"/>
          <w:b/>
          <w:color w:val="000000" w:themeColor="text1"/>
          <w:szCs w:val="24"/>
        </w:rPr>
        <w:sectPr w:rsidR="006B457A" w:rsidSect="001F2A88">
          <w:pgSz w:w="15840" w:h="12240" w:orient="landscape"/>
          <w:pgMar w:top="1440" w:right="1080" w:bottom="1440" w:left="1080" w:header="708" w:footer="708" w:gutter="0"/>
          <w:pgNumType w:start="3"/>
          <w:cols w:space="708"/>
          <w:titlePg/>
          <w:docGrid w:linePitch="360"/>
        </w:sectPr>
      </w:pPr>
    </w:p>
    <w:p w:rsidR="00CA6429" w:rsidRPr="0005616F" w:rsidRDefault="00CA6429"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lastRenderedPageBreak/>
        <w:t>Table S</w:t>
      </w:r>
      <w:r w:rsidR="004B5352" w:rsidRPr="0005616F">
        <w:rPr>
          <w:rFonts w:ascii="Times New Roman" w:hAnsi="Times New Roman" w:cs="Times New Roman"/>
          <w:b/>
          <w:color w:val="000000" w:themeColor="text1"/>
          <w:szCs w:val="24"/>
        </w:rPr>
        <w:t>2</w:t>
      </w:r>
      <w:r w:rsidRPr="0005616F">
        <w:rPr>
          <w:rFonts w:ascii="Times New Roman" w:hAnsi="Times New Roman" w:cs="Times New Roman"/>
          <w:b/>
          <w:color w:val="000000" w:themeColor="text1"/>
          <w:szCs w:val="24"/>
        </w:rPr>
        <w:t>. Percent contribution of background to total exposure for each hour after cooking</w:t>
      </w:r>
      <w:r w:rsidR="00C636F8" w:rsidRPr="0005616F">
        <w:rPr>
          <w:rFonts w:ascii="Times New Roman" w:hAnsi="Times New Roman" w:cs="Times New Roman"/>
          <w:b/>
          <w:color w:val="000000" w:themeColor="text1"/>
          <w:szCs w:val="24"/>
        </w:rPr>
        <w:t xml:space="preserve">, </w:t>
      </w:r>
      <w:r w:rsidR="00823DA4" w:rsidRPr="0005616F">
        <w:rPr>
          <w:rFonts w:ascii="Times New Roman" w:hAnsi="Times New Roman" w:cs="Times New Roman"/>
          <w:b/>
          <w:color w:val="000000" w:themeColor="text1"/>
          <w:szCs w:val="24"/>
        </w:rPr>
        <w:t>measured under Fan O</w:t>
      </w:r>
      <w:r w:rsidR="00C636F8" w:rsidRPr="0005616F">
        <w:rPr>
          <w:rFonts w:ascii="Times New Roman" w:hAnsi="Times New Roman" w:cs="Times New Roman"/>
          <w:b/>
          <w:color w:val="000000" w:themeColor="text1"/>
          <w:szCs w:val="24"/>
        </w:rPr>
        <w:t xml:space="preserve">ff </w:t>
      </w:r>
      <w:r w:rsidR="00823DA4" w:rsidRPr="0005616F">
        <w:rPr>
          <w:rFonts w:ascii="Times New Roman" w:hAnsi="Times New Roman" w:cs="Times New Roman"/>
          <w:b/>
          <w:color w:val="000000" w:themeColor="text1"/>
          <w:szCs w:val="24"/>
        </w:rPr>
        <w:t xml:space="preserve">After Cooking </w:t>
      </w:r>
      <w:r w:rsidR="00C636F8" w:rsidRPr="0005616F">
        <w:rPr>
          <w:rFonts w:ascii="Times New Roman" w:hAnsi="Times New Roman" w:cs="Times New Roman"/>
          <w:b/>
          <w:color w:val="000000" w:themeColor="text1"/>
          <w:szCs w:val="24"/>
        </w:rPr>
        <w:t>test condition</w:t>
      </w:r>
      <w:r w:rsidRPr="0005616F">
        <w:rPr>
          <w:rFonts w:ascii="Times New Roman" w:hAnsi="Times New Roman" w:cs="Times New Roman"/>
          <w:b/>
          <w:color w:val="000000" w:themeColor="text1"/>
          <w:szCs w:val="24"/>
        </w:rPr>
        <w:t>.</w:t>
      </w:r>
      <w:r w:rsidR="00B95866" w:rsidRPr="0005616F">
        <w:rPr>
          <w:rFonts w:ascii="Times New Roman" w:hAnsi="Times New Roman" w:cs="Times New Roman"/>
          <w:b/>
          <w:color w:val="000000" w:themeColor="text1"/>
          <w:szCs w:val="24"/>
        </w:rPr>
        <w:t xml:space="preserve"> </w:t>
      </w:r>
    </w:p>
    <w:tbl>
      <w:tblPr>
        <w:tblpPr w:leftFromText="180" w:rightFromText="180" w:vertAnchor="text" w:tblpY="1"/>
        <w:tblOverlap w:val="never"/>
        <w:tblW w:w="5000" w:type="pct"/>
        <w:tblLayout w:type="fixed"/>
        <w:tblLook w:val="04A0" w:firstRow="1" w:lastRow="0" w:firstColumn="1" w:lastColumn="0" w:noHBand="0" w:noVBand="1"/>
      </w:tblPr>
      <w:tblGrid>
        <w:gridCol w:w="1242"/>
        <w:gridCol w:w="694"/>
        <w:gridCol w:w="696"/>
        <w:gridCol w:w="693"/>
        <w:gridCol w:w="697"/>
        <w:gridCol w:w="693"/>
        <w:gridCol w:w="695"/>
        <w:gridCol w:w="695"/>
        <w:gridCol w:w="695"/>
        <w:gridCol w:w="695"/>
        <w:gridCol w:w="695"/>
        <w:gridCol w:w="695"/>
        <w:gridCol w:w="691"/>
      </w:tblGrid>
      <w:tr w:rsidR="00805109" w:rsidRPr="00805109" w:rsidTr="000E2D71">
        <w:trPr>
          <w:trHeight w:val="340"/>
        </w:trPr>
        <w:tc>
          <w:tcPr>
            <w:tcW w:w="648" w:type="pct"/>
            <w:vMerge w:val="restart"/>
            <w:tcBorders>
              <w:top w:val="single" w:sz="4" w:space="0" w:color="auto"/>
              <w:right w:val="single" w:sz="4" w:space="0" w:color="auto"/>
            </w:tcBorders>
            <w:shd w:val="clear" w:color="auto" w:fill="D9D9D9" w:themeFill="background1" w:themeFillShade="D9"/>
            <w:noWrap/>
            <w:vAlign w:val="center"/>
            <w:hideMark/>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Time of exposure</w:t>
            </w:r>
          </w:p>
        </w:tc>
        <w:tc>
          <w:tcPr>
            <w:tcW w:w="4352" w:type="pct"/>
            <w:gridSpan w:val="12"/>
            <w:tcBorders>
              <w:top w:val="single" w:sz="4" w:space="0" w:color="auto"/>
              <w:left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proofErr w:type="spellStart"/>
            <w:r w:rsidRPr="00805109">
              <w:rPr>
                <w:rFonts w:eastAsia="Times New Roman" w:cs="Arial"/>
                <w:b/>
                <w:color w:val="000000" w:themeColor="text1"/>
                <w:sz w:val="18"/>
                <w:szCs w:val="18"/>
              </w:rPr>
              <w:t>E</w:t>
            </w:r>
            <w:r w:rsidRPr="00805109">
              <w:rPr>
                <w:rFonts w:eastAsia="Times New Roman" w:cs="Arial"/>
                <w:b/>
                <w:color w:val="000000" w:themeColor="text1"/>
                <w:sz w:val="18"/>
                <w:szCs w:val="18"/>
                <w:vertAlign w:val="subscript"/>
              </w:rPr>
              <w:t>b</w:t>
            </w:r>
            <w:proofErr w:type="spellEnd"/>
            <w:r w:rsidRPr="00805109">
              <w:rPr>
                <w:rFonts w:eastAsia="Times New Roman" w:cs="Arial"/>
                <w:b/>
                <w:color w:val="000000" w:themeColor="text1"/>
                <w:sz w:val="18"/>
                <w:szCs w:val="18"/>
              </w:rPr>
              <w:t xml:space="preserve"> to E</w:t>
            </w:r>
            <w:r w:rsidRPr="00805109">
              <w:rPr>
                <w:rFonts w:eastAsia="Times New Roman" w:cs="Arial"/>
                <w:b/>
                <w:color w:val="000000" w:themeColor="text1"/>
                <w:sz w:val="18"/>
                <w:szCs w:val="18"/>
                <w:vertAlign w:val="subscript"/>
              </w:rPr>
              <w:t>t</w:t>
            </w:r>
            <w:r w:rsidRPr="00805109">
              <w:rPr>
                <w:rFonts w:eastAsia="Times New Roman" w:cs="Arial"/>
                <w:b/>
                <w:color w:val="000000" w:themeColor="text1"/>
                <w:sz w:val="18"/>
                <w:szCs w:val="18"/>
              </w:rPr>
              <w:t xml:space="preserve"> (%)</w:t>
            </w:r>
          </w:p>
        </w:tc>
      </w:tr>
      <w:tr w:rsidR="00805109" w:rsidRPr="00805109" w:rsidTr="000E2D71">
        <w:trPr>
          <w:trHeight w:val="340"/>
        </w:trPr>
        <w:tc>
          <w:tcPr>
            <w:tcW w:w="648" w:type="pct"/>
            <w:vMerge/>
            <w:tcBorders>
              <w:right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p>
        </w:tc>
        <w:tc>
          <w:tcPr>
            <w:tcW w:w="7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36 L/s</w:t>
            </w:r>
          </w:p>
        </w:tc>
        <w:tc>
          <w:tcPr>
            <w:tcW w:w="7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69  L/s</w:t>
            </w:r>
          </w:p>
        </w:tc>
        <w:tc>
          <w:tcPr>
            <w:tcW w:w="7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75  L/s</w:t>
            </w:r>
          </w:p>
        </w:tc>
        <w:tc>
          <w:tcPr>
            <w:tcW w:w="7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84  L/s</w:t>
            </w:r>
          </w:p>
        </w:tc>
        <w:tc>
          <w:tcPr>
            <w:tcW w:w="7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120  L/s</w:t>
            </w:r>
          </w:p>
        </w:tc>
        <w:tc>
          <w:tcPr>
            <w:tcW w:w="727" w:type="pct"/>
            <w:gridSpan w:val="2"/>
            <w:tcBorders>
              <w:top w:val="single" w:sz="4" w:space="0" w:color="auto"/>
              <w:left w:val="single" w:sz="4" w:space="0" w:color="auto"/>
              <w:bottom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146  L/s</w:t>
            </w:r>
          </w:p>
        </w:tc>
      </w:tr>
      <w:tr w:rsidR="00805109" w:rsidRPr="00805109" w:rsidTr="000E2D71">
        <w:trPr>
          <w:trHeight w:val="340"/>
        </w:trPr>
        <w:tc>
          <w:tcPr>
            <w:tcW w:w="648" w:type="pct"/>
            <w:vMerge/>
            <w:tcBorders>
              <w:bottom w:val="single" w:sz="4" w:space="0" w:color="auto"/>
              <w:right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p>
        </w:tc>
        <w:tc>
          <w:tcPr>
            <w:tcW w:w="362" w:type="pct"/>
            <w:tcBorders>
              <w:top w:val="single" w:sz="4" w:space="0" w:color="auto"/>
              <w:left w:val="single" w:sz="4" w:space="0" w:color="auto"/>
              <w:bottom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Mean</w:t>
            </w:r>
          </w:p>
        </w:tc>
        <w:tc>
          <w:tcPr>
            <w:tcW w:w="363" w:type="pct"/>
            <w:tcBorders>
              <w:top w:val="single" w:sz="4" w:space="0" w:color="auto"/>
              <w:bottom w:val="single" w:sz="4" w:space="0" w:color="auto"/>
              <w:right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SE</w:t>
            </w:r>
          </w:p>
        </w:tc>
        <w:tc>
          <w:tcPr>
            <w:tcW w:w="362" w:type="pct"/>
            <w:tcBorders>
              <w:top w:val="single" w:sz="4" w:space="0" w:color="auto"/>
              <w:left w:val="single" w:sz="4" w:space="0" w:color="auto"/>
              <w:bottom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Mean</w:t>
            </w:r>
          </w:p>
        </w:tc>
        <w:tc>
          <w:tcPr>
            <w:tcW w:w="363" w:type="pct"/>
            <w:tcBorders>
              <w:top w:val="single" w:sz="4" w:space="0" w:color="auto"/>
              <w:bottom w:val="single" w:sz="4" w:space="0" w:color="auto"/>
              <w:right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SE</w:t>
            </w:r>
          </w:p>
        </w:tc>
        <w:tc>
          <w:tcPr>
            <w:tcW w:w="362" w:type="pct"/>
            <w:tcBorders>
              <w:top w:val="single" w:sz="4" w:space="0" w:color="auto"/>
              <w:left w:val="single" w:sz="4" w:space="0" w:color="auto"/>
              <w:bottom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Mean</w:t>
            </w:r>
          </w:p>
        </w:tc>
        <w:tc>
          <w:tcPr>
            <w:tcW w:w="363" w:type="pct"/>
            <w:tcBorders>
              <w:top w:val="single" w:sz="4" w:space="0" w:color="auto"/>
              <w:bottom w:val="single" w:sz="4" w:space="0" w:color="auto"/>
              <w:right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SE</w:t>
            </w:r>
          </w:p>
        </w:tc>
        <w:tc>
          <w:tcPr>
            <w:tcW w:w="362" w:type="pct"/>
            <w:tcBorders>
              <w:top w:val="single" w:sz="4" w:space="0" w:color="auto"/>
              <w:left w:val="single" w:sz="4" w:space="0" w:color="auto"/>
              <w:bottom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Mean</w:t>
            </w:r>
          </w:p>
        </w:tc>
        <w:tc>
          <w:tcPr>
            <w:tcW w:w="363" w:type="pct"/>
            <w:tcBorders>
              <w:top w:val="single" w:sz="4" w:space="0" w:color="auto"/>
              <w:bottom w:val="single" w:sz="4" w:space="0" w:color="auto"/>
              <w:right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SE</w:t>
            </w:r>
          </w:p>
        </w:tc>
        <w:tc>
          <w:tcPr>
            <w:tcW w:w="362" w:type="pct"/>
            <w:tcBorders>
              <w:top w:val="single" w:sz="4" w:space="0" w:color="auto"/>
              <w:left w:val="single" w:sz="4" w:space="0" w:color="auto"/>
              <w:bottom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Mean</w:t>
            </w:r>
          </w:p>
        </w:tc>
        <w:tc>
          <w:tcPr>
            <w:tcW w:w="363" w:type="pct"/>
            <w:tcBorders>
              <w:top w:val="single" w:sz="4" w:space="0" w:color="auto"/>
              <w:bottom w:val="single" w:sz="4" w:space="0" w:color="auto"/>
              <w:right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SE</w:t>
            </w:r>
          </w:p>
        </w:tc>
        <w:tc>
          <w:tcPr>
            <w:tcW w:w="362" w:type="pct"/>
            <w:tcBorders>
              <w:top w:val="single" w:sz="4" w:space="0" w:color="auto"/>
              <w:left w:val="single" w:sz="4" w:space="0" w:color="auto"/>
              <w:bottom w:val="single" w:sz="4" w:space="0" w:color="auto"/>
            </w:tcBorders>
            <w:shd w:val="clear" w:color="auto" w:fill="D9D9D9" w:themeFill="background1" w:themeFillShade="D9"/>
            <w:noWrap/>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Mean</w:t>
            </w:r>
          </w:p>
        </w:tc>
        <w:tc>
          <w:tcPr>
            <w:tcW w:w="365" w:type="pct"/>
            <w:tcBorders>
              <w:top w:val="single" w:sz="4" w:space="0" w:color="auto"/>
              <w:bottom w:val="single" w:sz="4" w:space="0" w:color="auto"/>
            </w:tcBorders>
            <w:shd w:val="clear" w:color="auto" w:fill="D9D9D9" w:themeFill="background1" w:themeFillShade="D9"/>
            <w:vAlign w:val="center"/>
          </w:tcPr>
          <w:p w:rsidR="004C364F" w:rsidRPr="00805109" w:rsidRDefault="004C364F" w:rsidP="00D97BA2">
            <w:pPr>
              <w:spacing w:before="0" w:after="0" w:line="240" w:lineRule="auto"/>
              <w:jc w:val="center"/>
              <w:rPr>
                <w:rFonts w:eastAsia="Times New Roman" w:cs="Arial"/>
                <w:b/>
                <w:color w:val="000000" w:themeColor="text1"/>
                <w:sz w:val="18"/>
                <w:szCs w:val="18"/>
              </w:rPr>
            </w:pPr>
            <w:r w:rsidRPr="00805109">
              <w:rPr>
                <w:rFonts w:eastAsia="Times New Roman" w:cs="Arial"/>
                <w:b/>
                <w:color w:val="000000" w:themeColor="text1"/>
                <w:sz w:val="18"/>
                <w:szCs w:val="18"/>
              </w:rPr>
              <w:t>SE</w:t>
            </w:r>
          </w:p>
        </w:tc>
      </w:tr>
      <w:tr w:rsidR="00805109" w:rsidRPr="00805109" w:rsidTr="000E2D71">
        <w:trPr>
          <w:trHeight w:val="340"/>
        </w:trPr>
        <w:tc>
          <w:tcPr>
            <w:tcW w:w="648" w:type="pct"/>
            <w:tcBorders>
              <w:top w:val="single" w:sz="4" w:space="0" w:color="auto"/>
              <w:right w:val="single" w:sz="4" w:space="0" w:color="auto"/>
            </w:tcBorders>
            <w:shd w:val="clear" w:color="auto" w:fill="auto"/>
            <w:noWrap/>
            <w:vAlign w:val="center"/>
            <w:hideMark/>
          </w:tcPr>
          <w:p w:rsidR="004C364F" w:rsidRPr="00805109" w:rsidRDefault="004C364F" w:rsidP="00D97BA2">
            <w:pPr>
              <w:spacing w:before="0" w:after="0" w:line="240" w:lineRule="auto"/>
              <w:jc w:val="center"/>
              <w:rPr>
                <w:rFonts w:eastAsia="Times New Roman" w:cs="Arial"/>
                <w:color w:val="000000" w:themeColor="text1"/>
                <w:sz w:val="18"/>
                <w:szCs w:val="18"/>
              </w:rPr>
            </w:pPr>
            <w:r w:rsidRPr="00805109">
              <w:rPr>
                <w:rFonts w:eastAsia="Times New Roman" w:cs="Arial"/>
                <w:color w:val="000000" w:themeColor="text1"/>
                <w:sz w:val="18"/>
                <w:szCs w:val="18"/>
              </w:rPr>
              <w:t>1</w:t>
            </w:r>
            <w:r w:rsidRPr="00805109">
              <w:rPr>
                <w:rFonts w:eastAsia="Times New Roman" w:cs="Arial"/>
                <w:color w:val="000000" w:themeColor="text1"/>
                <w:sz w:val="18"/>
                <w:szCs w:val="18"/>
                <w:vertAlign w:val="superscript"/>
              </w:rPr>
              <w:t>st</w:t>
            </w:r>
            <w:r w:rsidRPr="00805109">
              <w:rPr>
                <w:rFonts w:eastAsia="Times New Roman" w:cs="Arial"/>
                <w:color w:val="000000" w:themeColor="text1"/>
                <w:sz w:val="18"/>
                <w:szCs w:val="18"/>
              </w:rPr>
              <w:t xml:space="preserve">  hr</w:t>
            </w:r>
          </w:p>
        </w:tc>
        <w:tc>
          <w:tcPr>
            <w:tcW w:w="362" w:type="pct"/>
            <w:tcBorders>
              <w:top w:val="single" w:sz="4" w:space="0" w:color="auto"/>
              <w:left w:val="single" w:sz="4" w:space="0" w:color="auto"/>
            </w:tcBorders>
            <w:shd w:val="clear" w:color="auto" w:fill="auto"/>
            <w:noWrap/>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4.37</w:t>
            </w:r>
          </w:p>
        </w:tc>
        <w:tc>
          <w:tcPr>
            <w:tcW w:w="363" w:type="pct"/>
            <w:tcBorders>
              <w:top w:val="single" w:sz="4" w:space="0" w:color="auto"/>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1.26</w:t>
            </w:r>
          </w:p>
        </w:tc>
        <w:tc>
          <w:tcPr>
            <w:tcW w:w="362" w:type="pct"/>
            <w:tcBorders>
              <w:top w:val="single" w:sz="4" w:space="0" w:color="auto"/>
              <w:left w:val="single" w:sz="4" w:space="0" w:color="auto"/>
            </w:tcBorders>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7.05</w:t>
            </w:r>
          </w:p>
        </w:tc>
        <w:tc>
          <w:tcPr>
            <w:tcW w:w="363" w:type="pct"/>
            <w:tcBorders>
              <w:top w:val="single" w:sz="4" w:space="0" w:color="auto"/>
              <w:right w:val="single" w:sz="4" w:space="0" w:color="auto"/>
            </w:tcBorders>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1.10</w:t>
            </w:r>
          </w:p>
        </w:tc>
        <w:tc>
          <w:tcPr>
            <w:tcW w:w="362" w:type="pct"/>
            <w:tcBorders>
              <w:top w:val="single" w:sz="4" w:space="0" w:color="auto"/>
              <w:left w:val="single" w:sz="4" w:space="0" w:color="auto"/>
            </w:tcBorders>
            <w:shd w:val="clear" w:color="auto" w:fill="auto"/>
            <w:noWrap/>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8.52</w:t>
            </w:r>
          </w:p>
        </w:tc>
        <w:tc>
          <w:tcPr>
            <w:tcW w:w="363" w:type="pct"/>
            <w:tcBorders>
              <w:top w:val="single" w:sz="4" w:space="0" w:color="auto"/>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4.17</w:t>
            </w:r>
          </w:p>
        </w:tc>
        <w:tc>
          <w:tcPr>
            <w:tcW w:w="363" w:type="pct"/>
            <w:tcBorders>
              <w:top w:val="single" w:sz="4" w:space="0" w:color="auto"/>
              <w:left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6</w:t>
            </w:r>
            <w:r w:rsidR="00E309E5" w:rsidRPr="00805109">
              <w:rPr>
                <w:rFonts w:cs="Arial"/>
                <w:color w:val="000000" w:themeColor="text1"/>
                <w:sz w:val="18"/>
                <w:szCs w:val="18"/>
              </w:rPr>
              <w:t>.22</w:t>
            </w:r>
          </w:p>
        </w:tc>
        <w:tc>
          <w:tcPr>
            <w:tcW w:w="362" w:type="pct"/>
            <w:tcBorders>
              <w:top w:val="single" w:sz="4" w:space="0" w:color="auto"/>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1.28</w:t>
            </w:r>
          </w:p>
        </w:tc>
        <w:tc>
          <w:tcPr>
            <w:tcW w:w="363" w:type="pct"/>
            <w:tcBorders>
              <w:top w:val="single" w:sz="4" w:space="0" w:color="auto"/>
              <w:left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10</w:t>
            </w:r>
            <w:r w:rsidR="00E309E5" w:rsidRPr="00805109">
              <w:rPr>
                <w:rFonts w:cs="Arial"/>
                <w:color w:val="000000" w:themeColor="text1"/>
                <w:sz w:val="18"/>
                <w:szCs w:val="18"/>
              </w:rPr>
              <w:t>.58</w:t>
            </w:r>
          </w:p>
        </w:tc>
        <w:tc>
          <w:tcPr>
            <w:tcW w:w="362" w:type="pct"/>
            <w:tcBorders>
              <w:top w:val="single" w:sz="4" w:space="0" w:color="auto"/>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1.35</w:t>
            </w:r>
          </w:p>
        </w:tc>
        <w:tc>
          <w:tcPr>
            <w:tcW w:w="363" w:type="pct"/>
            <w:tcBorders>
              <w:top w:val="single" w:sz="4" w:space="0" w:color="auto"/>
              <w:left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5</w:t>
            </w:r>
            <w:r w:rsidR="00E309E5" w:rsidRPr="00805109">
              <w:rPr>
                <w:rFonts w:cs="Arial"/>
                <w:color w:val="000000" w:themeColor="text1"/>
                <w:sz w:val="18"/>
                <w:szCs w:val="18"/>
              </w:rPr>
              <w:t>.75</w:t>
            </w:r>
          </w:p>
        </w:tc>
        <w:tc>
          <w:tcPr>
            <w:tcW w:w="363" w:type="pct"/>
            <w:tcBorders>
              <w:top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2.45</w:t>
            </w:r>
          </w:p>
        </w:tc>
      </w:tr>
      <w:tr w:rsidR="00805109" w:rsidRPr="00805109" w:rsidTr="000E2D71">
        <w:trPr>
          <w:trHeight w:val="340"/>
        </w:trPr>
        <w:tc>
          <w:tcPr>
            <w:tcW w:w="648" w:type="pct"/>
            <w:tcBorders>
              <w:right w:val="single" w:sz="4" w:space="0" w:color="auto"/>
            </w:tcBorders>
            <w:shd w:val="clear" w:color="auto" w:fill="auto"/>
            <w:noWrap/>
            <w:vAlign w:val="center"/>
            <w:hideMark/>
          </w:tcPr>
          <w:p w:rsidR="004C364F" w:rsidRPr="00805109" w:rsidRDefault="004C364F" w:rsidP="00D97BA2">
            <w:pPr>
              <w:spacing w:before="0" w:after="0" w:line="240" w:lineRule="auto"/>
              <w:jc w:val="center"/>
              <w:rPr>
                <w:rFonts w:eastAsia="Times New Roman" w:cs="Arial"/>
                <w:color w:val="000000" w:themeColor="text1"/>
                <w:sz w:val="18"/>
                <w:szCs w:val="18"/>
              </w:rPr>
            </w:pPr>
            <w:r w:rsidRPr="00805109">
              <w:rPr>
                <w:rFonts w:eastAsia="Times New Roman" w:cs="Arial"/>
                <w:color w:val="000000" w:themeColor="text1"/>
                <w:sz w:val="18"/>
                <w:szCs w:val="18"/>
              </w:rPr>
              <w:t>2</w:t>
            </w:r>
            <w:r w:rsidRPr="00805109">
              <w:rPr>
                <w:rFonts w:eastAsia="Times New Roman" w:cs="Arial"/>
                <w:color w:val="000000" w:themeColor="text1"/>
                <w:sz w:val="18"/>
                <w:szCs w:val="18"/>
                <w:vertAlign w:val="superscript"/>
              </w:rPr>
              <w:t>nd</w:t>
            </w:r>
            <w:r w:rsidRPr="00805109">
              <w:rPr>
                <w:rFonts w:eastAsia="Times New Roman" w:cs="Arial"/>
                <w:color w:val="000000" w:themeColor="text1"/>
                <w:sz w:val="18"/>
                <w:szCs w:val="18"/>
              </w:rPr>
              <w:t xml:space="preserve"> hr</w:t>
            </w:r>
          </w:p>
        </w:tc>
        <w:tc>
          <w:tcPr>
            <w:tcW w:w="362" w:type="pct"/>
            <w:tcBorders>
              <w:left w:val="single" w:sz="4" w:space="0" w:color="auto"/>
            </w:tcBorders>
            <w:shd w:val="clear" w:color="auto" w:fill="auto"/>
            <w:noWrap/>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13.93</w:t>
            </w:r>
          </w:p>
        </w:tc>
        <w:tc>
          <w:tcPr>
            <w:tcW w:w="363" w:type="pct"/>
            <w:tcBorders>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4.16</w:t>
            </w:r>
          </w:p>
        </w:tc>
        <w:tc>
          <w:tcPr>
            <w:tcW w:w="362" w:type="pct"/>
            <w:tcBorders>
              <w:left w:val="single" w:sz="4" w:space="0" w:color="auto"/>
            </w:tcBorders>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18</w:t>
            </w:r>
            <w:r w:rsidR="00E309E5" w:rsidRPr="00805109">
              <w:rPr>
                <w:rFonts w:cs="Arial"/>
                <w:color w:val="000000" w:themeColor="text1"/>
                <w:sz w:val="18"/>
                <w:szCs w:val="18"/>
              </w:rPr>
              <w:t>.59</w:t>
            </w:r>
          </w:p>
        </w:tc>
        <w:tc>
          <w:tcPr>
            <w:tcW w:w="363" w:type="pct"/>
            <w:tcBorders>
              <w:right w:val="single" w:sz="4" w:space="0" w:color="auto"/>
            </w:tcBorders>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2.52</w:t>
            </w:r>
          </w:p>
        </w:tc>
        <w:tc>
          <w:tcPr>
            <w:tcW w:w="362" w:type="pct"/>
            <w:tcBorders>
              <w:left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2</w:t>
            </w:r>
            <w:r w:rsidR="00E309E5" w:rsidRPr="00805109">
              <w:rPr>
                <w:rFonts w:cs="Arial"/>
                <w:color w:val="000000" w:themeColor="text1"/>
                <w:sz w:val="18"/>
                <w:szCs w:val="18"/>
              </w:rPr>
              <w:t>0.34</w:t>
            </w:r>
          </w:p>
        </w:tc>
        <w:tc>
          <w:tcPr>
            <w:tcW w:w="363" w:type="pct"/>
            <w:tcBorders>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9.78</w:t>
            </w:r>
          </w:p>
        </w:tc>
        <w:tc>
          <w:tcPr>
            <w:tcW w:w="363" w:type="pct"/>
            <w:tcBorders>
              <w:left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17</w:t>
            </w:r>
            <w:r w:rsidR="00E309E5" w:rsidRPr="00805109">
              <w:rPr>
                <w:rFonts w:cs="Arial"/>
                <w:color w:val="000000" w:themeColor="text1"/>
                <w:sz w:val="18"/>
                <w:szCs w:val="18"/>
              </w:rPr>
              <w:t>.40</w:t>
            </w:r>
          </w:p>
        </w:tc>
        <w:tc>
          <w:tcPr>
            <w:tcW w:w="362" w:type="pct"/>
            <w:tcBorders>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3.73</w:t>
            </w:r>
          </w:p>
        </w:tc>
        <w:tc>
          <w:tcPr>
            <w:tcW w:w="363" w:type="pct"/>
            <w:tcBorders>
              <w:left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24</w:t>
            </w:r>
            <w:r w:rsidR="00E309E5" w:rsidRPr="00805109">
              <w:rPr>
                <w:rFonts w:cs="Arial"/>
                <w:color w:val="000000" w:themeColor="text1"/>
                <w:sz w:val="18"/>
                <w:szCs w:val="18"/>
              </w:rPr>
              <w:t>.86</w:t>
            </w:r>
          </w:p>
        </w:tc>
        <w:tc>
          <w:tcPr>
            <w:tcW w:w="362" w:type="pct"/>
            <w:tcBorders>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3.17</w:t>
            </w:r>
          </w:p>
        </w:tc>
        <w:tc>
          <w:tcPr>
            <w:tcW w:w="363" w:type="pct"/>
            <w:tcBorders>
              <w:left w:val="single" w:sz="4" w:space="0" w:color="auto"/>
            </w:tcBorders>
            <w:shd w:val="clear" w:color="auto" w:fill="auto"/>
            <w:noWrap/>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12.21</w:t>
            </w:r>
          </w:p>
        </w:tc>
        <w:tc>
          <w:tcPr>
            <w:tcW w:w="363" w:type="pct"/>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3.86</w:t>
            </w:r>
          </w:p>
        </w:tc>
      </w:tr>
      <w:tr w:rsidR="00805109" w:rsidRPr="00805109" w:rsidTr="000E2D71">
        <w:trPr>
          <w:trHeight w:val="340"/>
        </w:trPr>
        <w:tc>
          <w:tcPr>
            <w:tcW w:w="648" w:type="pct"/>
            <w:tcBorders>
              <w:bottom w:val="single" w:sz="4" w:space="0" w:color="auto"/>
              <w:right w:val="single" w:sz="4" w:space="0" w:color="auto"/>
            </w:tcBorders>
            <w:shd w:val="clear" w:color="auto" w:fill="auto"/>
            <w:noWrap/>
            <w:vAlign w:val="center"/>
            <w:hideMark/>
          </w:tcPr>
          <w:p w:rsidR="004C364F" w:rsidRPr="00805109" w:rsidRDefault="004C364F" w:rsidP="00D97BA2">
            <w:pPr>
              <w:spacing w:before="0" w:after="0" w:line="240" w:lineRule="auto"/>
              <w:jc w:val="center"/>
              <w:rPr>
                <w:rFonts w:eastAsia="Times New Roman" w:cs="Arial"/>
                <w:color w:val="000000" w:themeColor="text1"/>
                <w:sz w:val="18"/>
                <w:szCs w:val="18"/>
              </w:rPr>
            </w:pPr>
            <w:r w:rsidRPr="00805109">
              <w:rPr>
                <w:rFonts w:eastAsia="Times New Roman" w:cs="Arial"/>
                <w:color w:val="000000" w:themeColor="text1"/>
                <w:sz w:val="18"/>
                <w:szCs w:val="18"/>
              </w:rPr>
              <w:t>3</w:t>
            </w:r>
            <w:r w:rsidRPr="00805109">
              <w:rPr>
                <w:rFonts w:eastAsia="Times New Roman" w:cs="Arial"/>
                <w:color w:val="000000" w:themeColor="text1"/>
                <w:sz w:val="18"/>
                <w:szCs w:val="18"/>
                <w:vertAlign w:val="superscript"/>
              </w:rPr>
              <w:t>rd</w:t>
            </w:r>
            <w:r w:rsidRPr="00805109">
              <w:rPr>
                <w:rFonts w:eastAsia="Times New Roman" w:cs="Arial"/>
                <w:color w:val="000000" w:themeColor="text1"/>
                <w:sz w:val="18"/>
                <w:szCs w:val="18"/>
              </w:rPr>
              <w:t xml:space="preserve"> hr</w:t>
            </w:r>
          </w:p>
        </w:tc>
        <w:tc>
          <w:tcPr>
            <w:tcW w:w="362" w:type="pct"/>
            <w:tcBorders>
              <w:left w:val="single" w:sz="4" w:space="0" w:color="auto"/>
              <w:bottom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2</w:t>
            </w:r>
            <w:r w:rsidR="00E309E5" w:rsidRPr="00805109">
              <w:rPr>
                <w:rFonts w:cs="Arial"/>
                <w:color w:val="000000" w:themeColor="text1"/>
                <w:sz w:val="18"/>
                <w:szCs w:val="18"/>
              </w:rPr>
              <w:t>2.39</w:t>
            </w:r>
          </w:p>
        </w:tc>
        <w:tc>
          <w:tcPr>
            <w:tcW w:w="363" w:type="pct"/>
            <w:tcBorders>
              <w:bottom w:val="single" w:sz="4" w:space="0" w:color="auto"/>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6.54</w:t>
            </w:r>
          </w:p>
        </w:tc>
        <w:tc>
          <w:tcPr>
            <w:tcW w:w="362" w:type="pct"/>
            <w:tcBorders>
              <w:left w:val="single" w:sz="4" w:space="0" w:color="auto"/>
              <w:bottom w:val="single" w:sz="4" w:space="0" w:color="auto"/>
            </w:tcBorders>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29</w:t>
            </w:r>
            <w:r w:rsidR="00E309E5" w:rsidRPr="00805109">
              <w:rPr>
                <w:rFonts w:cs="Arial"/>
                <w:color w:val="000000" w:themeColor="text1"/>
                <w:sz w:val="18"/>
                <w:szCs w:val="18"/>
              </w:rPr>
              <w:t>.76</w:t>
            </w:r>
          </w:p>
        </w:tc>
        <w:tc>
          <w:tcPr>
            <w:tcW w:w="363" w:type="pct"/>
            <w:tcBorders>
              <w:bottom w:val="single" w:sz="4" w:space="0" w:color="auto"/>
              <w:right w:val="single" w:sz="4" w:space="0" w:color="auto"/>
            </w:tcBorders>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4.15</w:t>
            </w:r>
          </w:p>
        </w:tc>
        <w:tc>
          <w:tcPr>
            <w:tcW w:w="362" w:type="pct"/>
            <w:tcBorders>
              <w:left w:val="single" w:sz="4" w:space="0" w:color="auto"/>
              <w:bottom w:val="single" w:sz="4" w:space="0" w:color="auto"/>
            </w:tcBorders>
            <w:shd w:val="clear" w:color="auto" w:fill="auto"/>
            <w:noWrap/>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21.66</w:t>
            </w:r>
          </w:p>
        </w:tc>
        <w:tc>
          <w:tcPr>
            <w:tcW w:w="363" w:type="pct"/>
            <w:tcBorders>
              <w:bottom w:val="single" w:sz="4" w:space="0" w:color="auto"/>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19.96</w:t>
            </w:r>
          </w:p>
        </w:tc>
        <w:tc>
          <w:tcPr>
            <w:tcW w:w="363" w:type="pct"/>
            <w:tcBorders>
              <w:left w:val="single" w:sz="4" w:space="0" w:color="auto"/>
              <w:bottom w:val="single" w:sz="4" w:space="0" w:color="auto"/>
            </w:tcBorders>
            <w:shd w:val="clear" w:color="auto" w:fill="auto"/>
            <w:noWrap/>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27.45</w:t>
            </w:r>
          </w:p>
        </w:tc>
        <w:tc>
          <w:tcPr>
            <w:tcW w:w="362" w:type="pct"/>
            <w:tcBorders>
              <w:bottom w:val="single" w:sz="4" w:space="0" w:color="auto"/>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5.82</w:t>
            </w:r>
          </w:p>
        </w:tc>
        <w:tc>
          <w:tcPr>
            <w:tcW w:w="363" w:type="pct"/>
            <w:tcBorders>
              <w:left w:val="single" w:sz="4" w:space="0" w:color="auto"/>
              <w:bottom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35</w:t>
            </w:r>
            <w:r w:rsidR="00E309E5" w:rsidRPr="00805109">
              <w:rPr>
                <w:rFonts w:cs="Arial"/>
                <w:color w:val="000000" w:themeColor="text1"/>
                <w:sz w:val="18"/>
                <w:szCs w:val="18"/>
              </w:rPr>
              <w:t>.97</w:t>
            </w:r>
          </w:p>
        </w:tc>
        <w:tc>
          <w:tcPr>
            <w:tcW w:w="362" w:type="pct"/>
            <w:tcBorders>
              <w:bottom w:val="single" w:sz="4" w:space="0" w:color="auto"/>
              <w:right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4.36</w:t>
            </w:r>
          </w:p>
        </w:tc>
        <w:tc>
          <w:tcPr>
            <w:tcW w:w="363" w:type="pct"/>
            <w:tcBorders>
              <w:left w:val="single" w:sz="4" w:space="0" w:color="auto"/>
              <w:bottom w:val="single" w:sz="4" w:space="0" w:color="auto"/>
            </w:tcBorders>
            <w:shd w:val="clear" w:color="auto" w:fill="auto"/>
            <w:noWrap/>
            <w:vAlign w:val="center"/>
          </w:tcPr>
          <w:p w:rsidR="004C364F" w:rsidRPr="00805109" w:rsidRDefault="004C364F"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1</w:t>
            </w:r>
            <w:r w:rsidR="00E309E5" w:rsidRPr="00805109">
              <w:rPr>
                <w:rFonts w:cs="Arial"/>
                <w:color w:val="000000" w:themeColor="text1"/>
                <w:sz w:val="18"/>
                <w:szCs w:val="18"/>
              </w:rPr>
              <w:t>8.53</w:t>
            </w:r>
          </w:p>
        </w:tc>
        <w:tc>
          <w:tcPr>
            <w:tcW w:w="363" w:type="pct"/>
            <w:tcBorders>
              <w:bottom w:val="single" w:sz="4" w:space="0" w:color="auto"/>
            </w:tcBorders>
            <w:shd w:val="clear" w:color="auto" w:fill="auto"/>
            <w:vAlign w:val="center"/>
          </w:tcPr>
          <w:p w:rsidR="004C364F" w:rsidRPr="00805109" w:rsidRDefault="00E309E5" w:rsidP="00D97BA2">
            <w:pPr>
              <w:spacing w:before="0" w:after="0" w:line="240" w:lineRule="auto"/>
              <w:jc w:val="center"/>
              <w:rPr>
                <w:rFonts w:cs="Arial"/>
                <w:color w:val="000000" w:themeColor="text1"/>
                <w:sz w:val="18"/>
                <w:szCs w:val="18"/>
              </w:rPr>
            </w:pPr>
            <w:r w:rsidRPr="00805109">
              <w:rPr>
                <w:rFonts w:cs="Arial"/>
                <w:color w:val="000000" w:themeColor="text1"/>
                <w:sz w:val="18"/>
                <w:szCs w:val="18"/>
              </w:rPr>
              <w:t>5.30</w:t>
            </w:r>
          </w:p>
        </w:tc>
      </w:tr>
    </w:tbl>
    <w:p w:rsidR="00BC2624" w:rsidRPr="00805109" w:rsidRDefault="00BC2624" w:rsidP="00D97BA2">
      <w:pPr>
        <w:spacing w:before="0" w:after="0" w:line="240" w:lineRule="auto"/>
        <w:rPr>
          <w:rFonts w:ascii="Times New Roman" w:hAnsi="Times New Roman" w:cs="Times New Roman"/>
          <w:b/>
          <w:color w:val="000000" w:themeColor="text1"/>
          <w:sz w:val="4"/>
          <w:szCs w:val="4"/>
        </w:rPr>
      </w:pPr>
    </w:p>
    <w:p w:rsidR="00D97BA2" w:rsidRDefault="00D97BA2" w:rsidP="00D97BA2">
      <w:pPr>
        <w:spacing w:before="0" w:after="0" w:line="240" w:lineRule="auto"/>
        <w:rPr>
          <w:rFonts w:ascii="Times New Roman" w:hAnsi="Times New Roman" w:cs="Times New Roman"/>
          <w:b/>
          <w:color w:val="000000" w:themeColor="text1"/>
        </w:rPr>
      </w:pPr>
    </w:p>
    <w:p w:rsidR="005675FA" w:rsidRPr="0005616F" w:rsidRDefault="005675FA"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t>Decay and Deposition Rates</w:t>
      </w:r>
    </w:p>
    <w:p w:rsidR="005675FA" w:rsidRDefault="005675FA" w:rsidP="00D97BA2">
      <w:pPr>
        <w:spacing w:before="0" w:after="0" w:line="240" w:lineRule="auto"/>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Measured decay rates (</w:t>
      </w:r>
      <w:proofErr w:type="spellStart"/>
      <w:r w:rsidRPr="0005616F">
        <w:rPr>
          <w:rFonts w:ascii="Times New Roman" w:hAnsi="Times New Roman" w:cs="Times New Roman"/>
          <w:i/>
          <w:color w:val="000000" w:themeColor="text1"/>
          <w:szCs w:val="24"/>
        </w:rPr>
        <w:t>a+k</w:t>
      </w:r>
      <w:proofErr w:type="spellEnd"/>
      <w:r w:rsidRPr="0005616F">
        <w:rPr>
          <w:rFonts w:ascii="Times New Roman" w:hAnsi="Times New Roman" w:cs="Times New Roman"/>
          <w:color w:val="000000" w:themeColor="text1"/>
          <w:szCs w:val="24"/>
        </w:rPr>
        <w:t>) and estimated deposition rates (</w:t>
      </w:r>
      <w:r w:rsidRPr="0005616F">
        <w:rPr>
          <w:rFonts w:ascii="Times New Roman" w:hAnsi="Times New Roman" w:cs="Times New Roman"/>
          <w:i/>
          <w:color w:val="000000" w:themeColor="text1"/>
          <w:szCs w:val="24"/>
        </w:rPr>
        <w:t>k</w:t>
      </w:r>
      <w:r w:rsidRPr="0005616F">
        <w:rPr>
          <w:rFonts w:ascii="Times New Roman" w:hAnsi="Times New Roman" w:cs="Times New Roman"/>
          <w:color w:val="000000" w:themeColor="text1"/>
          <w:szCs w:val="24"/>
        </w:rPr>
        <w:t xml:space="preserve">) are presented in Tables S3 and S4. The deposition rates are compared with previous studies in Figure </w:t>
      </w:r>
      <w:r w:rsidR="00C87617" w:rsidRPr="0005616F">
        <w:rPr>
          <w:rFonts w:ascii="Times New Roman" w:hAnsi="Times New Roman" w:cs="Times New Roman"/>
          <w:color w:val="000000" w:themeColor="text1"/>
          <w:szCs w:val="24"/>
        </w:rPr>
        <w:t>S</w:t>
      </w:r>
      <w:r w:rsidR="00C87617">
        <w:rPr>
          <w:rFonts w:ascii="Times New Roman" w:hAnsi="Times New Roman" w:cs="Times New Roman"/>
          <w:color w:val="000000" w:themeColor="text1"/>
          <w:szCs w:val="24"/>
        </w:rPr>
        <w:t>5</w:t>
      </w:r>
      <w:r w:rsidRPr="0005616F">
        <w:rPr>
          <w:rFonts w:ascii="Times New Roman" w:hAnsi="Times New Roman" w:cs="Times New Roman"/>
          <w:color w:val="000000" w:themeColor="text1"/>
          <w:szCs w:val="24"/>
        </w:rPr>
        <w:t>. The experimental conditions of the studies are summarized in Table S5.</w:t>
      </w:r>
    </w:p>
    <w:p w:rsidR="0005616F" w:rsidRPr="0005616F" w:rsidRDefault="0005616F" w:rsidP="00D97BA2">
      <w:pPr>
        <w:spacing w:before="0" w:after="0" w:line="240" w:lineRule="auto"/>
        <w:rPr>
          <w:rFonts w:ascii="Times New Roman" w:hAnsi="Times New Roman" w:cs="Times New Roman"/>
          <w:color w:val="000000" w:themeColor="text1"/>
          <w:szCs w:val="24"/>
        </w:rPr>
      </w:pPr>
    </w:p>
    <w:p w:rsidR="0045508B" w:rsidRPr="0005616F" w:rsidRDefault="0045508B" w:rsidP="00D97BA2">
      <w:pPr>
        <w:spacing w:before="0" w:after="0" w:line="240" w:lineRule="auto"/>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All studies agree that the deposition of particles is a function of particle size; however, the log-linear slopes of regression lines in this study ranged from -0.5 to -0.3, which was smaller than the range (-1.1 to -0.8) found in other studies. The causes of this variability are not yet well understood. In studies by </w:t>
      </w:r>
      <w:r w:rsidR="00F838E7" w:rsidRPr="0005616F">
        <w:rPr>
          <w:rFonts w:ascii="Times New Roman" w:hAnsi="Times New Roman" w:cs="Times New Roman"/>
          <w:color w:val="000000" w:themeColor="text1"/>
          <w:szCs w:val="24"/>
        </w:rPr>
        <w:t>Wallace et al. (2004), Rim et al. (2012</w:t>
      </w:r>
      <w:r w:rsidR="00F66AF3" w:rsidRPr="0005616F">
        <w:rPr>
          <w:rFonts w:ascii="Times New Roman" w:hAnsi="Times New Roman" w:cs="Times New Roman"/>
          <w:color w:val="000000" w:themeColor="text1"/>
          <w:szCs w:val="24"/>
        </w:rPr>
        <w:t>) and Lee et al. (2014)</w:t>
      </w:r>
      <w:r w:rsidR="00535BC2"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deposition was </w:t>
      </w:r>
      <w:r w:rsidR="00C071B8" w:rsidRPr="0005616F">
        <w:rPr>
          <w:rFonts w:ascii="Times New Roman" w:hAnsi="Times New Roman" w:cs="Times New Roman"/>
          <w:color w:val="000000" w:themeColor="text1"/>
          <w:szCs w:val="24"/>
        </w:rPr>
        <w:t>a dominated</w:t>
      </w:r>
      <w:r w:rsidRPr="0005616F">
        <w:rPr>
          <w:rFonts w:ascii="Times New Roman" w:hAnsi="Times New Roman" w:cs="Times New Roman"/>
          <w:color w:val="000000" w:themeColor="text1"/>
          <w:szCs w:val="24"/>
        </w:rPr>
        <w:t xml:space="preserve"> removal mechanism</w:t>
      </w:r>
      <w:r w:rsidR="00C071B8" w:rsidRPr="0005616F">
        <w:rPr>
          <w:rFonts w:ascii="Times New Roman" w:hAnsi="Times New Roman" w:cs="Times New Roman"/>
          <w:color w:val="000000" w:themeColor="text1"/>
          <w:szCs w:val="24"/>
        </w:rPr>
        <w:t xml:space="preserve"> compared to particle</w:t>
      </w:r>
      <w:r w:rsidRPr="0005616F">
        <w:rPr>
          <w:rFonts w:ascii="Times New Roman" w:hAnsi="Times New Roman" w:cs="Times New Roman"/>
          <w:color w:val="000000" w:themeColor="text1"/>
          <w:szCs w:val="24"/>
        </w:rPr>
        <w:t xml:space="preserve"> loss due to air exchange. In this study,</w:t>
      </w:r>
      <w:r w:rsidR="0004144B"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the loss of particles due to air exchange was more significant than deposition during the operation of a venting range hood. Probably due to this effect, the difference in deposition rates across particle size was reduced.</w:t>
      </w:r>
    </w:p>
    <w:p w:rsidR="00D97BA2" w:rsidRPr="0005616F" w:rsidRDefault="00D97BA2" w:rsidP="00D97BA2">
      <w:pPr>
        <w:spacing w:before="0" w:after="0" w:line="240" w:lineRule="auto"/>
        <w:rPr>
          <w:rFonts w:ascii="Times New Roman" w:hAnsi="Times New Roman" w:cs="Times New Roman"/>
          <w:color w:val="000000" w:themeColor="text1"/>
          <w:szCs w:val="24"/>
        </w:rPr>
      </w:pPr>
    </w:p>
    <w:p w:rsidR="008C06FE" w:rsidRPr="0005616F" w:rsidRDefault="00C071B8" w:rsidP="00D97BA2">
      <w:pPr>
        <w:spacing w:before="0" w:after="0" w:line="240" w:lineRule="auto"/>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Despite the differences, t</w:t>
      </w:r>
      <w:r w:rsidR="0045508B" w:rsidRPr="0005616F">
        <w:rPr>
          <w:rFonts w:ascii="Times New Roman" w:hAnsi="Times New Roman" w:cs="Times New Roman"/>
          <w:color w:val="000000" w:themeColor="text1"/>
          <w:szCs w:val="24"/>
        </w:rPr>
        <w:t xml:space="preserve">he </w:t>
      </w:r>
      <w:r w:rsidR="0004144B" w:rsidRPr="0005616F">
        <w:rPr>
          <w:rFonts w:ascii="Times New Roman" w:hAnsi="Times New Roman" w:cs="Times New Roman"/>
          <w:color w:val="000000" w:themeColor="text1"/>
          <w:szCs w:val="24"/>
        </w:rPr>
        <w:t xml:space="preserve">deposition rates </w:t>
      </w:r>
      <w:r w:rsidR="0045508B" w:rsidRPr="0005616F">
        <w:rPr>
          <w:rFonts w:ascii="Times New Roman" w:hAnsi="Times New Roman" w:cs="Times New Roman"/>
          <w:color w:val="000000" w:themeColor="text1"/>
          <w:szCs w:val="24"/>
        </w:rPr>
        <w:t>found in this study (0.34 to 2.67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were within the range of values reported by other</w:t>
      </w:r>
      <w:r w:rsidR="007C7BD3" w:rsidRPr="0005616F">
        <w:rPr>
          <w:rFonts w:ascii="Times New Roman" w:hAnsi="Times New Roman" w:cs="Times New Roman"/>
          <w:color w:val="000000" w:themeColor="text1"/>
          <w:szCs w:val="24"/>
        </w:rPr>
        <w:t xml:space="preserve"> studies. </w:t>
      </w:r>
      <w:r w:rsidR="00F838E7" w:rsidRPr="0005616F">
        <w:rPr>
          <w:rFonts w:ascii="Times New Roman" w:hAnsi="Times New Roman" w:cs="Times New Roman"/>
          <w:color w:val="000000" w:themeColor="text1"/>
          <w:szCs w:val="24"/>
        </w:rPr>
        <w:t>Wallace et al. (2004</w:t>
      </w:r>
      <w:r w:rsidR="00F66AF3" w:rsidRPr="0005616F">
        <w:rPr>
          <w:rFonts w:ascii="Times New Roman" w:hAnsi="Times New Roman" w:cs="Times New Roman"/>
          <w:color w:val="000000" w:themeColor="text1"/>
          <w:szCs w:val="24"/>
        </w:rPr>
        <w:t xml:space="preserve">) </w:t>
      </w:r>
      <w:r w:rsidR="0045508B" w:rsidRPr="0005616F">
        <w:rPr>
          <w:rFonts w:ascii="Times New Roman" w:hAnsi="Times New Roman" w:cs="Times New Roman"/>
          <w:color w:val="000000" w:themeColor="text1"/>
          <w:szCs w:val="24"/>
        </w:rPr>
        <w:t>studied the effect of central fans and in-duct filters on deposition rates of ultrafine and submicrometer particles in an occupied townhouse. They found the use of central fan with no filter or with a standard furnace filter increased particle deposition rates by 0.1—0.5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compared with central fan off conditions. In that study, the deposition rates decreased as particle size increased, from 4.1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for 12 nm particles to 0.57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for 100 nm particles. Their results were very close to</w:t>
      </w:r>
      <w:r w:rsidR="007C7BD3" w:rsidRPr="0005616F">
        <w:rPr>
          <w:rFonts w:ascii="Times New Roman" w:hAnsi="Times New Roman" w:cs="Times New Roman"/>
          <w:color w:val="000000" w:themeColor="text1"/>
          <w:szCs w:val="24"/>
        </w:rPr>
        <w:t xml:space="preserve"> those found by </w:t>
      </w:r>
      <w:r w:rsidR="00F66AF3" w:rsidRPr="0005616F">
        <w:rPr>
          <w:rFonts w:ascii="Times New Roman" w:hAnsi="Times New Roman" w:cs="Times New Roman"/>
          <w:color w:val="000000" w:themeColor="text1"/>
          <w:szCs w:val="24"/>
        </w:rPr>
        <w:t>Benes and Holub (1996),</w:t>
      </w:r>
      <w:r w:rsidR="0045508B" w:rsidRPr="0005616F">
        <w:rPr>
          <w:rFonts w:ascii="Times New Roman" w:hAnsi="Times New Roman" w:cs="Times New Roman"/>
          <w:color w:val="000000" w:themeColor="text1"/>
          <w:szCs w:val="24"/>
        </w:rPr>
        <w:t xml:space="preserve"> who studied the plate-out of the radon daughter </w:t>
      </w:r>
      <w:r w:rsidR="0045508B" w:rsidRPr="0005616F">
        <w:rPr>
          <w:rFonts w:ascii="Times New Roman" w:hAnsi="Times New Roman" w:cs="Times New Roman"/>
          <w:color w:val="000000" w:themeColor="text1"/>
          <w:szCs w:val="24"/>
          <w:vertAlign w:val="superscript"/>
        </w:rPr>
        <w:t>218</w:t>
      </w:r>
      <w:r w:rsidR="0045508B" w:rsidRPr="0005616F">
        <w:rPr>
          <w:rFonts w:ascii="Times New Roman" w:hAnsi="Times New Roman" w:cs="Times New Roman"/>
          <w:color w:val="000000" w:themeColor="text1"/>
          <w:szCs w:val="24"/>
        </w:rPr>
        <w:t>Po in mines, both theoretically and experimentally. For the theoretical approach, they considered a bulk volume and a boundary layer with a fractal surface, selecting a Koch curve as the boundary. Thus they extended previous work from smooth to rough surfaces. For the experimental work, they employed a chamber of 3.865 m</w:t>
      </w:r>
      <w:r w:rsidR="0045508B" w:rsidRPr="0005616F">
        <w:rPr>
          <w:rFonts w:ascii="Times New Roman" w:hAnsi="Times New Roman" w:cs="Times New Roman"/>
          <w:color w:val="000000" w:themeColor="text1"/>
          <w:szCs w:val="24"/>
          <w:vertAlign w:val="superscript"/>
        </w:rPr>
        <w:t>3</w:t>
      </w:r>
      <w:r w:rsidR="0045508B" w:rsidRPr="0005616F">
        <w:rPr>
          <w:rFonts w:ascii="Times New Roman" w:hAnsi="Times New Roman" w:cs="Times New Roman"/>
          <w:color w:val="000000" w:themeColor="text1"/>
          <w:szCs w:val="24"/>
        </w:rPr>
        <w:t xml:space="preserve"> and measured particle deposition rates in the 1-300 nm size range</w:t>
      </w:r>
      <w:r w:rsidR="00F66AF3" w:rsidRPr="0005616F">
        <w:rPr>
          <w:rFonts w:ascii="Times New Roman" w:hAnsi="Times New Roman" w:cs="Times New Roman"/>
          <w:color w:val="000000" w:themeColor="text1"/>
          <w:szCs w:val="24"/>
        </w:rPr>
        <w:t xml:space="preserve"> (Holub 1984). </w:t>
      </w:r>
      <w:r w:rsidR="0045508B" w:rsidRPr="0005616F">
        <w:rPr>
          <w:rFonts w:ascii="Times New Roman" w:hAnsi="Times New Roman" w:cs="Times New Roman"/>
          <w:color w:val="000000" w:themeColor="text1"/>
          <w:szCs w:val="24"/>
        </w:rPr>
        <w:t>For UFP, the deposition rates decreased from 97.2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for 1 nm particles to 0.72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for 100</w:t>
      </w:r>
      <w:r w:rsidR="00535BC2" w:rsidRPr="0005616F">
        <w:rPr>
          <w:rFonts w:ascii="Times New Roman" w:hAnsi="Times New Roman" w:cs="Times New Roman"/>
          <w:color w:val="000000" w:themeColor="text1"/>
          <w:szCs w:val="24"/>
        </w:rPr>
        <w:t xml:space="preserve"> nm particles. Rim et al</w:t>
      </w:r>
      <w:r w:rsidR="007C7BD3" w:rsidRPr="0005616F">
        <w:rPr>
          <w:rFonts w:ascii="Times New Roman" w:hAnsi="Times New Roman" w:cs="Times New Roman"/>
          <w:color w:val="000000" w:themeColor="text1"/>
          <w:szCs w:val="24"/>
        </w:rPr>
        <w:t>.</w:t>
      </w:r>
      <w:r w:rsidR="00F66AF3" w:rsidRPr="0005616F">
        <w:rPr>
          <w:rFonts w:ascii="Times New Roman" w:hAnsi="Times New Roman" w:cs="Times New Roman"/>
          <w:color w:val="000000" w:themeColor="text1"/>
          <w:szCs w:val="24"/>
          <w:vertAlign w:val="superscript"/>
        </w:rPr>
        <w:t xml:space="preserve"> </w:t>
      </w:r>
      <w:r w:rsidR="00F66AF3" w:rsidRPr="0005616F">
        <w:rPr>
          <w:rFonts w:ascii="Times New Roman" w:hAnsi="Times New Roman" w:cs="Times New Roman"/>
          <w:color w:val="000000" w:themeColor="text1"/>
          <w:szCs w:val="24"/>
        </w:rPr>
        <w:t>(</w:t>
      </w:r>
      <w:r w:rsidR="00F838E7" w:rsidRPr="0005616F">
        <w:rPr>
          <w:rFonts w:ascii="Times New Roman" w:hAnsi="Times New Roman" w:cs="Times New Roman"/>
          <w:color w:val="000000" w:themeColor="text1"/>
          <w:szCs w:val="24"/>
        </w:rPr>
        <w:t>2012</w:t>
      </w:r>
      <w:r w:rsidR="00F66AF3" w:rsidRPr="0005616F">
        <w:rPr>
          <w:rFonts w:ascii="Times New Roman" w:hAnsi="Times New Roman" w:cs="Times New Roman"/>
          <w:color w:val="000000" w:themeColor="text1"/>
          <w:szCs w:val="24"/>
        </w:rPr>
        <w:t>)</w:t>
      </w:r>
      <w:r w:rsidR="0045508B" w:rsidRPr="0005616F">
        <w:rPr>
          <w:rFonts w:ascii="Times New Roman" w:hAnsi="Times New Roman" w:cs="Times New Roman"/>
          <w:color w:val="000000" w:themeColor="text1"/>
          <w:szCs w:val="24"/>
        </w:rPr>
        <w:t xml:space="preserve"> estimated the deposition rates of particles (5-100 nm) with the central fan operating, which included particle losses to the furnace filter and to the ductwork as well as to interior surfaces. The deposition rates decreased from 2.8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for 5 nm particles to 0.3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for 100</w:t>
      </w:r>
      <w:r w:rsidR="00535BC2" w:rsidRPr="0005616F">
        <w:rPr>
          <w:rFonts w:ascii="Times New Roman" w:hAnsi="Times New Roman" w:cs="Times New Roman"/>
          <w:color w:val="000000" w:themeColor="text1"/>
          <w:szCs w:val="24"/>
        </w:rPr>
        <w:t xml:space="preserve"> nm particles. </w:t>
      </w:r>
      <w:r w:rsidR="00F66AF3" w:rsidRPr="0005616F">
        <w:rPr>
          <w:rFonts w:ascii="Times New Roman" w:hAnsi="Times New Roman" w:cs="Times New Roman"/>
          <w:color w:val="000000" w:themeColor="text1"/>
          <w:szCs w:val="24"/>
        </w:rPr>
        <w:t xml:space="preserve">Lee et al. (2014) </w:t>
      </w:r>
      <w:r w:rsidR="0045508B" w:rsidRPr="0005616F">
        <w:rPr>
          <w:rFonts w:ascii="Times New Roman" w:hAnsi="Times New Roman" w:cs="Times New Roman"/>
          <w:color w:val="000000" w:themeColor="text1"/>
          <w:szCs w:val="24"/>
        </w:rPr>
        <w:t>estimated the deposition of size-resolved ultrafine and submicrometer particles in a well-mixed residential environment. For UFP, the average deposition rates across three ventilation conditions decreased from 4.75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(&lt; 20 nm) to 1.24 h</w:t>
      </w:r>
      <w:r w:rsidR="0045508B" w:rsidRPr="0005616F">
        <w:rPr>
          <w:rFonts w:ascii="Times New Roman" w:hAnsi="Times New Roman" w:cs="Times New Roman"/>
          <w:color w:val="000000" w:themeColor="text1"/>
          <w:szCs w:val="24"/>
          <w:vertAlign w:val="superscript"/>
        </w:rPr>
        <w:t>-1</w:t>
      </w:r>
      <w:r w:rsidR="0045508B" w:rsidRPr="0005616F">
        <w:rPr>
          <w:rFonts w:ascii="Times New Roman" w:hAnsi="Times New Roman" w:cs="Times New Roman"/>
          <w:color w:val="000000" w:themeColor="text1"/>
          <w:szCs w:val="24"/>
        </w:rPr>
        <w:t xml:space="preserve"> (80-100 nm). The results </w:t>
      </w:r>
      <w:r w:rsidR="00F838E7" w:rsidRPr="0005616F">
        <w:rPr>
          <w:rFonts w:ascii="Times New Roman" w:hAnsi="Times New Roman" w:cs="Times New Roman"/>
          <w:color w:val="000000" w:themeColor="text1"/>
          <w:szCs w:val="24"/>
        </w:rPr>
        <w:t>in</w:t>
      </w:r>
      <w:r w:rsidR="0045508B" w:rsidRPr="0005616F">
        <w:rPr>
          <w:rFonts w:ascii="Times New Roman" w:hAnsi="Times New Roman" w:cs="Times New Roman"/>
          <w:color w:val="000000" w:themeColor="text1"/>
          <w:szCs w:val="24"/>
        </w:rPr>
        <w:t xml:space="preserve"> Lee et al. </w:t>
      </w:r>
      <w:r w:rsidR="00F838E7" w:rsidRPr="0005616F">
        <w:rPr>
          <w:rFonts w:ascii="Times New Roman" w:hAnsi="Times New Roman" w:cs="Times New Roman"/>
          <w:color w:val="000000" w:themeColor="text1"/>
          <w:szCs w:val="24"/>
        </w:rPr>
        <w:t xml:space="preserve">study </w:t>
      </w:r>
      <w:r w:rsidR="0045508B" w:rsidRPr="0005616F">
        <w:rPr>
          <w:rFonts w:ascii="Times New Roman" w:hAnsi="Times New Roman" w:cs="Times New Roman"/>
          <w:color w:val="000000" w:themeColor="text1"/>
          <w:szCs w:val="24"/>
        </w:rPr>
        <w:t>were higher than those from the others, possibly because of the effects of enhanced air</w:t>
      </w:r>
      <w:r w:rsidR="00F1302A" w:rsidRPr="0005616F">
        <w:rPr>
          <w:rFonts w:ascii="Times New Roman" w:hAnsi="Times New Roman" w:cs="Times New Roman"/>
          <w:color w:val="000000" w:themeColor="text1"/>
          <w:szCs w:val="24"/>
        </w:rPr>
        <w:t xml:space="preserve"> mixing using </w:t>
      </w:r>
      <w:r w:rsidR="0045508B" w:rsidRPr="0005616F">
        <w:rPr>
          <w:rFonts w:ascii="Times New Roman" w:hAnsi="Times New Roman" w:cs="Times New Roman"/>
          <w:color w:val="000000" w:themeColor="text1"/>
          <w:szCs w:val="24"/>
        </w:rPr>
        <w:t>portable fans.</w:t>
      </w:r>
    </w:p>
    <w:p w:rsidR="00D97BA2" w:rsidRPr="0005616F" w:rsidRDefault="00D97BA2" w:rsidP="00D97BA2">
      <w:pPr>
        <w:spacing w:before="0" w:after="0" w:line="240" w:lineRule="auto"/>
        <w:rPr>
          <w:rFonts w:ascii="Times New Roman" w:hAnsi="Times New Roman" w:cs="Times New Roman"/>
          <w:color w:val="000000" w:themeColor="text1"/>
          <w:szCs w:val="24"/>
        </w:rPr>
      </w:pPr>
    </w:p>
    <w:p w:rsidR="005675FA" w:rsidRPr="0005616F" w:rsidRDefault="005675FA"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lastRenderedPageBreak/>
        <w:t xml:space="preserve">Table S3. Summary statistics for size-resolved </w:t>
      </w:r>
      <w:r w:rsidR="00F838E7" w:rsidRPr="0005616F">
        <w:rPr>
          <w:rFonts w:ascii="Times New Roman" w:hAnsi="Times New Roman" w:cs="Times New Roman"/>
          <w:b/>
          <w:color w:val="000000" w:themeColor="text1"/>
          <w:szCs w:val="24"/>
        </w:rPr>
        <w:t xml:space="preserve">and total </w:t>
      </w:r>
      <w:r w:rsidRPr="0005616F">
        <w:rPr>
          <w:rFonts w:ascii="Times New Roman" w:hAnsi="Times New Roman" w:cs="Times New Roman"/>
          <w:b/>
          <w:color w:val="000000" w:themeColor="text1"/>
          <w:szCs w:val="24"/>
        </w:rPr>
        <w:t>UFP decay rates (</w:t>
      </w:r>
      <w:r w:rsidRPr="0005616F">
        <w:rPr>
          <w:rFonts w:ascii="Times New Roman" w:hAnsi="Times New Roman" w:cs="Times New Roman"/>
          <w:b/>
          <w:i/>
          <w:color w:val="000000" w:themeColor="text1"/>
          <w:szCs w:val="24"/>
        </w:rPr>
        <w:t>k+α</w:t>
      </w:r>
      <w:r w:rsidRPr="0005616F">
        <w:rPr>
          <w:rFonts w:ascii="Times New Roman" w:hAnsi="Times New Roman" w:cs="Times New Roman"/>
          <w:b/>
          <w:color w:val="000000" w:themeColor="text1"/>
          <w:szCs w:val="24"/>
        </w:rPr>
        <w:t>) associated with different range hood flow rates</w:t>
      </w:r>
      <w:r w:rsidR="00FA1C1F" w:rsidRPr="0005616F">
        <w:rPr>
          <w:rFonts w:ascii="Times New Roman" w:hAnsi="Times New Roman" w:cs="Times New Roman"/>
          <w:b/>
          <w:color w:val="000000" w:themeColor="text1"/>
          <w:szCs w:val="24"/>
        </w:rPr>
        <w:t>,</w:t>
      </w:r>
      <w:r w:rsidR="006C2300" w:rsidRPr="0005616F">
        <w:rPr>
          <w:rFonts w:ascii="Times New Roman" w:hAnsi="Times New Roman" w:cs="Times New Roman"/>
          <w:b/>
          <w:color w:val="000000" w:themeColor="text1"/>
          <w:szCs w:val="24"/>
        </w:rPr>
        <w:t xml:space="preserve"> </w:t>
      </w:r>
      <w:r w:rsidR="00FA1C1F" w:rsidRPr="0005616F">
        <w:rPr>
          <w:rFonts w:ascii="Times New Roman" w:hAnsi="Times New Roman" w:cs="Times New Roman"/>
          <w:b/>
          <w:color w:val="000000" w:themeColor="text1"/>
          <w:szCs w:val="24"/>
        </w:rPr>
        <w:t>meas</w:t>
      </w:r>
      <w:r w:rsidR="00C636F8" w:rsidRPr="0005616F">
        <w:rPr>
          <w:rFonts w:ascii="Times New Roman" w:hAnsi="Times New Roman" w:cs="Times New Roman"/>
          <w:b/>
          <w:color w:val="000000" w:themeColor="text1"/>
          <w:szCs w:val="24"/>
        </w:rPr>
        <w:t>ured under</w:t>
      </w:r>
      <w:r w:rsidR="00FA1C1F" w:rsidRPr="0005616F">
        <w:rPr>
          <w:rFonts w:ascii="Times New Roman" w:hAnsi="Times New Roman" w:cs="Times New Roman"/>
          <w:b/>
          <w:color w:val="000000" w:themeColor="text1"/>
          <w:szCs w:val="24"/>
        </w:rPr>
        <w:t xml:space="preserve"> Fan </w:t>
      </w:r>
      <w:r w:rsidR="00823DA4" w:rsidRPr="0005616F">
        <w:rPr>
          <w:rFonts w:ascii="Times New Roman" w:hAnsi="Times New Roman" w:cs="Times New Roman"/>
          <w:b/>
          <w:color w:val="000000" w:themeColor="text1"/>
          <w:szCs w:val="24"/>
        </w:rPr>
        <w:t xml:space="preserve">Always </w:t>
      </w:r>
      <w:r w:rsidR="00FA1C1F" w:rsidRPr="0005616F">
        <w:rPr>
          <w:rFonts w:ascii="Times New Roman" w:hAnsi="Times New Roman" w:cs="Times New Roman"/>
          <w:b/>
          <w:color w:val="000000" w:themeColor="text1"/>
          <w:szCs w:val="24"/>
        </w:rPr>
        <w:t xml:space="preserve">On test condition </w:t>
      </w:r>
      <w:r w:rsidR="00780398" w:rsidRPr="0005616F">
        <w:rPr>
          <w:rFonts w:ascii="Times New Roman" w:hAnsi="Times New Roman" w:cs="Times New Roman"/>
          <w:b/>
          <w:color w:val="000000" w:themeColor="text1"/>
          <w:szCs w:val="24"/>
        </w:rPr>
        <w:t xml:space="preserve">(only </w:t>
      </w:r>
      <w:r w:rsidR="006C2300" w:rsidRPr="0005616F">
        <w:rPr>
          <w:rFonts w:ascii="Times New Roman" w:hAnsi="Times New Roman" w:cs="Times New Roman"/>
          <w:b/>
          <w:color w:val="000000" w:themeColor="text1"/>
          <w:szCs w:val="24"/>
        </w:rPr>
        <w:t xml:space="preserve">decay rates with </w:t>
      </w:r>
      <w:r w:rsidR="00780398" w:rsidRPr="0005616F">
        <w:rPr>
          <w:rFonts w:ascii="Times New Roman" w:hAnsi="Times New Roman" w:cs="Times New Roman"/>
          <w:b/>
          <w:color w:val="000000" w:themeColor="text1"/>
          <w:szCs w:val="24"/>
        </w:rPr>
        <w:t>linear regression R</w:t>
      </w:r>
      <w:r w:rsidR="00780398" w:rsidRPr="0005616F">
        <w:rPr>
          <w:rFonts w:ascii="Times New Roman" w:hAnsi="Times New Roman" w:cs="Times New Roman"/>
          <w:b/>
          <w:color w:val="000000" w:themeColor="text1"/>
          <w:szCs w:val="24"/>
          <w:vertAlign w:val="superscript"/>
        </w:rPr>
        <w:t>2</w:t>
      </w:r>
      <w:r w:rsidR="00780398" w:rsidRPr="0005616F">
        <w:rPr>
          <w:rFonts w:ascii="Times New Roman" w:hAnsi="Times New Roman" w:cs="Times New Roman"/>
          <w:b/>
          <w:color w:val="000000" w:themeColor="text1"/>
          <w:szCs w:val="24"/>
        </w:rPr>
        <w:t xml:space="preserve">&gt;0.9 </w:t>
      </w:r>
      <w:r w:rsidR="00C636F8" w:rsidRPr="0005616F">
        <w:rPr>
          <w:rFonts w:ascii="Times New Roman" w:hAnsi="Times New Roman" w:cs="Times New Roman"/>
          <w:b/>
          <w:color w:val="000000" w:themeColor="text1"/>
          <w:szCs w:val="24"/>
        </w:rPr>
        <w:t>were</w:t>
      </w:r>
      <w:r w:rsidR="00780398" w:rsidRPr="0005616F">
        <w:rPr>
          <w:rFonts w:ascii="Times New Roman" w:hAnsi="Times New Roman" w:cs="Times New Roman"/>
          <w:b/>
          <w:color w:val="000000" w:themeColor="text1"/>
          <w:szCs w:val="24"/>
        </w:rPr>
        <w:t xml:space="preserve"> included)</w:t>
      </w:r>
      <w:r w:rsidRPr="0005616F">
        <w:rPr>
          <w:rFonts w:ascii="Times New Roman" w:hAnsi="Times New Roman" w:cs="Times New Roman"/>
          <w:b/>
          <w:color w:val="000000" w:themeColor="text1"/>
          <w:szCs w:val="24"/>
        </w:rPr>
        <w:t>.</w:t>
      </w:r>
      <w:r w:rsidR="00F558DF" w:rsidRPr="0005616F">
        <w:rPr>
          <w:rFonts w:ascii="Times New Roman" w:hAnsi="Times New Roman" w:cs="Times New Roman"/>
          <w:b/>
          <w:color w:val="000000" w:themeColor="text1"/>
          <w:szCs w:val="24"/>
        </w:rPr>
        <w:t xml:space="preserve"> N is the number of tests.</w:t>
      </w:r>
    </w:p>
    <w:tbl>
      <w:tblPr>
        <w:tblW w:w="9926" w:type="dxa"/>
        <w:tblBorders>
          <w:top w:val="single" w:sz="4" w:space="0" w:color="auto"/>
          <w:bottom w:val="single" w:sz="4" w:space="0" w:color="auto"/>
        </w:tblBorders>
        <w:tblLayout w:type="fixed"/>
        <w:tblLook w:val="04A0" w:firstRow="1" w:lastRow="0" w:firstColumn="1" w:lastColumn="0" w:noHBand="0" w:noVBand="1"/>
      </w:tblPr>
      <w:tblGrid>
        <w:gridCol w:w="1276"/>
        <w:gridCol w:w="697"/>
        <w:gridCol w:w="410"/>
        <w:gridCol w:w="314"/>
        <w:gridCol w:w="507"/>
        <w:gridCol w:w="410"/>
        <w:gridCol w:w="236"/>
        <w:gridCol w:w="548"/>
        <w:gridCol w:w="410"/>
        <w:gridCol w:w="298"/>
        <w:gridCol w:w="596"/>
        <w:gridCol w:w="410"/>
        <w:gridCol w:w="270"/>
        <w:gridCol w:w="551"/>
        <w:gridCol w:w="442"/>
        <w:gridCol w:w="283"/>
        <w:gridCol w:w="425"/>
        <w:gridCol w:w="410"/>
        <w:gridCol w:w="299"/>
        <w:gridCol w:w="410"/>
        <w:gridCol w:w="410"/>
        <w:gridCol w:w="314"/>
      </w:tblGrid>
      <w:tr w:rsidR="00805109" w:rsidRPr="00805109" w:rsidTr="000E2D71">
        <w:trPr>
          <w:trHeight w:val="340"/>
        </w:trPr>
        <w:tc>
          <w:tcPr>
            <w:tcW w:w="1276" w:type="dxa"/>
            <w:vMerge w:val="restart"/>
            <w:tcBorders>
              <w:top w:val="single" w:sz="4" w:space="0" w:color="auto"/>
              <w:right w:val="single" w:sz="4" w:space="0" w:color="auto"/>
            </w:tcBorders>
            <w:shd w:val="clear" w:color="auto" w:fill="D9D9D9" w:themeFill="background1" w:themeFillShade="D9"/>
            <w:noWrap/>
            <w:vAlign w:val="center"/>
            <w:hideMark/>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Particle diameter (nm)</w:t>
            </w:r>
          </w:p>
        </w:tc>
        <w:tc>
          <w:tcPr>
            <w:tcW w:w="8650" w:type="dxa"/>
            <w:gridSpan w:val="21"/>
            <w:shd w:val="clear" w:color="auto" w:fill="D9D9D9" w:themeFill="background1" w:themeFillShade="D9"/>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Decay rate (h</w:t>
            </w:r>
            <w:r w:rsidRPr="00805109">
              <w:rPr>
                <w:rFonts w:ascii="Times New Roman" w:eastAsia="Times New Roman" w:hAnsi="Times New Roman" w:cs="Times New Roman"/>
                <w:b/>
                <w:color w:val="000000" w:themeColor="text1"/>
                <w:sz w:val="14"/>
                <w:szCs w:val="14"/>
                <w:vertAlign w:val="superscript"/>
              </w:rPr>
              <w:t>-1</w:t>
            </w:r>
            <w:r w:rsidRPr="00805109">
              <w:rPr>
                <w:rFonts w:ascii="Times New Roman" w:eastAsia="Times New Roman" w:hAnsi="Times New Roman" w:cs="Times New Roman"/>
                <w:b/>
                <w:color w:val="000000" w:themeColor="text1"/>
                <w:sz w:val="14"/>
                <w:szCs w:val="14"/>
              </w:rPr>
              <w:t>)</w:t>
            </w:r>
          </w:p>
        </w:tc>
      </w:tr>
      <w:tr w:rsidR="00805109" w:rsidRPr="00805109" w:rsidTr="000E2D71">
        <w:trPr>
          <w:trHeight w:val="340"/>
        </w:trPr>
        <w:tc>
          <w:tcPr>
            <w:tcW w:w="1276" w:type="dxa"/>
            <w:vMerge/>
            <w:tcBorders>
              <w:right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p>
        </w:tc>
        <w:tc>
          <w:tcPr>
            <w:tcW w:w="1421"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Fan Off</w:t>
            </w:r>
          </w:p>
        </w:tc>
        <w:tc>
          <w:tcPr>
            <w:tcW w:w="1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36 L/s</w:t>
            </w:r>
          </w:p>
        </w:tc>
        <w:tc>
          <w:tcPr>
            <w:tcW w:w="1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69 L/s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75 L/s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84 L/s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120 L/s</w:t>
            </w:r>
          </w:p>
        </w:tc>
        <w:tc>
          <w:tcPr>
            <w:tcW w:w="113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146 L/s</w:t>
            </w:r>
          </w:p>
        </w:tc>
      </w:tr>
      <w:tr w:rsidR="00805109" w:rsidRPr="00805109" w:rsidTr="000E2D71">
        <w:trPr>
          <w:trHeight w:val="340"/>
        </w:trPr>
        <w:tc>
          <w:tcPr>
            <w:tcW w:w="1276" w:type="dxa"/>
            <w:vMerge/>
            <w:tcBorders>
              <w:bottom w:val="single" w:sz="4" w:space="0" w:color="auto"/>
              <w:right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p>
        </w:tc>
        <w:tc>
          <w:tcPr>
            <w:tcW w:w="69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5675FA" w:rsidRPr="00805109" w:rsidRDefault="005675FA" w:rsidP="00EF3ED8">
            <w:pPr>
              <w:spacing w:before="0" w:after="0" w:line="240" w:lineRule="auto"/>
              <w:ind w:left="-108" w:right="-108"/>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Mean</w:t>
            </w:r>
          </w:p>
        </w:tc>
        <w:tc>
          <w:tcPr>
            <w:tcW w:w="410" w:type="dxa"/>
            <w:tcBorders>
              <w:top w:val="single" w:sz="4" w:space="0" w:color="auto"/>
              <w:left w:val="nil"/>
              <w:bottom w:val="single" w:sz="4" w:space="0" w:color="auto"/>
              <w:right w:val="nil"/>
            </w:tcBorders>
            <w:shd w:val="clear" w:color="auto" w:fill="D9D9D9" w:themeFill="background1" w:themeFillShade="D9"/>
            <w:vAlign w:val="center"/>
          </w:tcPr>
          <w:p w:rsidR="005675FA" w:rsidRPr="00805109" w:rsidRDefault="005675FA" w:rsidP="00EF3ED8">
            <w:pPr>
              <w:spacing w:before="0" w:after="0" w:line="240" w:lineRule="auto"/>
              <w:ind w:left="-108"/>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SE</w:t>
            </w:r>
          </w:p>
        </w:tc>
        <w:tc>
          <w:tcPr>
            <w:tcW w:w="3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675FA" w:rsidRPr="00805109" w:rsidRDefault="005675FA" w:rsidP="00EF3ED8">
            <w:pPr>
              <w:spacing w:before="0" w:after="0" w:line="240" w:lineRule="auto"/>
              <w:ind w:left="-391" w:right="-94" w:firstLine="142"/>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N</w:t>
            </w:r>
          </w:p>
        </w:tc>
        <w:tc>
          <w:tcPr>
            <w:tcW w:w="507" w:type="dxa"/>
            <w:tcBorders>
              <w:top w:val="single" w:sz="4" w:space="0" w:color="auto"/>
              <w:left w:val="single" w:sz="4" w:space="0" w:color="auto"/>
              <w:bottom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ind w:left="-112" w:right="-107" w:firstLine="4"/>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Mean</w:t>
            </w:r>
          </w:p>
        </w:tc>
        <w:tc>
          <w:tcPr>
            <w:tcW w:w="410" w:type="dxa"/>
            <w:tcBorders>
              <w:top w:val="single" w:sz="4" w:space="0" w:color="auto"/>
              <w:bottom w:val="single" w:sz="4" w:space="0" w:color="auto"/>
            </w:tcBorders>
            <w:shd w:val="clear" w:color="auto" w:fill="D9D9D9" w:themeFill="background1" w:themeFillShade="D9"/>
            <w:vAlign w:val="center"/>
          </w:tcPr>
          <w:p w:rsidR="005675FA" w:rsidRPr="00805109" w:rsidRDefault="00EF3ED8" w:rsidP="00EF3ED8">
            <w:pPr>
              <w:spacing w:before="0" w:after="0" w:line="240" w:lineRule="auto"/>
              <w:ind w:left="-392" w:right="-234" w:firstLine="15"/>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 xml:space="preserve">   </w:t>
            </w:r>
            <w:r w:rsidR="005675FA" w:rsidRPr="00805109">
              <w:rPr>
                <w:rFonts w:ascii="Times New Roman" w:eastAsia="Times New Roman" w:hAnsi="Times New Roman" w:cs="Times New Roman"/>
                <w:b/>
                <w:color w:val="000000" w:themeColor="text1"/>
                <w:sz w:val="14"/>
                <w:szCs w:val="14"/>
              </w:rPr>
              <w:t>SE</w:t>
            </w:r>
          </w:p>
        </w:tc>
        <w:tc>
          <w:tcPr>
            <w:tcW w:w="236" w:type="dxa"/>
            <w:tcBorders>
              <w:top w:val="single" w:sz="4" w:space="0" w:color="auto"/>
              <w:bottom w:val="single" w:sz="4" w:space="0" w:color="auto"/>
              <w:right w:val="single" w:sz="4" w:space="0" w:color="auto"/>
            </w:tcBorders>
            <w:shd w:val="clear" w:color="auto" w:fill="D9D9D9" w:themeFill="background1" w:themeFillShade="D9"/>
            <w:vAlign w:val="center"/>
          </w:tcPr>
          <w:p w:rsidR="005675FA" w:rsidRPr="00805109" w:rsidRDefault="005675FA" w:rsidP="00E34932">
            <w:pPr>
              <w:spacing w:before="0" w:after="0" w:line="240" w:lineRule="auto"/>
              <w:ind w:left="-108" w:right="-89"/>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N</w:t>
            </w:r>
          </w:p>
        </w:tc>
        <w:tc>
          <w:tcPr>
            <w:tcW w:w="548" w:type="dxa"/>
            <w:tcBorders>
              <w:top w:val="single" w:sz="4" w:space="0" w:color="auto"/>
              <w:left w:val="single" w:sz="4" w:space="0" w:color="auto"/>
              <w:bottom w:val="single" w:sz="4" w:space="0" w:color="auto"/>
            </w:tcBorders>
            <w:shd w:val="clear" w:color="auto" w:fill="D9D9D9" w:themeFill="background1" w:themeFillShade="D9"/>
            <w:noWrap/>
            <w:vAlign w:val="center"/>
          </w:tcPr>
          <w:p w:rsidR="005675FA" w:rsidRPr="00805109" w:rsidRDefault="00F543D2" w:rsidP="00E34932">
            <w:pPr>
              <w:spacing w:before="0" w:after="0" w:line="240" w:lineRule="auto"/>
              <w:ind w:left="-160"/>
              <w:jc w:val="center"/>
              <w:rPr>
                <w:rFonts w:ascii="Times New Roman" w:hAnsi="Times New Roman" w:cs="Times New Roman"/>
                <w:b/>
                <w:color w:val="000000" w:themeColor="text1"/>
                <w:sz w:val="14"/>
                <w:szCs w:val="14"/>
              </w:rPr>
            </w:pPr>
            <w:r w:rsidRPr="00805109">
              <w:rPr>
                <w:rFonts w:ascii="Times New Roman" w:hAnsi="Times New Roman" w:cs="Times New Roman"/>
                <w:b/>
                <w:color w:val="000000" w:themeColor="text1"/>
                <w:sz w:val="14"/>
                <w:szCs w:val="14"/>
              </w:rPr>
              <w:t xml:space="preserve">  </w:t>
            </w:r>
            <w:r w:rsidR="00EF3ED8" w:rsidRPr="00805109">
              <w:rPr>
                <w:rFonts w:ascii="Times New Roman" w:hAnsi="Times New Roman" w:cs="Times New Roman"/>
                <w:b/>
                <w:color w:val="000000" w:themeColor="text1"/>
                <w:sz w:val="14"/>
                <w:szCs w:val="14"/>
              </w:rPr>
              <w:t>M</w:t>
            </w:r>
            <w:r w:rsidR="005675FA" w:rsidRPr="00805109">
              <w:rPr>
                <w:rFonts w:ascii="Times New Roman" w:hAnsi="Times New Roman" w:cs="Times New Roman"/>
                <w:b/>
                <w:color w:val="000000" w:themeColor="text1"/>
                <w:sz w:val="14"/>
                <w:szCs w:val="14"/>
              </w:rPr>
              <w:t>ean</w:t>
            </w:r>
          </w:p>
        </w:tc>
        <w:tc>
          <w:tcPr>
            <w:tcW w:w="410" w:type="dxa"/>
            <w:tcBorders>
              <w:top w:val="single" w:sz="4" w:space="0" w:color="auto"/>
              <w:bottom w:val="single" w:sz="4" w:space="0" w:color="auto"/>
            </w:tcBorders>
            <w:shd w:val="clear" w:color="auto" w:fill="D9D9D9" w:themeFill="background1" w:themeFillShade="D9"/>
            <w:vAlign w:val="center"/>
          </w:tcPr>
          <w:p w:rsidR="005675FA" w:rsidRPr="00805109" w:rsidRDefault="005675FA" w:rsidP="00EF3ED8">
            <w:pPr>
              <w:spacing w:before="0" w:after="0" w:line="240" w:lineRule="auto"/>
              <w:ind w:left="-112" w:firstLine="4"/>
              <w:jc w:val="center"/>
              <w:rPr>
                <w:rFonts w:ascii="Times New Roman" w:hAnsi="Times New Roman" w:cs="Times New Roman"/>
                <w:b/>
                <w:color w:val="000000" w:themeColor="text1"/>
                <w:sz w:val="14"/>
                <w:szCs w:val="14"/>
              </w:rPr>
            </w:pPr>
            <w:r w:rsidRPr="00805109">
              <w:rPr>
                <w:rFonts w:ascii="Times New Roman" w:hAnsi="Times New Roman" w:cs="Times New Roman"/>
                <w:b/>
                <w:color w:val="000000" w:themeColor="text1"/>
                <w:sz w:val="14"/>
                <w:szCs w:val="14"/>
              </w:rPr>
              <w:t>SE</w:t>
            </w:r>
          </w:p>
        </w:tc>
        <w:tc>
          <w:tcPr>
            <w:tcW w:w="298" w:type="dxa"/>
            <w:tcBorders>
              <w:top w:val="single" w:sz="4" w:space="0" w:color="auto"/>
              <w:bottom w:val="single" w:sz="4" w:space="0" w:color="auto"/>
              <w:right w:val="single" w:sz="4" w:space="0" w:color="auto"/>
            </w:tcBorders>
            <w:shd w:val="clear" w:color="auto" w:fill="D9D9D9" w:themeFill="background1" w:themeFillShade="D9"/>
            <w:vAlign w:val="center"/>
          </w:tcPr>
          <w:p w:rsidR="005675FA" w:rsidRPr="00805109" w:rsidRDefault="005675FA" w:rsidP="00EF3ED8">
            <w:pPr>
              <w:spacing w:before="0" w:after="0" w:line="240" w:lineRule="auto"/>
              <w:ind w:left="-112" w:firstLine="4"/>
              <w:jc w:val="center"/>
              <w:rPr>
                <w:rFonts w:ascii="Times New Roman" w:hAnsi="Times New Roman" w:cs="Times New Roman"/>
                <w:b/>
                <w:color w:val="000000" w:themeColor="text1"/>
                <w:sz w:val="14"/>
                <w:szCs w:val="14"/>
              </w:rPr>
            </w:pPr>
            <w:r w:rsidRPr="00805109">
              <w:rPr>
                <w:rFonts w:ascii="Times New Roman" w:hAnsi="Times New Roman" w:cs="Times New Roman"/>
                <w:b/>
                <w:color w:val="000000" w:themeColor="text1"/>
                <w:sz w:val="14"/>
                <w:szCs w:val="14"/>
              </w:rPr>
              <w:t>N</w:t>
            </w:r>
          </w:p>
        </w:tc>
        <w:tc>
          <w:tcPr>
            <w:tcW w:w="596" w:type="dxa"/>
            <w:tcBorders>
              <w:top w:val="single" w:sz="4" w:space="0" w:color="auto"/>
              <w:left w:val="single" w:sz="4" w:space="0" w:color="auto"/>
              <w:bottom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Mean</w:t>
            </w:r>
          </w:p>
        </w:tc>
        <w:tc>
          <w:tcPr>
            <w:tcW w:w="410" w:type="dxa"/>
            <w:tcBorders>
              <w:top w:val="single" w:sz="4" w:space="0" w:color="auto"/>
              <w:bottom w:val="single" w:sz="4" w:space="0" w:color="auto"/>
            </w:tcBorders>
            <w:shd w:val="clear" w:color="auto" w:fill="D9D9D9" w:themeFill="background1" w:themeFillShade="D9"/>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SE</w:t>
            </w:r>
          </w:p>
        </w:tc>
        <w:tc>
          <w:tcPr>
            <w:tcW w:w="270" w:type="dxa"/>
            <w:tcBorders>
              <w:top w:val="single" w:sz="4" w:space="0" w:color="auto"/>
              <w:bottom w:val="single" w:sz="4" w:space="0" w:color="auto"/>
              <w:right w:val="single" w:sz="4" w:space="0" w:color="auto"/>
            </w:tcBorders>
            <w:shd w:val="clear" w:color="auto" w:fill="D9D9D9" w:themeFill="background1" w:themeFillShade="D9"/>
            <w:vAlign w:val="center"/>
          </w:tcPr>
          <w:p w:rsidR="005675FA" w:rsidRPr="00805109" w:rsidRDefault="005675FA" w:rsidP="00E34932">
            <w:pPr>
              <w:spacing w:before="0" w:after="0" w:line="240" w:lineRule="auto"/>
              <w:ind w:left="-126" w:right="-108" w:firstLine="20"/>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N</w:t>
            </w:r>
          </w:p>
        </w:tc>
        <w:tc>
          <w:tcPr>
            <w:tcW w:w="551" w:type="dxa"/>
            <w:tcBorders>
              <w:top w:val="single" w:sz="4" w:space="0" w:color="auto"/>
              <w:left w:val="single" w:sz="4" w:space="0" w:color="auto"/>
              <w:bottom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ind w:left="-113" w:right="-109"/>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Mean</w:t>
            </w:r>
          </w:p>
        </w:tc>
        <w:tc>
          <w:tcPr>
            <w:tcW w:w="442" w:type="dxa"/>
            <w:tcBorders>
              <w:top w:val="single" w:sz="4" w:space="0" w:color="auto"/>
              <w:bottom w:val="single" w:sz="4" w:space="0" w:color="auto"/>
            </w:tcBorders>
            <w:shd w:val="clear" w:color="auto" w:fill="D9D9D9" w:themeFill="background1" w:themeFillShade="D9"/>
            <w:vAlign w:val="center"/>
          </w:tcPr>
          <w:p w:rsidR="005675FA" w:rsidRPr="00805109" w:rsidRDefault="005675FA" w:rsidP="00EF3ED8">
            <w:pPr>
              <w:spacing w:before="0" w:after="0" w:line="240" w:lineRule="auto"/>
              <w:ind w:left="-107"/>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SE</w:t>
            </w:r>
          </w:p>
        </w:tc>
        <w:tc>
          <w:tcPr>
            <w:tcW w:w="283" w:type="dxa"/>
            <w:tcBorders>
              <w:top w:val="single" w:sz="4" w:space="0" w:color="auto"/>
              <w:bottom w:val="single" w:sz="4" w:space="0" w:color="auto"/>
              <w:right w:val="single" w:sz="4" w:space="0" w:color="auto"/>
            </w:tcBorders>
            <w:shd w:val="clear" w:color="auto" w:fill="D9D9D9" w:themeFill="background1" w:themeFillShade="D9"/>
            <w:vAlign w:val="center"/>
          </w:tcPr>
          <w:p w:rsidR="005675FA" w:rsidRPr="00805109" w:rsidRDefault="005675FA" w:rsidP="00EF3ED8">
            <w:pPr>
              <w:spacing w:before="0" w:after="0" w:line="240" w:lineRule="auto"/>
              <w:ind w:left="-112"/>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N</w:t>
            </w:r>
          </w:p>
        </w:tc>
        <w:tc>
          <w:tcPr>
            <w:tcW w:w="425" w:type="dxa"/>
            <w:tcBorders>
              <w:top w:val="single" w:sz="4" w:space="0" w:color="auto"/>
              <w:left w:val="single" w:sz="4" w:space="0" w:color="auto"/>
              <w:bottom w:val="single" w:sz="4" w:space="0" w:color="auto"/>
            </w:tcBorders>
            <w:shd w:val="clear" w:color="auto" w:fill="D9D9D9" w:themeFill="background1" w:themeFillShade="D9"/>
            <w:noWrap/>
            <w:vAlign w:val="center"/>
          </w:tcPr>
          <w:p w:rsidR="005675FA" w:rsidRPr="00805109" w:rsidRDefault="005675FA" w:rsidP="00EF3ED8">
            <w:pPr>
              <w:spacing w:before="0" w:after="0" w:line="240" w:lineRule="auto"/>
              <w:ind w:left="-108" w:right="-103"/>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Mean</w:t>
            </w:r>
          </w:p>
        </w:tc>
        <w:tc>
          <w:tcPr>
            <w:tcW w:w="410" w:type="dxa"/>
            <w:tcBorders>
              <w:top w:val="single" w:sz="4" w:space="0" w:color="auto"/>
              <w:bottom w:val="single" w:sz="4" w:space="0" w:color="auto"/>
            </w:tcBorders>
            <w:shd w:val="clear" w:color="auto" w:fill="D9D9D9" w:themeFill="background1" w:themeFillShade="D9"/>
            <w:vAlign w:val="center"/>
          </w:tcPr>
          <w:p w:rsidR="005675FA" w:rsidRPr="00805109" w:rsidRDefault="005675FA" w:rsidP="00EF3ED8">
            <w:pPr>
              <w:spacing w:before="0" w:after="0" w:line="240" w:lineRule="auto"/>
              <w:ind w:left="-113" w:right="-92"/>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SE</w:t>
            </w:r>
          </w:p>
        </w:tc>
        <w:tc>
          <w:tcPr>
            <w:tcW w:w="299" w:type="dxa"/>
            <w:tcBorders>
              <w:top w:val="single" w:sz="4" w:space="0" w:color="auto"/>
              <w:bottom w:val="single" w:sz="4" w:space="0" w:color="auto"/>
              <w:right w:val="single" w:sz="4" w:space="0" w:color="auto"/>
            </w:tcBorders>
            <w:shd w:val="clear" w:color="auto" w:fill="D9D9D9" w:themeFill="background1" w:themeFillShade="D9"/>
            <w:vAlign w:val="center"/>
          </w:tcPr>
          <w:p w:rsidR="005675FA" w:rsidRPr="00805109" w:rsidRDefault="005675FA" w:rsidP="00EF3ED8">
            <w:pPr>
              <w:spacing w:before="0" w:after="0" w:line="240" w:lineRule="auto"/>
              <w:ind w:left="-124" w:right="-87" w:firstLine="1"/>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N</w:t>
            </w:r>
          </w:p>
        </w:tc>
        <w:tc>
          <w:tcPr>
            <w:tcW w:w="410" w:type="dxa"/>
            <w:tcBorders>
              <w:top w:val="single" w:sz="4" w:space="0" w:color="auto"/>
              <w:left w:val="single" w:sz="4" w:space="0" w:color="auto"/>
              <w:bottom w:val="single" w:sz="4" w:space="0" w:color="auto"/>
            </w:tcBorders>
            <w:shd w:val="clear" w:color="auto" w:fill="D9D9D9" w:themeFill="background1" w:themeFillShade="D9"/>
            <w:noWrap/>
            <w:vAlign w:val="center"/>
          </w:tcPr>
          <w:p w:rsidR="005675FA" w:rsidRPr="00805109" w:rsidRDefault="00F543D2" w:rsidP="00EF3ED8">
            <w:pPr>
              <w:spacing w:before="0" w:after="0" w:line="240" w:lineRule="auto"/>
              <w:ind w:left="-107" w:right="-97"/>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 xml:space="preserve"> </w:t>
            </w:r>
            <w:r w:rsidR="005675FA" w:rsidRPr="00805109">
              <w:rPr>
                <w:rFonts w:ascii="Times New Roman" w:eastAsia="Times New Roman" w:hAnsi="Times New Roman" w:cs="Times New Roman"/>
                <w:b/>
                <w:color w:val="000000" w:themeColor="text1"/>
                <w:sz w:val="14"/>
                <w:szCs w:val="14"/>
              </w:rPr>
              <w:t>Mean</w:t>
            </w:r>
          </w:p>
        </w:tc>
        <w:tc>
          <w:tcPr>
            <w:tcW w:w="410" w:type="dxa"/>
            <w:tcBorders>
              <w:top w:val="single" w:sz="4" w:space="0" w:color="auto"/>
              <w:bottom w:val="single" w:sz="4" w:space="0" w:color="auto"/>
            </w:tcBorders>
            <w:shd w:val="clear" w:color="auto" w:fill="D9D9D9" w:themeFill="background1" w:themeFillShade="D9"/>
            <w:vAlign w:val="center"/>
          </w:tcPr>
          <w:p w:rsidR="005675FA" w:rsidRPr="00805109" w:rsidRDefault="005675FA" w:rsidP="00EF3ED8">
            <w:pPr>
              <w:spacing w:before="0" w:after="0" w:line="240" w:lineRule="auto"/>
              <w:ind w:left="-112" w:right="-104" w:hanging="2"/>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SE</w:t>
            </w:r>
          </w:p>
        </w:tc>
        <w:tc>
          <w:tcPr>
            <w:tcW w:w="314" w:type="dxa"/>
            <w:tcBorders>
              <w:top w:val="single" w:sz="4" w:space="0" w:color="auto"/>
              <w:bottom w:val="single" w:sz="4" w:space="0" w:color="auto"/>
            </w:tcBorders>
            <w:shd w:val="clear" w:color="auto" w:fill="D9D9D9" w:themeFill="background1" w:themeFillShade="D9"/>
            <w:vAlign w:val="center"/>
          </w:tcPr>
          <w:p w:rsidR="005675FA" w:rsidRPr="00805109" w:rsidRDefault="005675FA" w:rsidP="00EF3ED8">
            <w:pPr>
              <w:spacing w:before="0" w:after="0" w:line="240" w:lineRule="auto"/>
              <w:jc w:val="center"/>
              <w:rPr>
                <w:rFonts w:ascii="Times New Roman" w:eastAsia="Times New Roman" w:hAnsi="Times New Roman" w:cs="Times New Roman"/>
                <w:b/>
                <w:color w:val="000000" w:themeColor="text1"/>
                <w:sz w:val="14"/>
                <w:szCs w:val="14"/>
              </w:rPr>
            </w:pPr>
            <w:r w:rsidRPr="00805109">
              <w:rPr>
                <w:rFonts w:ascii="Times New Roman" w:eastAsia="Times New Roman" w:hAnsi="Times New Roman" w:cs="Times New Roman"/>
                <w:b/>
                <w:color w:val="000000" w:themeColor="text1"/>
                <w:sz w:val="14"/>
                <w:szCs w:val="14"/>
              </w:rPr>
              <w:t>N</w:t>
            </w:r>
          </w:p>
        </w:tc>
      </w:tr>
      <w:tr w:rsidR="00805109" w:rsidRPr="00805109" w:rsidTr="000E2D71">
        <w:trPr>
          <w:trHeight w:val="340"/>
        </w:trPr>
        <w:tc>
          <w:tcPr>
            <w:tcW w:w="1276" w:type="dxa"/>
            <w:tcBorders>
              <w:top w:val="single" w:sz="4" w:space="0" w:color="auto"/>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10 - 13</w:t>
            </w:r>
          </w:p>
        </w:tc>
        <w:tc>
          <w:tcPr>
            <w:tcW w:w="697" w:type="dxa"/>
            <w:tcBorders>
              <w:top w:val="single" w:sz="4" w:space="0" w:color="auto"/>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2.24</w:t>
            </w:r>
          </w:p>
        </w:tc>
        <w:tc>
          <w:tcPr>
            <w:tcW w:w="410" w:type="dxa"/>
            <w:tcBorders>
              <w:top w:val="single" w:sz="4" w:space="0" w:color="auto"/>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0.11</w:t>
            </w:r>
          </w:p>
        </w:tc>
        <w:tc>
          <w:tcPr>
            <w:tcW w:w="314" w:type="dxa"/>
            <w:tcBorders>
              <w:top w:val="single" w:sz="4" w:space="0" w:color="auto"/>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16</w:t>
            </w:r>
          </w:p>
        </w:tc>
        <w:tc>
          <w:tcPr>
            <w:tcW w:w="507" w:type="dxa"/>
            <w:tcBorders>
              <w:top w:val="single" w:sz="4" w:space="0" w:color="auto"/>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2.97</w:t>
            </w:r>
          </w:p>
        </w:tc>
        <w:tc>
          <w:tcPr>
            <w:tcW w:w="410" w:type="dxa"/>
            <w:tcBorders>
              <w:top w:val="single" w:sz="4" w:space="0" w:color="auto"/>
            </w:tcBorders>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0.22</w:t>
            </w:r>
          </w:p>
        </w:tc>
        <w:tc>
          <w:tcPr>
            <w:tcW w:w="236" w:type="dxa"/>
            <w:tcBorders>
              <w:top w:val="single" w:sz="4" w:space="0" w:color="auto"/>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48" w:type="dxa"/>
            <w:tcBorders>
              <w:top w:val="single" w:sz="4" w:space="0" w:color="auto"/>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3.18</w:t>
            </w:r>
          </w:p>
        </w:tc>
        <w:tc>
          <w:tcPr>
            <w:tcW w:w="410" w:type="dxa"/>
            <w:tcBorders>
              <w:top w:val="single" w:sz="4" w:space="0" w:color="auto"/>
            </w:tcBorders>
            <w:vAlign w:val="center"/>
          </w:tcPr>
          <w:p w:rsidR="005675FA" w:rsidRPr="00805109" w:rsidRDefault="005675FA" w:rsidP="00E34932">
            <w:pPr>
              <w:spacing w:before="0" w:after="0" w:line="240" w:lineRule="auto"/>
              <w:ind w:left="-250" w:firstLine="14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0.24</w:t>
            </w:r>
          </w:p>
        </w:tc>
        <w:tc>
          <w:tcPr>
            <w:tcW w:w="298" w:type="dxa"/>
            <w:tcBorders>
              <w:top w:val="single" w:sz="4" w:space="0" w:color="auto"/>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top w:val="single" w:sz="4" w:space="0" w:color="auto"/>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3.67</w:t>
            </w:r>
          </w:p>
        </w:tc>
        <w:tc>
          <w:tcPr>
            <w:tcW w:w="410" w:type="dxa"/>
            <w:tcBorders>
              <w:top w:val="single" w:sz="4" w:space="0" w:color="auto"/>
            </w:tcBorders>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0.88</w:t>
            </w:r>
          </w:p>
        </w:tc>
        <w:tc>
          <w:tcPr>
            <w:tcW w:w="270" w:type="dxa"/>
            <w:tcBorders>
              <w:top w:val="single" w:sz="4" w:space="0" w:color="auto"/>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top w:val="single" w:sz="4" w:space="0" w:color="auto"/>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3.46</w:t>
            </w:r>
          </w:p>
        </w:tc>
        <w:tc>
          <w:tcPr>
            <w:tcW w:w="442" w:type="dxa"/>
            <w:tcBorders>
              <w:top w:val="single" w:sz="4" w:space="0" w:color="auto"/>
            </w:tcBorders>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0.21</w:t>
            </w:r>
          </w:p>
        </w:tc>
        <w:tc>
          <w:tcPr>
            <w:tcW w:w="283" w:type="dxa"/>
            <w:tcBorders>
              <w:top w:val="single" w:sz="4" w:space="0" w:color="auto"/>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top w:val="single" w:sz="4" w:space="0" w:color="auto"/>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3.96</w:t>
            </w:r>
          </w:p>
        </w:tc>
        <w:tc>
          <w:tcPr>
            <w:tcW w:w="410" w:type="dxa"/>
            <w:tcBorders>
              <w:top w:val="single" w:sz="4" w:space="0" w:color="auto"/>
            </w:tcBorders>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0.19</w:t>
            </w:r>
          </w:p>
        </w:tc>
        <w:tc>
          <w:tcPr>
            <w:tcW w:w="299" w:type="dxa"/>
            <w:tcBorders>
              <w:top w:val="single" w:sz="4" w:space="0" w:color="auto"/>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410" w:type="dxa"/>
            <w:tcBorders>
              <w:top w:val="single" w:sz="4" w:space="0" w:color="auto"/>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4.53</w:t>
            </w:r>
          </w:p>
        </w:tc>
        <w:tc>
          <w:tcPr>
            <w:tcW w:w="410" w:type="dxa"/>
            <w:tcBorders>
              <w:top w:val="single" w:sz="4" w:space="0" w:color="auto"/>
            </w:tcBorders>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w:t>
            </w:r>
          </w:p>
        </w:tc>
        <w:tc>
          <w:tcPr>
            <w:tcW w:w="314" w:type="dxa"/>
            <w:tcBorders>
              <w:top w:val="single" w:sz="4" w:space="0" w:color="auto"/>
            </w:tcBorders>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13 - 18</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1.89</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0.09</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26</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2.71</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0.24</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3.07</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0.14</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2.84</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0.32</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3.36</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0.15</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3.90</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0.29</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4.03</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0.11</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18 - 24</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1.71</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0.07</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24</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2.39</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0.22</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2.89</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0.19</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2.27</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0.21</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3.12</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0.17</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3.54</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0.15</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3.99</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24 - 32</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1.49</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0.05</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25</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2.32</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0.28</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2.60</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0.24</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1.85</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0.16</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2.88</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0.18</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3.37</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0.18</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3.98</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32 - 42</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1.34</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0.04</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25</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2.11</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0.21</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2.38</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0.27</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1.62</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0.18</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2.74</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0.17</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3.23</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0.23</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3.75</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0.58</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42 - 56</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1.20</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0.04</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26</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2.02</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0.22</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2.25</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0.31</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1.33</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0.15</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2.61</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0.18</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3.24</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0.29</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3.77</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0.44</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56 - 75</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1.10</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0.04</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24</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1.90</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0.23</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2.18</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0.28</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1.11</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0.12</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2.48</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0.16</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3.05</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0.26</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3.39</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0.05</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75 - 100</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1.03</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0.04</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21</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1.89</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0.26</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2.14</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0.30</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1.09</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0.17</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2.50</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0.18</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2.91</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0.33</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3.37</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0.03</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100 - 133</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1.04</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0.05</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13</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2.11</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0.14</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2.39</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0.23</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1.05</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0.11</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2.60</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0.19</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3.10</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0.35</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3.64</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0.03</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w:t>
            </w:r>
          </w:p>
        </w:tc>
      </w:tr>
      <w:tr w:rsidR="00805109" w:rsidRPr="00805109" w:rsidTr="000E2D71">
        <w:trPr>
          <w:trHeight w:val="340"/>
        </w:trPr>
        <w:tc>
          <w:tcPr>
            <w:tcW w:w="1276" w:type="dxa"/>
            <w:tcBorders>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133 - 178</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1.06</w:t>
            </w:r>
          </w:p>
        </w:tc>
        <w:tc>
          <w:tcPr>
            <w:tcW w:w="410" w:type="dxa"/>
            <w:tcBorders>
              <w:top w:val="nil"/>
              <w:left w:val="nil"/>
              <w:bottom w:val="nil"/>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0.09</w:t>
            </w:r>
          </w:p>
        </w:tc>
        <w:tc>
          <w:tcPr>
            <w:tcW w:w="314" w:type="dxa"/>
            <w:tcBorders>
              <w:top w:val="nil"/>
              <w:left w:val="nil"/>
              <w:bottom w:val="nil"/>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8</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2.32</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0.17</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2.53</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0.29</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1.12</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0.17</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2.89</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0.20</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3.35</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w:t>
            </w:r>
          </w:p>
        </w:tc>
      </w:tr>
      <w:tr w:rsidR="00805109" w:rsidRPr="00805109" w:rsidTr="000E2D71">
        <w:trPr>
          <w:trHeight w:val="340"/>
        </w:trPr>
        <w:tc>
          <w:tcPr>
            <w:tcW w:w="1276" w:type="dxa"/>
            <w:tcBorders>
              <w:bottom w:val="single" w:sz="4" w:space="0" w:color="auto"/>
              <w:righ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eastAsia="Times New Roman" w:hAnsi="Times New Roman" w:cs="Times New Roman"/>
                <w:color w:val="000000" w:themeColor="text1"/>
                <w:sz w:val="14"/>
                <w:szCs w:val="14"/>
              </w:rPr>
              <w:t>total particles</w:t>
            </w:r>
          </w:p>
        </w:tc>
        <w:tc>
          <w:tcPr>
            <w:tcW w:w="697" w:type="dxa"/>
            <w:tcBorders>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1.20</w:t>
            </w:r>
          </w:p>
        </w:tc>
        <w:tc>
          <w:tcPr>
            <w:tcW w:w="410" w:type="dxa"/>
            <w:tcBorders>
              <w:top w:val="nil"/>
              <w:left w:val="nil"/>
              <w:bottom w:val="single" w:sz="4" w:space="0" w:color="auto"/>
              <w:right w:val="nil"/>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0.03</w:t>
            </w:r>
          </w:p>
        </w:tc>
        <w:tc>
          <w:tcPr>
            <w:tcW w:w="314" w:type="dxa"/>
            <w:tcBorders>
              <w:top w:val="nil"/>
              <w:left w:val="nil"/>
              <w:bottom w:val="single" w:sz="4" w:space="0" w:color="auto"/>
              <w:right w:val="single" w:sz="4" w:space="0" w:color="auto"/>
            </w:tcBorders>
            <w:vAlign w:val="center"/>
          </w:tcPr>
          <w:p w:rsidR="005675FA" w:rsidRPr="00805109" w:rsidRDefault="005675FA" w:rsidP="00EF3ED8">
            <w:pPr>
              <w:spacing w:before="0" w:after="0" w:line="240" w:lineRule="auto"/>
              <w:ind w:lef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23</w:t>
            </w:r>
          </w:p>
        </w:tc>
        <w:tc>
          <w:tcPr>
            <w:tcW w:w="507"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2.21</w:t>
            </w:r>
          </w:p>
        </w:tc>
        <w:tc>
          <w:tcPr>
            <w:tcW w:w="410" w:type="dxa"/>
            <w:vAlign w:val="center"/>
          </w:tcPr>
          <w:p w:rsidR="005675FA" w:rsidRPr="00805109" w:rsidRDefault="005675FA" w:rsidP="00EF3ED8">
            <w:pPr>
              <w:spacing w:before="0" w:after="0" w:line="240" w:lineRule="auto"/>
              <w:ind w:left="-108" w:right="-11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0.13</w:t>
            </w:r>
          </w:p>
        </w:tc>
        <w:tc>
          <w:tcPr>
            <w:tcW w:w="236" w:type="dxa"/>
            <w:tcBorders>
              <w:right w:val="single" w:sz="4" w:space="0" w:color="auto"/>
            </w:tcBorders>
            <w:vAlign w:val="center"/>
          </w:tcPr>
          <w:p w:rsidR="005675FA" w:rsidRPr="00805109" w:rsidRDefault="005675FA" w:rsidP="00E34932">
            <w:pPr>
              <w:spacing w:before="0" w:after="0" w:line="240" w:lineRule="auto"/>
              <w:ind w:left="-108" w:right="-8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48" w:type="dxa"/>
            <w:tcBorders>
              <w:left w:val="single" w:sz="4" w:space="0" w:color="auto"/>
            </w:tcBorders>
            <w:shd w:val="clear" w:color="auto" w:fill="auto"/>
            <w:noWrap/>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2.43</w:t>
            </w:r>
          </w:p>
        </w:tc>
        <w:tc>
          <w:tcPr>
            <w:tcW w:w="410" w:type="dxa"/>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0.23</w:t>
            </w:r>
          </w:p>
        </w:tc>
        <w:tc>
          <w:tcPr>
            <w:tcW w:w="298" w:type="dxa"/>
            <w:tcBorders>
              <w:right w:val="single" w:sz="4" w:space="0" w:color="auto"/>
            </w:tcBorders>
            <w:vAlign w:val="center"/>
          </w:tcPr>
          <w:p w:rsidR="005675FA" w:rsidRPr="00805109" w:rsidRDefault="005675FA" w:rsidP="00EF3ED8">
            <w:pPr>
              <w:spacing w:before="0" w:after="0" w:line="240" w:lineRule="auto"/>
              <w:ind w:left="-112" w:firstLine="4"/>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4</w:t>
            </w:r>
          </w:p>
        </w:tc>
        <w:tc>
          <w:tcPr>
            <w:tcW w:w="596"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1.38</w:t>
            </w:r>
          </w:p>
        </w:tc>
        <w:tc>
          <w:tcPr>
            <w:tcW w:w="410" w:type="dxa"/>
            <w:vAlign w:val="center"/>
          </w:tcPr>
          <w:p w:rsidR="005675FA" w:rsidRPr="00805109" w:rsidRDefault="005675FA" w:rsidP="00EF3ED8">
            <w:pPr>
              <w:spacing w:before="0" w:after="0" w:line="240" w:lineRule="auto"/>
              <w:ind w:left="-99"/>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0.09</w:t>
            </w:r>
          </w:p>
        </w:tc>
        <w:tc>
          <w:tcPr>
            <w:tcW w:w="270" w:type="dxa"/>
            <w:tcBorders>
              <w:right w:val="single" w:sz="4" w:space="0" w:color="auto"/>
            </w:tcBorders>
            <w:vAlign w:val="center"/>
          </w:tcPr>
          <w:p w:rsidR="005675FA" w:rsidRPr="00805109" w:rsidRDefault="005675FA" w:rsidP="00E34932">
            <w:pPr>
              <w:spacing w:before="0" w:after="0" w:line="240" w:lineRule="auto"/>
              <w:ind w:left="-126" w:right="-108" w:firstLine="20"/>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w:t>
            </w:r>
          </w:p>
        </w:tc>
        <w:tc>
          <w:tcPr>
            <w:tcW w:w="551" w:type="dxa"/>
            <w:tcBorders>
              <w:left w:val="single" w:sz="4" w:space="0" w:color="auto"/>
            </w:tcBorders>
            <w:shd w:val="clear" w:color="auto" w:fill="auto"/>
            <w:noWrap/>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2.64</w:t>
            </w:r>
          </w:p>
        </w:tc>
        <w:tc>
          <w:tcPr>
            <w:tcW w:w="442" w:type="dxa"/>
            <w:vAlign w:val="center"/>
          </w:tcPr>
          <w:p w:rsidR="005675FA" w:rsidRPr="00805109" w:rsidRDefault="005675FA" w:rsidP="00E34932">
            <w:pPr>
              <w:spacing w:before="0" w:after="0" w:line="240" w:lineRule="auto"/>
              <w:ind w:left="-233" w:firstLine="14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0.17</w:t>
            </w:r>
          </w:p>
        </w:tc>
        <w:tc>
          <w:tcPr>
            <w:tcW w:w="283" w:type="dxa"/>
            <w:tcBorders>
              <w:right w:val="single" w:sz="4" w:space="0" w:color="auto"/>
            </w:tcBorders>
            <w:vAlign w:val="center"/>
          </w:tcPr>
          <w:p w:rsidR="005675FA" w:rsidRPr="00805109" w:rsidRDefault="005675FA" w:rsidP="00EF3ED8">
            <w:pPr>
              <w:spacing w:before="0" w:after="0" w:line="240" w:lineRule="auto"/>
              <w:ind w:left="-11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25" w:type="dxa"/>
            <w:tcBorders>
              <w:left w:val="single" w:sz="4" w:space="0" w:color="auto"/>
            </w:tcBorders>
            <w:shd w:val="clear" w:color="auto" w:fill="auto"/>
            <w:noWrap/>
            <w:vAlign w:val="center"/>
          </w:tcPr>
          <w:p w:rsidR="005675FA" w:rsidRPr="00805109" w:rsidRDefault="005675FA" w:rsidP="00E34932">
            <w:pPr>
              <w:spacing w:before="0" w:after="0" w:line="240" w:lineRule="auto"/>
              <w:ind w:left="-108" w:right="-108"/>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3.12</w:t>
            </w:r>
          </w:p>
        </w:tc>
        <w:tc>
          <w:tcPr>
            <w:tcW w:w="410" w:type="dxa"/>
            <w:vAlign w:val="center"/>
          </w:tcPr>
          <w:p w:rsidR="005675FA" w:rsidRPr="00805109" w:rsidRDefault="005675FA" w:rsidP="00EF3ED8">
            <w:pPr>
              <w:spacing w:before="0" w:after="0" w:line="240" w:lineRule="auto"/>
              <w:ind w:left="-113" w:right="-9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0.20</w:t>
            </w:r>
          </w:p>
        </w:tc>
        <w:tc>
          <w:tcPr>
            <w:tcW w:w="299" w:type="dxa"/>
            <w:tcBorders>
              <w:right w:val="single" w:sz="4" w:space="0" w:color="auto"/>
            </w:tcBorders>
            <w:vAlign w:val="center"/>
          </w:tcPr>
          <w:p w:rsidR="005675FA" w:rsidRPr="00805109" w:rsidRDefault="005675FA" w:rsidP="00EF3ED8">
            <w:pPr>
              <w:spacing w:before="0" w:after="0" w:line="240" w:lineRule="auto"/>
              <w:ind w:left="-124" w:right="-87" w:firstLine="1"/>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5</w:t>
            </w:r>
          </w:p>
        </w:tc>
        <w:tc>
          <w:tcPr>
            <w:tcW w:w="410" w:type="dxa"/>
            <w:tcBorders>
              <w:left w:val="single" w:sz="4" w:space="0" w:color="auto"/>
            </w:tcBorders>
            <w:shd w:val="clear" w:color="auto" w:fill="auto"/>
            <w:noWrap/>
            <w:vAlign w:val="center"/>
          </w:tcPr>
          <w:p w:rsidR="005675FA" w:rsidRPr="00805109" w:rsidRDefault="005675FA" w:rsidP="00EF3ED8">
            <w:pPr>
              <w:spacing w:before="0" w:after="0" w:line="240" w:lineRule="auto"/>
              <w:ind w:left="-107" w:right="-97"/>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3.79</w:t>
            </w:r>
          </w:p>
        </w:tc>
        <w:tc>
          <w:tcPr>
            <w:tcW w:w="410" w:type="dxa"/>
            <w:vAlign w:val="center"/>
          </w:tcPr>
          <w:p w:rsidR="005675FA" w:rsidRPr="00805109" w:rsidRDefault="005675FA" w:rsidP="00EF3ED8">
            <w:pPr>
              <w:spacing w:before="0" w:after="0" w:line="240" w:lineRule="auto"/>
              <w:ind w:left="-112" w:right="-104" w:hanging="2"/>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0.33</w:t>
            </w:r>
          </w:p>
        </w:tc>
        <w:tc>
          <w:tcPr>
            <w:tcW w:w="314" w:type="dxa"/>
            <w:vAlign w:val="center"/>
          </w:tcPr>
          <w:p w:rsidR="005675FA" w:rsidRPr="00805109" w:rsidRDefault="005675FA" w:rsidP="00EF3ED8">
            <w:pPr>
              <w:spacing w:before="0" w:after="0" w:line="240" w:lineRule="auto"/>
              <w:jc w:val="center"/>
              <w:rPr>
                <w:rFonts w:ascii="Times New Roman" w:hAnsi="Times New Roman" w:cs="Times New Roman"/>
                <w:color w:val="000000" w:themeColor="text1"/>
                <w:sz w:val="14"/>
                <w:szCs w:val="14"/>
              </w:rPr>
            </w:pPr>
            <w:r w:rsidRPr="00805109">
              <w:rPr>
                <w:rFonts w:ascii="Times New Roman" w:hAnsi="Times New Roman" w:cs="Times New Roman"/>
                <w:color w:val="000000" w:themeColor="text1"/>
                <w:sz w:val="14"/>
                <w:szCs w:val="14"/>
              </w:rPr>
              <w:t>2</w:t>
            </w:r>
          </w:p>
        </w:tc>
      </w:tr>
    </w:tbl>
    <w:p w:rsidR="00D97BA2" w:rsidRDefault="00D97BA2" w:rsidP="00D97BA2">
      <w:pPr>
        <w:spacing w:before="0" w:after="0" w:line="240" w:lineRule="auto"/>
        <w:rPr>
          <w:rFonts w:ascii="Times New Roman" w:hAnsi="Times New Roman" w:cs="Times New Roman"/>
          <w:b/>
          <w:color w:val="000000" w:themeColor="text1"/>
          <w:sz w:val="28"/>
          <w:szCs w:val="28"/>
        </w:rPr>
      </w:pPr>
    </w:p>
    <w:p w:rsidR="00F71F31" w:rsidRPr="0005616F" w:rsidRDefault="00F71F31"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t>Table S</w:t>
      </w:r>
      <w:r w:rsidR="005675FA" w:rsidRPr="0005616F">
        <w:rPr>
          <w:rFonts w:ascii="Times New Roman" w:hAnsi="Times New Roman" w:cs="Times New Roman"/>
          <w:b/>
          <w:color w:val="000000" w:themeColor="text1"/>
          <w:szCs w:val="24"/>
        </w:rPr>
        <w:t>4</w:t>
      </w:r>
      <w:r w:rsidRPr="0005616F">
        <w:rPr>
          <w:rFonts w:ascii="Times New Roman" w:hAnsi="Times New Roman" w:cs="Times New Roman"/>
          <w:b/>
          <w:color w:val="000000" w:themeColor="text1"/>
          <w:szCs w:val="24"/>
        </w:rPr>
        <w:t xml:space="preserve">. Summary statistics for size-resolved </w:t>
      </w:r>
      <w:r w:rsidR="00F838E7" w:rsidRPr="0005616F">
        <w:rPr>
          <w:rFonts w:ascii="Times New Roman" w:hAnsi="Times New Roman" w:cs="Times New Roman"/>
          <w:b/>
          <w:color w:val="000000" w:themeColor="text1"/>
          <w:szCs w:val="24"/>
        </w:rPr>
        <w:t xml:space="preserve">and total </w:t>
      </w:r>
      <w:r w:rsidRPr="0005616F">
        <w:rPr>
          <w:rFonts w:ascii="Times New Roman" w:hAnsi="Times New Roman" w:cs="Times New Roman"/>
          <w:b/>
          <w:color w:val="000000" w:themeColor="text1"/>
          <w:szCs w:val="24"/>
        </w:rPr>
        <w:t xml:space="preserve">UFP deposition </w:t>
      </w:r>
      <w:r w:rsidR="00A324BA" w:rsidRPr="0005616F">
        <w:rPr>
          <w:rFonts w:ascii="Times New Roman" w:hAnsi="Times New Roman" w:cs="Times New Roman"/>
          <w:b/>
          <w:color w:val="000000" w:themeColor="text1"/>
          <w:szCs w:val="24"/>
        </w:rPr>
        <w:t>rates</w:t>
      </w:r>
      <w:r w:rsidRPr="0005616F">
        <w:rPr>
          <w:rFonts w:ascii="Times New Roman" w:hAnsi="Times New Roman" w:cs="Times New Roman"/>
          <w:b/>
          <w:color w:val="000000" w:themeColor="text1"/>
          <w:szCs w:val="24"/>
        </w:rPr>
        <w:t xml:space="preserve"> (</w:t>
      </w:r>
      <w:r w:rsidRPr="0005616F">
        <w:rPr>
          <w:rFonts w:ascii="Times New Roman" w:hAnsi="Times New Roman" w:cs="Times New Roman"/>
          <w:b/>
          <w:i/>
          <w:color w:val="000000" w:themeColor="text1"/>
          <w:szCs w:val="24"/>
        </w:rPr>
        <w:t>k</w:t>
      </w:r>
      <w:r w:rsidRPr="0005616F">
        <w:rPr>
          <w:rFonts w:ascii="Times New Roman" w:hAnsi="Times New Roman" w:cs="Times New Roman"/>
          <w:b/>
          <w:color w:val="000000" w:themeColor="text1"/>
          <w:szCs w:val="24"/>
        </w:rPr>
        <w:t>) associated with different range hood flow rates</w:t>
      </w:r>
      <w:r w:rsidR="00FA1C1F" w:rsidRPr="0005616F">
        <w:rPr>
          <w:rFonts w:ascii="Times New Roman" w:hAnsi="Times New Roman" w:cs="Times New Roman"/>
          <w:b/>
          <w:color w:val="000000" w:themeColor="text1"/>
          <w:szCs w:val="24"/>
        </w:rPr>
        <w:t>,</w:t>
      </w:r>
      <w:r w:rsidR="006C2300" w:rsidRPr="0005616F">
        <w:rPr>
          <w:rFonts w:ascii="Times New Roman" w:hAnsi="Times New Roman" w:cs="Times New Roman"/>
          <w:b/>
          <w:color w:val="000000" w:themeColor="text1"/>
          <w:szCs w:val="24"/>
        </w:rPr>
        <w:t xml:space="preserve"> meas</w:t>
      </w:r>
      <w:r w:rsidR="00FA1C1F" w:rsidRPr="0005616F">
        <w:rPr>
          <w:rFonts w:ascii="Times New Roman" w:hAnsi="Times New Roman" w:cs="Times New Roman"/>
          <w:b/>
          <w:color w:val="000000" w:themeColor="text1"/>
          <w:szCs w:val="24"/>
        </w:rPr>
        <w:t xml:space="preserve">ured </w:t>
      </w:r>
      <w:r w:rsidR="00C636F8" w:rsidRPr="0005616F">
        <w:rPr>
          <w:rFonts w:ascii="Times New Roman" w:hAnsi="Times New Roman" w:cs="Times New Roman"/>
          <w:b/>
          <w:color w:val="000000" w:themeColor="text1"/>
          <w:szCs w:val="24"/>
        </w:rPr>
        <w:t>under</w:t>
      </w:r>
      <w:r w:rsidR="00FA1C1F" w:rsidRPr="0005616F">
        <w:rPr>
          <w:rFonts w:ascii="Times New Roman" w:hAnsi="Times New Roman" w:cs="Times New Roman"/>
          <w:b/>
          <w:color w:val="000000" w:themeColor="text1"/>
          <w:szCs w:val="24"/>
        </w:rPr>
        <w:t xml:space="preserve"> Fan </w:t>
      </w:r>
      <w:r w:rsidR="00823DA4" w:rsidRPr="0005616F">
        <w:rPr>
          <w:rFonts w:ascii="Times New Roman" w:hAnsi="Times New Roman" w:cs="Times New Roman"/>
          <w:b/>
          <w:color w:val="000000" w:themeColor="text1"/>
          <w:szCs w:val="24"/>
        </w:rPr>
        <w:t xml:space="preserve">Always </w:t>
      </w:r>
      <w:r w:rsidR="00FA1C1F" w:rsidRPr="0005616F">
        <w:rPr>
          <w:rFonts w:ascii="Times New Roman" w:hAnsi="Times New Roman" w:cs="Times New Roman"/>
          <w:b/>
          <w:color w:val="000000" w:themeColor="text1"/>
          <w:szCs w:val="24"/>
        </w:rPr>
        <w:t>O</w:t>
      </w:r>
      <w:r w:rsidR="006C2300" w:rsidRPr="0005616F">
        <w:rPr>
          <w:rFonts w:ascii="Times New Roman" w:hAnsi="Times New Roman" w:cs="Times New Roman"/>
          <w:b/>
          <w:color w:val="000000" w:themeColor="text1"/>
          <w:szCs w:val="24"/>
        </w:rPr>
        <w:t xml:space="preserve">n </w:t>
      </w:r>
      <w:r w:rsidR="00FA1C1F" w:rsidRPr="0005616F">
        <w:rPr>
          <w:rFonts w:ascii="Times New Roman" w:hAnsi="Times New Roman" w:cs="Times New Roman"/>
          <w:b/>
          <w:color w:val="000000" w:themeColor="text1"/>
          <w:szCs w:val="24"/>
        </w:rPr>
        <w:t>test condition</w:t>
      </w:r>
      <w:r w:rsidRPr="0005616F">
        <w:rPr>
          <w:rFonts w:ascii="Times New Roman" w:hAnsi="Times New Roman" w:cs="Times New Roman"/>
          <w:b/>
          <w:color w:val="000000" w:themeColor="text1"/>
          <w:szCs w:val="24"/>
        </w:rPr>
        <w:t>.</w:t>
      </w:r>
    </w:p>
    <w:tbl>
      <w:tblPr>
        <w:tblW w:w="5163" w:type="pct"/>
        <w:tblBorders>
          <w:top w:val="single" w:sz="4" w:space="0" w:color="auto"/>
          <w:bottom w:val="single" w:sz="4" w:space="0" w:color="auto"/>
        </w:tblBorders>
        <w:tblLayout w:type="fixed"/>
        <w:tblLook w:val="04A0" w:firstRow="1" w:lastRow="0" w:firstColumn="1" w:lastColumn="0" w:noHBand="0" w:noVBand="1"/>
      </w:tblPr>
      <w:tblGrid>
        <w:gridCol w:w="1222"/>
        <w:gridCol w:w="619"/>
        <w:gridCol w:w="619"/>
        <w:gridCol w:w="619"/>
        <w:gridCol w:w="619"/>
        <w:gridCol w:w="619"/>
        <w:gridCol w:w="619"/>
        <w:gridCol w:w="619"/>
        <w:gridCol w:w="619"/>
        <w:gridCol w:w="619"/>
        <w:gridCol w:w="619"/>
        <w:gridCol w:w="619"/>
        <w:gridCol w:w="619"/>
        <w:gridCol w:w="619"/>
        <w:gridCol w:w="619"/>
      </w:tblGrid>
      <w:tr w:rsidR="00805109" w:rsidRPr="00805109" w:rsidTr="000E2D71">
        <w:trPr>
          <w:trHeight w:val="340"/>
        </w:trPr>
        <w:tc>
          <w:tcPr>
            <w:tcW w:w="618" w:type="pct"/>
            <w:vMerge w:val="restart"/>
            <w:tcBorders>
              <w:top w:val="single" w:sz="4" w:space="0" w:color="auto"/>
              <w:right w:val="single" w:sz="4" w:space="0" w:color="auto"/>
            </w:tcBorders>
            <w:shd w:val="clear" w:color="auto" w:fill="D9D9D9" w:themeFill="background1" w:themeFillShade="D9"/>
            <w:noWrap/>
            <w:vAlign w:val="center"/>
            <w:hideMark/>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Particle diameter (nm)</w:t>
            </w:r>
          </w:p>
        </w:tc>
        <w:tc>
          <w:tcPr>
            <w:tcW w:w="4382" w:type="pct"/>
            <w:gridSpan w:val="14"/>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Deposition rate (h</w:t>
            </w:r>
            <w:r w:rsidRPr="00805109">
              <w:rPr>
                <w:rFonts w:ascii="Times New Roman" w:eastAsia="Times New Roman" w:hAnsi="Times New Roman" w:cs="Times New Roman"/>
                <w:b/>
                <w:color w:val="000000" w:themeColor="text1"/>
                <w:sz w:val="16"/>
                <w:szCs w:val="16"/>
                <w:vertAlign w:val="superscript"/>
              </w:rPr>
              <w:t>-1</w:t>
            </w:r>
            <w:r w:rsidRPr="00805109">
              <w:rPr>
                <w:rFonts w:ascii="Times New Roman" w:eastAsia="Times New Roman" w:hAnsi="Times New Roman" w:cs="Times New Roman"/>
                <w:b/>
                <w:color w:val="000000" w:themeColor="text1"/>
                <w:sz w:val="16"/>
                <w:szCs w:val="16"/>
              </w:rPr>
              <w:t>)</w:t>
            </w:r>
          </w:p>
        </w:tc>
      </w:tr>
      <w:tr w:rsidR="00805109" w:rsidRPr="00805109" w:rsidTr="000E2D71">
        <w:trPr>
          <w:trHeight w:val="340"/>
        </w:trPr>
        <w:tc>
          <w:tcPr>
            <w:tcW w:w="618" w:type="pct"/>
            <w:vMerge/>
            <w:tcBorders>
              <w:right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p>
        </w:tc>
        <w:tc>
          <w:tcPr>
            <w:tcW w:w="626" w:type="pct"/>
            <w:gridSpan w:val="2"/>
            <w:tcBorders>
              <w:top w:val="single" w:sz="4" w:space="0" w:color="auto"/>
              <w:bottom w:val="single" w:sz="4" w:space="0" w:color="auto"/>
              <w:right w:val="single" w:sz="4" w:space="0" w:color="auto"/>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Fan Off</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36 L/s</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69 L/s</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75 L/s</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84 L/s</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120 L/s</w:t>
            </w:r>
          </w:p>
        </w:tc>
        <w:tc>
          <w:tcPr>
            <w:tcW w:w="626" w:type="pct"/>
            <w:gridSpan w:val="2"/>
            <w:tcBorders>
              <w:top w:val="single" w:sz="4" w:space="0" w:color="auto"/>
              <w:left w:val="single" w:sz="4" w:space="0" w:color="auto"/>
              <w:bottom w:val="single" w:sz="4" w:space="0" w:color="auto"/>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146 L/s</w:t>
            </w:r>
          </w:p>
        </w:tc>
      </w:tr>
      <w:tr w:rsidR="00805109" w:rsidRPr="00805109" w:rsidTr="000E2D71">
        <w:trPr>
          <w:trHeight w:val="340"/>
        </w:trPr>
        <w:tc>
          <w:tcPr>
            <w:tcW w:w="618" w:type="pct"/>
            <w:vMerge/>
            <w:tcBorders>
              <w:bottom w:val="single" w:sz="4" w:space="0" w:color="auto"/>
              <w:right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p>
        </w:tc>
        <w:tc>
          <w:tcPr>
            <w:tcW w:w="313"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Mean</w:t>
            </w:r>
          </w:p>
        </w:tc>
        <w:tc>
          <w:tcPr>
            <w:tcW w:w="313" w:type="pct"/>
            <w:tcBorders>
              <w:top w:val="single" w:sz="4" w:space="0" w:color="auto"/>
              <w:left w:val="nil"/>
              <w:bottom w:val="single" w:sz="4" w:space="0" w:color="auto"/>
              <w:right w:val="nil"/>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SE</w:t>
            </w:r>
          </w:p>
        </w:tc>
        <w:tc>
          <w:tcPr>
            <w:tcW w:w="313" w:type="pct"/>
            <w:tcBorders>
              <w:top w:val="single" w:sz="4" w:space="0" w:color="auto"/>
              <w:left w:val="single" w:sz="4" w:space="0" w:color="auto"/>
              <w:bottom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Mean</w:t>
            </w:r>
          </w:p>
        </w:tc>
        <w:tc>
          <w:tcPr>
            <w:tcW w:w="313" w:type="pct"/>
            <w:tcBorders>
              <w:top w:val="single" w:sz="4" w:space="0" w:color="auto"/>
              <w:bottom w:val="single" w:sz="4" w:space="0" w:color="auto"/>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SE</w:t>
            </w:r>
          </w:p>
        </w:tc>
        <w:tc>
          <w:tcPr>
            <w:tcW w:w="313" w:type="pct"/>
            <w:tcBorders>
              <w:top w:val="single" w:sz="4" w:space="0" w:color="auto"/>
              <w:left w:val="single" w:sz="4" w:space="0" w:color="auto"/>
              <w:bottom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Mean</w:t>
            </w:r>
          </w:p>
        </w:tc>
        <w:tc>
          <w:tcPr>
            <w:tcW w:w="313" w:type="pct"/>
            <w:tcBorders>
              <w:top w:val="single" w:sz="4" w:space="0" w:color="auto"/>
              <w:bottom w:val="single" w:sz="4" w:space="0" w:color="auto"/>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SE</w:t>
            </w:r>
          </w:p>
        </w:tc>
        <w:tc>
          <w:tcPr>
            <w:tcW w:w="313" w:type="pct"/>
            <w:tcBorders>
              <w:top w:val="single" w:sz="4" w:space="0" w:color="auto"/>
              <w:left w:val="single" w:sz="4" w:space="0" w:color="auto"/>
              <w:bottom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Mean</w:t>
            </w:r>
          </w:p>
        </w:tc>
        <w:tc>
          <w:tcPr>
            <w:tcW w:w="313" w:type="pct"/>
            <w:tcBorders>
              <w:top w:val="single" w:sz="4" w:space="0" w:color="auto"/>
              <w:bottom w:val="single" w:sz="4" w:space="0" w:color="auto"/>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SE</w:t>
            </w:r>
          </w:p>
        </w:tc>
        <w:tc>
          <w:tcPr>
            <w:tcW w:w="313" w:type="pct"/>
            <w:tcBorders>
              <w:top w:val="single" w:sz="4" w:space="0" w:color="auto"/>
              <w:left w:val="single" w:sz="4" w:space="0" w:color="auto"/>
              <w:bottom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Mean</w:t>
            </w:r>
          </w:p>
        </w:tc>
        <w:tc>
          <w:tcPr>
            <w:tcW w:w="313" w:type="pct"/>
            <w:tcBorders>
              <w:top w:val="single" w:sz="4" w:space="0" w:color="auto"/>
              <w:bottom w:val="single" w:sz="4" w:space="0" w:color="auto"/>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SE</w:t>
            </w:r>
          </w:p>
        </w:tc>
        <w:tc>
          <w:tcPr>
            <w:tcW w:w="313" w:type="pct"/>
            <w:tcBorders>
              <w:top w:val="single" w:sz="4" w:space="0" w:color="auto"/>
              <w:left w:val="single" w:sz="4" w:space="0" w:color="auto"/>
              <w:bottom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Mean</w:t>
            </w:r>
          </w:p>
        </w:tc>
        <w:tc>
          <w:tcPr>
            <w:tcW w:w="313" w:type="pct"/>
            <w:tcBorders>
              <w:top w:val="single" w:sz="4" w:space="0" w:color="auto"/>
              <w:bottom w:val="single" w:sz="4" w:space="0" w:color="auto"/>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SE</w:t>
            </w:r>
          </w:p>
        </w:tc>
        <w:tc>
          <w:tcPr>
            <w:tcW w:w="313" w:type="pct"/>
            <w:tcBorders>
              <w:top w:val="single" w:sz="4" w:space="0" w:color="auto"/>
              <w:left w:val="single" w:sz="4" w:space="0" w:color="auto"/>
              <w:bottom w:val="single" w:sz="4" w:space="0" w:color="auto"/>
            </w:tcBorders>
            <w:shd w:val="clear" w:color="auto" w:fill="D9D9D9" w:themeFill="background1" w:themeFillShade="D9"/>
            <w:noWrap/>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Mean</w:t>
            </w:r>
          </w:p>
        </w:tc>
        <w:tc>
          <w:tcPr>
            <w:tcW w:w="313" w:type="pct"/>
            <w:tcBorders>
              <w:top w:val="single" w:sz="4" w:space="0" w:color="auto"/>
              <w:bottom w:val="single" w:sz="4" w:space="0" w:color="auto"/>
            </w:tcBorders>
            <w:shd w:val="clear" w:color="auto" w:fill="D9D9D9" w:themeFill="background1" w:themeFillShade="D9"/>
            <w:vAlign w:val="center"/>
          </w:tcPr>
          <w:p w:rsidR="00F71F31" w:rsidRPr="00805109" w:rsidRDefault="00F71F31" w:rsidP="00F71F31">
            <w:pPr>
              <w:spacing w:before="0" w:after="0" w:line="240" w:lineRule="auto"/>
              <w:jc w:val="center"/>
              <w:rPr>
                <w:rFonts w:ascii="Times New Roman" w:eastAsia="Times New Roman" w:hAnsi="Times New Roman" w:cs="Times New Roman"/>
                <w:b/>
                <w:color w:val="000000" w:themeColor="text1"/>
                <w:sz w:val="16"/>
                <w:szCs w:val="16"/>
              </w:rPr>
            </w:pPr>
            <w:r w:rsidRPr="00805109">
              <w:rPr>
                <w:rFonts w:ascii="Times New Roman" w:eastAsia="Times New Roman" w:hAnsi="Times New Roman" w:cs="Times New Roman"/>
                <w:b/>
                <w:color w:val="000000" w:themeColor="text1"/>
                <w:sz w:val="16"/>
                <w:szCs w:val="16"/>
              </w:rPr>
              <w:t>SE</w:t>
            </w:r>
          </w:p>
        </w:tc>
      </w:tr>
      <w:tr w:rsidR="00805109" w:rsidRPr="00805109" w:rsidTr="000E2D71">
        <w:trPr>
          <w:trHeight w:val="340"/>
        </w:trPr>
        <w:tc>
          <w:tcPr>
            <w:tcW w:w="618" w:type="pct"/>
            <w:tcBorders>
              <w:top w:val="single" w:sz="4" w:space="0" w:color="auto"/>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10 - 13</w:t>
            </w:r>
          </w:p>
        </w:tc>
        <w:tc>
          <w:tcPr>
            <w:tcW w:w="313" w:type="pct"/>
            <w:tcBorders>
              <w:top w:val="single" w:sz="4" w:space="0" w:color="auto"/>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2.16</w:t>
            </w:r>
          </w:p>
        </w:tc>
        <w:tc>
          <w:tcPr>
            <w:tcW w:w="313" w:type="pct"/>
            <w:tcBorders>
              <w:top w:val="single" w:sz="4" w:space="0" w:color="auto"/>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0.11</w:t>
            </w:r>
          </w:p>
        </w:tc>
        <w:tc>
          <w:tcPr>
            <w:tcW w:w="313" w:type="pct"/>
            <w:tcBorders>
              <w:top w:val="single" w:sz="4" w:space="0" w:color="auto"/>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2.25</w:t>
            </w:r>
          </w:p>
        </w:tc>
        <w:tc>
          <w:tcPr>
            <w:tcW w:w="313" w:type="pct"/>
            <w:tcBorders>
              <w:top w:val="single" w:sz="4" w:space="0" w:color="auto"/>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0.39</w:t>
            </w:r>
          </w:p>
        </w:tc>
        <w:tc>
          <w:tcPr>
            <w:tcW w:w="313" w:type="pct"/>
            <w:tcBorders>
              <w:top w:val="single" w:sz="4" w:space="0" w:color="auto"/>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1.72</w:t>
            </w:r>
          </w:p>
        </w:tc>
        <w:tc>
          <w:tcPr>
            <w:tcW w:w="313" w:type="pct"/>
            <w:tcBorders>
              <w:top w:val="single" w:sz="4" w:space="0" w:color="auto"/>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0.26</w:t>
            </w:r>
          </w:p>
        </w:tc>
        <w:tc>
          <w:tcPr>
            <w:tcW w:w="313" w:type="pct"/>
            <w:tcBorders>
              <w:top w:val="single" w:sz="4" w:space="0" w:color="auto"/>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2.67</w:t>
            </w:r>
          </w:p>
        </w:tc>
        <w:tc>
          <w:tcPr>
            <w:tcW w:w="313" w:type="pct"/>
            <w:tcBorders>
              <w:top w:val="single" w:sz="4" w:space="0" w:color="auto"/>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0.88</w:t>
            </w:r>
          </w:p>
        </w:tc>
        <w:tc>
          <w:tcPr>
            <w:tcW w:w="313" w:type="pct"/>
            <w:tcBorders>
              <w:top w:val="single" w:sz="4" w:space="0" w:color="auto"/>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2.16</w:t>
            </w:r>
          </w:p>
        </w:tc>
        <w:tc>
          <w:tcPr>
            <w:tcW w:w="313" w:type="pct"/>
            <w:tcBorders>
              <w:top w:val="single" w:sz="4" w:space="0" w:color="auto"/>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0.25</w:t>
            </w:r>
          </w:p>
        </w:tc>
        <w:tc>
          <w:tcPr>
            <w:tcW w:w="313" w:type="pct"/>
            <w:tcBorders>
              <w:top w:val="single" w:sz="4" w:space="0" w:color="auto"/>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1.93</w:t>
            </w:r>
          </w:p>
        </w:tc>
        <w:tc>
          <w:tcPr>
            <w:tcW w:w="313" w:type="pct"/>
            <w:tcBorders>
              <w:top w:val="single" w:sz="4" w:space="0" w:color="auto"/>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0.30</w:t>
            </w:r>
          </w:p>
        </w:tc>
        <w:tc>
          <w:tcPr>
            <w:tcW w:w="313" w:type="pct"/>
            <w:tcBorders>
              <w:top w:val="single" w:sz="4" w:space="0" w:color="auto"/>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2.22</w:t>
            </w:r>
          </w:p>
        </w:tc>
        <w:tc>
          <w:tcPr>
            <w:tcW w:w="313" w:type="pct"/>
            <w:tcBorders>
              <w:top w:val="single" w:sz="4" w:space="0" w:color="auto"/>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13 - 18</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1.81</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0.09</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1.99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0.41</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1.61</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0.17</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1.84</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0.34</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2.07</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0.21</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1.77</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0.37</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1.72</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0.26</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18 - 24</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1.63</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0.07</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1.67</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0.39</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1.43</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0.21</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1.28</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0.24</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1.82</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0.22</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1.51</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0.27</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1.69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24 - 32</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1.41</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0.05</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1.60</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0.43</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1.15</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0.26</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0.86</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0.19</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1.58</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0.23</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1.34</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0.29</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1.68</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32 - 42</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1.26</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0.05</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0.39</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0.93</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0.29</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0.62</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0.21</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1.45</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0.23</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1.20</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0.33</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1.45</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0.63</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42 - 56</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1.11</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0.04</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1.31</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0.39</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0.79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0.32</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0.34</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0.18</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1.32</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0.23</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1.21</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0.37</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1.47</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0.50</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56 - 75</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1.02</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0.04</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1.19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0.40</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0.73</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0.30</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0.11</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0.17</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1.18</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0.22</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1.02</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0.35</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1.08</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0.24</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75 - 100</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0.95</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0.05</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1.18</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0.42</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0.68</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0.31</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0.10</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0.20</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1.20</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0.23</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0.88</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0.40</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1.06</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0.24</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100 - 133</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0.96</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0.05</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0.35</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0.93</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0.26</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0.06</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0.16</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1.30</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0.24</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1.07</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0.42</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1.34</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0.23</w:t>
            </w:r>
          </w:p>
        </w:tc>
      </w:tr>
      <w:tr w:rsidR="00805109" w:rsidRPr="00805109" w:rsidTr="000E2D71">
        <w:trPr>
          <w:trHeight w:val="340"/>
        </w:trPr>
        <w:tc>
          <w:tcPr>
            <w:tcW w:w="618" w:type="pct"/>
            <w:tcBorders>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133 - 178</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0.98</w:t>
            </w:r>
          </w:p>
        </w:tc>
        <w:tc>
          <w:tcPr>
            <w:tcW w:w="313" w:type="pct"/>
            <w:tcBorders>
              <w:top w:val="nil"/>
              <w:left w:val="nil"/>
              <w:bottom w:val="nil"/>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0.09</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1.61</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0.37</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1.07</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0.31</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0.12</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0.20</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1.59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0.28</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1.32</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0.23</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w:t>
            </w:r>
          </w:p>
        </w:tc>
      </w:tr>
      <w:tr w:rsidR="00805109" w:rsidRPr="00805109" w:rsidTr="000E2D71">
        <w:trPr>
          <w:trHeight w:val="340"/>
        </w:trPr>
        <w:tc>
          <w:tcPr>
            <w:tcW w:w="618" w:type="pct"/>
            <w:tcBorders>
              <w:bottom w:val="single" w:sz="4" w:space="0" w:color="auto"/>
              <w:righ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eastAsia="Times New Roman" w:hAnsi="Times New Roman" w:cs="Times New Roman"/>
                <w:color w:val="000000" w:themeColor="text1"/>
                <w:sz w:val="16"/>
                <w:szCs w:val="16"/>
              </w:rPr>
              <w:t>total particles</w:t>
            </w:r>
          </w:p>
        </w:tc>
        <w:tc>
          <w:tcPr>
            <w:tcW w:w="313" w:type="pct"/>
            <w:tcBorders>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1.12</w:t>
            </w:r>
          </w:p>
        </w:tc>
        <w:tc>
          <w:tcPr>
            <w:tcW w:w="313" w:type="pct"/>
            <w:tcBorders>
              <w:top w:val="nil"/>
              <w:left w:val="nil"/>
              <w:bottom w:val="single" w:sz="4" w:space="0" w:color="auto"/>
              <w:right w:val="nil"/>
            </w:tcBorders>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0.03</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1.50</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0.35</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0.97</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0.26</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0.15</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1.34</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0.22</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1.09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0.31</w:t>
            </w:r>
          </w:p>
        </w:tc>
        <w:tc>
          <w:tcPr>
            <w:tcW w:w="313" w:type="pct"/>
            <w:tcBorders>
              <w:left w:val="single" w:sz="4" w:space="0" w:color="auto"/>
            </w:tcBorders>
            <w:shd w:val="clear" w:color="auto" w:fill="auto"/>
            <w:noWrap/>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1.49</w:t>
            </w:r>
          </w:p>
        </w:tc>
        <w:tc>
          <w:tcPr>
            <w:tcW w:w="313" w:type="pct"/>
            <w:vAlign w:val="center"/>
          </w:tcPr>
          <w:p w:rsidR="00F71F31" w:rsidRPr="00805109" w:rsidRDefault="00F71F31" w:rsidP="00F71F31">
            <w:pPr>
              <w:spacing w:before="0" w:after="0" w:line="240" w:lineRule="auto"/>
              <w:jc w:val="center"/>
              <w:rPr>
                <w:rFonts w:ascii="Times New Roman" w:hAnsi="Times New Roman" w:cs="Times New Roman"/>
                <w:color w:val="000000" w:themeColor="text1"/>
                <w:sz w:val="16"/>
                <w:szCs w:val="16"/>
              </w:rPr>
            </w:pPr>
            <w:r w:rsidRPr="00805109">
              <w:rPr>
                <w:rFonts w:ascii="Times New Roman" w:hAnsi="Times New Roman" w:cs="Times New Roman"/>
                <w:color w:val="000000" w:themeColor="text1"/>
                <w:sz w:val="16"/>
                <w:szCs w:val="16"/>
              </w:rPr>
              <w:t>0.40</w:t>
            </w:r>
          </w:p>
        </w:tc>
      </w:tr>
    </w:tbl>
    <w:p w:rsidR="00D97BA2" w:rsidRDefault="00D97BA2" w:rsidP="00D97BA2">
      <w:pPr>
        <w:spacing w:before="0" w:after="0" w:line="240" w:lineRule="auto"/>
        <w:rPr>
          <w:rFonts w:ascii="Times New Roman" w:hAnsi="Times New Roman" w:cs="Times New Roman"/>
          <w:b/>
          <w:color w:val="000000" w:themeColor="text1"/>
          <w:sz w:val="28"/>
          <w:szCs w:val="28"/>
        </w:rPr>
      </w:pPr>
    </w:p>
    <w:p w:rsidR="00032054" w:rsidRDefault="00032054" w:rsidP="00D97BA2">
      <w:pPr>
        <w:spacing w:before="0" w:after="240" w:line="240" w:lineRule="auto"/>
        <w:rPr>
          <w:rFonts w:ascii="Times New Roman" w:hAnsi="Times New Roman" w:cs="Times New Roman"/>
          <w:b/>
          <w:color w:val="000000" w:themeColor="text1"/>
          <w:szCs w:val="24"/>
        </w:rPr>
      </w:pPr>
    </w:p>
    <w:p w:rsidR="00032054" w:rsidRDefault="00032054" w:rsidP="00D97BA2">
      <w:pPr>
        <w:spacing w:before="0" w:after="240" w:line="240" w:lineRule="auto"/>
        <w:rPr>
          <w:rFonts w:ascii="Times New Roman" w:hAnsi="Times New Roman" w:cs="Times New Roman"/>
          <w:b/>
          <w:color w:val="000000" w:themeColor="text1"/>
          <w:szCs w:val="24"/>
        </w:rPr>
      </w:pPr>
    </w:p>
    <w:p w:rsidR="00FE5616" w:rsidRPr="0005616F" w:rsidRDefault="00FE5616"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lastRenderedPageBreak/>
        <w:t>Table S</w:t>
      </w:r>
      <w:r w:rsidR="005675FA" w:rsidRPr="0005616F">
        <w:rPr>
          <w:rFonts w:ascii="Times New Roman" w:hAnsi="Times New Roman" w:cs="Times New Roman"/>
          <w:b/>
          <w:color w:val="000000" w:themeColor="text1"/>
          <w:szCs w:val="24"/>
        </w:rPr>
        <w:t>5</w:t>
      </w:r>
      <w:r w:rsidRPr="0005616F">
        <w:rPr>
          <w:rFonts w:ascii="Times New Roman" w:hAnsi="Times New Roman" w:cs="Times New Roman"/>
          <w:b/>
          <w:color w:val="000000" w:themeColor="text1"/>
          <w:szCs w:val="24"/>
        </w:rPr>
        <w:t>. A summary</w:t>
      </w:r>
      <w:r w:rsidR="007C7BD3" w:rsidRPr="0005616F">
        <w:rPr>
          <w:rFonts w:ascii="Times New Roman" w:hAnsi="Times New Roman" w:cs="Times New Roman"/>
          <w:b/>
          <w:color w:val="000000" w:themeColor="text1"/>
          <w:szCs w:val="24"/>
        </w:rPr>
        <w:t xml:space="preserve"> </w:t>
      </w:r>
      <w:r w:rsidRPr="0005616F">
        <w:rPr>
          <w:rFonts w:ascii="Times New Roman" w:hAnsi="Times New Roman" w:cs="Times New Roman"/>
          <w:b/>
          <w:color w:val="000000" w:themeColor="text1"/>
          <w:szCs w:val="24"/>
        </w:rPr>
        <w:t>of the experimental conditions</w:t>
      </w:r>
      <w:r w:rsidR="007C7BD3" w:rsidRPr="0005616F">
        <w:rPr>
          <w:rFonts w:ascii="Times New Roman" w:hAnsi="Times New Roman" w:cs="Times New Roman"/>
          <w:b/>
          <w:color w:val="000000" w:themeColor="text1"/>
          <w:szCs w:val="24"/>
        </w:rPr>
        <w:t xml:space="preserve"> </w:t>
      </w:r>
      <w:r w:rsidR="00A324BA" w:rsidRPr="0005616F">
        <w:rPr>
          <w:rFonts w:ascii="Times New Roman" w:hAnsi="Times New Roman" w:cs="Times New Roman"/>
          <w:b/>
          <w:color w:val="000000" w:themeColor="text1"/>
          <w:szCs w:val="24"/>
        </w:rPr>
        <w:t>of</w:t>
      </w:r>
      <w:r w:rsidRPr="0005616F">
        <w:rPr>
          <w:rFonts w:ascii="Times New Roman" w:hAnsi="Times New Roman" w:cs="Times New Roman"/>
          <w:b/>
          <w:color w:val="000000" w:themeColor="text1"/>
          <w:szCs w:val="24"/>
        </w:rPr>
        <w:t xml:space="preserve"> selected studies on size-resolved particle deposition rates.</w:t>
      </w:r>
    </w:p>
    <w:tbl>
      <w:tblPr>
        <w:tblStyle w:val="TableGrid"/>
        <w:tblW w:w="5192"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143"/>
        <w:gridCol w:w="1702"/>
        <w:gridCol w:w="1985"/>
        <w:gridCol w:w="1134"/>
        <w:gridCol w:w="1275"/>
        <w:gridCol w:w="875"/>
        <w:gridCol w:w="1130"/>
      </w:tblGrid>
      <w:tr w:rsidR="00805109" w:rsidRPr="00805109" w:rsidTr="000E2D71">
        <w:trPr>
          <w:trHeight w:val="680"/>
        </w:trPr>
        <w:tc>
          <w:tcPr>
            <w:tcW w:w="927" w:type="pct"/>
            <w:gridSpan w:val="2"/>
            <w:tcBorders>
              <w:top w:val="single" w:sz="4" w:space="0" w:color="auto"/>
              <w:bottom w:val="single" w:sz="4" w:space="0" w:color="auto"/>
            </w:tcBorders>
            <w:shd w:val="clear" w:color="auto" w:fill="D9D9D9" w:themeFill="background1" w:themeFillShade="D9"/>
            <w:vAlign w:val="center"/>
          </w:tcPr>
          <w:p w:rsidR="00FE5616" w:rsidRPr="00805109" w:rsidRDefault="00FE5616" w:rsidP="00E34932">
            <w:pPr>
              <w:spacing w:before="0" w:after="0" w:line="240" w:lineRule="auto"/>
              <w:jc w:val="center"/>
              <w:rPr>
                <w:rFonts w:ascii="Times New Roman" w:hAnsi="Times New Roman" w:cs="Times New Roman"/>
                <w:b/>
                <w:color w:val="000000" w:themeColor="text1"/>
                <w:sz w:val="20"/>
                <w:szCs w:val="20"/>
              </w:rPr>
            </w:pPr>
            <w:r w:rsidRPr="00805109">
              <w:rPr>
                <w:rFonts w:ascii="Times New Roman" w:hAnsi="Times New Roman" w:cs="Times New Roman"/>
                <w:b/>
                <w:color w:val="000000" w:themeColor="text1"/>
                <w:sz w:val="20"/>
                <w:szCs w:val="20"/>
              </w:rPr>
              <w:t>Study</w:t>
            </w:r>
          </w:p>
        </w:tc>
        <w:tc>
          <w:tcPr>
            <w:tcW w:w="856" w:type="pct"/>
            <w:tcBorders>
              <w:top w:val="single" w:sz="4" w:space="0" w:color="auto"/>
              <w:bottom w:val="single" w:sz="4" w:space="0" w:color="auto"/>
            </w:tcBorders>
            <w:shd w:val="clear" w:color="auto" w:fill="D9D9D9" w:themeFill="background1" w:themeFillShade="D9"/>
            <w:vAlign w:val="center"/>
          </w:tcPr>
          <w:p w:rsidR="00FE5616" w:rsidRPr="00805109" w:rsidRDefault="00FE5616" w:rsidP="00E34932">
            <w:pPr>
              <w:spacing w:before="0" w:after="0" w:line="240" w:lineRule="auto"/>
              <w:ind w:left="50" w:hanging="15"/>
              <w:jc w:val="center"/>
              <w:rPr>
                <w:rFonts w:ascii="Times New Roman" w:hAnsi="Times New Roman" w:cs="Times New Roman"/>
                <w:b/>
                <w:color w:val="000000" w:themeColor="text1"/>
                <w:sz w:val="20"/>
                <w:szCs w:val="20"/>
              </w:rPr>
            </w:pPr>
            <w:r w:rsidRPr="00805109">
              <w:rPr>
                <w:rFonts w:ascii="Times New Roman" w:hAnsi="Times New Roman" w:cs="Times New Roman"/>
                <w:b/>
                <w:color w:val="000000" w:themeColor="text1"/>
                <w:sz w:val="20"/>
                <w:szCs w:val="20"/>
              </w:rPr>
              <w:t>Experiment environment</w:t>
            </w:r>
          </w:p>
        </w:tc>
        <w:tc>
          <w:tcPr>
            <w:tcW w:w="998" w:type="pct"/>
            <w:tcBorders>
              <w:top w:val="single" w:sz="4" w:space="0" w:color="auto"/>
              <w:bottom w:val="single" w:sz="4" w:space="0" w:color="auto"/>
            </w:tcBorders>
            <w:shd w:val="clear" w:color="auto" w:fill="D9D9D9" w:themeFill="background1" w:themeFillShade="D9"/>
            <w:vAlign w:val="center"/>
          </w:tcPr>
          <w:p w:rsidR="00FE5616" w:rsidRPr="00805109" w:rsidRDefault="00FE5616" w:rsidP="00E34932">
            <w:pPr>
              <w:tabs>
                <w:tab w:val="left" w:pos="415"/>
              </w:tabs>
              <w:spacing w:before="0" w:after="0" w:line="240" w:lineRule="auto"/>
              <w:ind w:left="31" w:hanging="31"/>
              <w:jc w:val="center"/>
              <w:rPr>
                <w:rFonts w:ascii="Times New Roman" w:hAnsi="Times New Roman" w:cs="Times New Roman"/>
                <w:b/>
                <w:color w:val="000000" w:themeColor="text1"/>
                <w:sz w:val="20"/>
                <w:szCs w:val="20"/>
              </w:rPr>
            </w:pPr>
            <w:r w:rsidRPr="00805109">
              <w:rPr>
                <w:rFonts w:ascii="Times New Roman" w:hAnsi="Times New Roman" w:cs="Times New Roman"/>
                <w:b/>
                <w:color w:val="000000" w:themeColor="text1"/>
                <w:sz w:val="20"/>
                <w:szCs w:val="20"/>
              </w:rPr>
              <w:t>Particle source</w:t>
            </w:r>
          </w:p>
        </w:tc>
        <w:tc>
          <w:tcPr>
            <w:tcW w:w="570" w:type="pct"/>
            <w:tcBorders>
              <w:top w:val="single" w:sz="4" w:space="0" w:color="auto"/>
              <w:bottom w:val="single" w:sz="4" w:space="0" w:color="auto"/>
            </w:tcBorders>
            <w:shd w:val="clear" w:color="auto" w:fill="D9D9D9" w:themeFill="background1" w:themeFillShade="D9"/>
            <w:vAlign w:val="center"/>
          </w:tcPr>
          <w:p w:rsidR="00FE5616" w:rsidRPr="00805109" w:rsidRDefault="00FE5616" w:rsidP="00E34932">
            <w:pPr>
              <w:spacing w:before="0" w:after="0" w:line="240" w:lineRule="auto"/>
              <w:ind w:left="-106" w:right="-101"/>
              <w:jc w:val="center"/>
              <w:rPr>
                <w:rFonts w:ascii="Times New Roman" w:hAnsi="Times New Roman" w:cs="Times New Roman"/>
                <w:b/>
                <w:color w:val="000000" w:themeColor="text1"/>
                <w:sz w:val="20"/>
                <w:szCs w:val="20"/>
              </w:rPr>
            </w:pPr>
            <w:r w:rsidRPr="00805109">
              <w:rPr>
                <w:rFonts w:ascii="Times New Roman" w:hAnsi="Times New Roman" w:cs="Times New Roman"/>
                <w:b/>
                <w:color w:val="000000" w:themeColor="text1"/>
                <w:sz w:val="20"/>
                <w:szCs w:val="20"/>
              </w:rPr>
              <w:t>Particle size range (nm)</w:t>
            </w:r>
          </w:p>
        </w:tc>
        <w:tc>
          <w:tcPr>
            <w:tcW w:w="641" w:type="pct"/>
            <w:tcBorders>
              <w:top w:val="single" w:sz="4" w:space="0" w:color="auto"/>
              <w:bottom w:val="single" w:sz="4" w:space="0" w:color="auto"/>
            </w:tcBorders>
            <w:shd w:val="clear" w:color="auto" w:fill="D9D9D9" w:themeFill="background1" w:themeFillShade="D9"/>
            <w:vAlign w:val="center"/>
          </w:tcPr>
          <w:p w:rsidR="00FE5616" w:rsidRPr="00805109" w:rsidRDefault="00FE5616" w:rsidP="00E34932">
            <w:pPr>
              <w:spacing w:before="0" w:after="0" w:line="240" w:lineRule="auto"/>
              <w:ind w:left="-115" w:right="-131"/>
              <w:jc w:val="center"/>
              <w:rPr>
                <w:rFonts w:ascii="Times New Roman" w:hAnsi="Times New Roman" w:cs="Times New Roman"/>
                <w:b/>
                <w:color w:val="000000" w:themeColor="text1"/>
                <w:sz w:val="20"/>
                <w:szCs w:val="20"/>
              </w:rPr>
            </w:pPr>
            <w:r w:rsidRPr="00805109">
              <w:rPr>
                <w:rFonts w:ascii="Times New Roman" w:hAnsi="Times New Roman" w:cs="Times New Roman"/>
                <w:b/>
                <w:color w:val="000000" w:themeColor="text1"/>
                <w:sz w:val="20"/>
                <w:szCs w:val="20"/>
              </w:rPr>
              <w:t>Mixing</w:t>
            </w:r>
          </w:p>
          <w:p w:rsidR="00FE5616" w:rsidRPr="00805109" w:rsidRDefault="00FE5616" w:rsidP="00E34932">
            <w:pPr>
              <w:spacing w:before="0" w:after="0" w:line="240" w:lineRule="auto"/>
              <w:ind w:left="-115" w:right="-131"/>
              <w:jc w:val="center"/>
              <w:rPr>
                <w:rFonts w:ascii="Times New Roman" w:hAnsi="Times New Roman" w:cs="Times New Roman"/>
                <w:b/>
                <w:color w:val="000000" w:themeColor="text1"/>
                <w:sz w:val="20"/>
                <w:szCs w:val="20"/>
              </w:rPr>
            </w:pPr>
            <w:r w:rsidRPr="00805109">
              <w:rPr>
                <w:rFonts w:ascii="Times New Roman" w:hAnsi="Times New Roman" w:cs="Times New Roman"/>
                <w:b/>
                <w:color w:val="000000" w:themeColor="text1"/>
                <w:sz w:val="20"/>
                <w:szCs w:val="20"/>
              </w:rPr>
              <w:t>mechanism</w:t>
            </w:r>
          </w:p>
        </w:tc>
        <w:tc>
          <w:tcPr>
            <w:tcW w:w="440" w:type="pct"/>
            <w:tcBorders>
              <w:top w:val="single" w:sz="4" w:space="0" w:color="auto"/>
              <w:bottom w:val="single" w:sz="4" w:space="0" w:color="auto"/>
            </w:tcBorders>
            <w:shd w:val="clear" w:color="auto" w:fill="D9D9D9" w:themeFill="background1" w:themeFillShade="D9"/>
            <w:vAlign w:val="center"/>
          </w:tcPr>
          <w:p w:rsidR="00FE5616" w:rsidRPr="00805109" w:rsidRDefault="00FE5616" w:rsidP="00E34932">
            <w:pPr>
              <w:spacing w:before="0" w:after="0" w:line="240" w:lineRule="auto"/>
              <w:ind w:right="-107"/>
              <w:jc w:val="center"/>
              <w:rPr>
                <w:rFonts w:ascii="Times New Roman" w:hAnsi="Times New Roman" w:cs="Times New Roman"/>
                <w:b/>
                <w:color w:val="000000" w:themeColor="text1"/>
                <w:sz w:val="20"/>
                <w:szCs w:val="20"/>
              </w:rPr>
            </w:pPr>
            <w:r w:rsidRPr="00805109">
              <w:rPr>
                <w:rFonts w:ascii="Times New Roman" w:hAnsi="Times New Roman" w:cs="Times New Roman"/>
                <w:b/>
                <w:color w:val="000000" w:themeColor="text1"/>
                <w:sz w:val="20"/>
                <w:szCs w:val="20"/>
              </w:rPr>
              <w:t>Monitor</w:t>
            </w:r>
          </w:p>
        </w:tc>
        <w:tc>
          <w:tcPr>
            <w:tcW w:w="568" w:type="pct"/>
            <w:tcBorders>
              <w:top w:val="single" w:sz="4" w:space="0" w:color="auto"/>
              <w:bottom w:val="single" w:sz="4" w:space="0" w:color="auto"/>
            </w:tcBorders>
            <w:shd w:val="clear" w:color="auto" w:fill="D9D9D9" w:themeFill="background1" w:themeFillShade="D9"/>
            <w:vAlign w:val="center"/>
          </w:tcPr>
          <w:p w:rsidR="00FE5616" w:rsidRPr="00805109" w:rsidRDefault="00FE5616" w:rsidP="00E34932">
            <w:pPr>
              <w:spacing w:before="0" w:after="0" w:line="240" w:lineRule="auto"/>
              <w:jc w:val="center"/>
              <w:rPr>
                <w:rFonts w:ascii="Times New Roman" w:hAnsi="Times New Roman" w:cs="Times New Roman"/>
                <w:b/>
                <w:color w:val="000000" w:themeColor="text1"/>
                <w:sz w:val="20"/>
                <w:szCs w:val="20"/>
              </w:rPr>
            </w:pPr>
            <w:r w:rsidRPr="00805109">
              <w:rPr>
                <w:rFonts w:ascii="Times New Roman" w:hAnsi="Times New Roman" w:cs="Times New Roman"/>
                <w:b/>
                <w:color w:val="000000" w:themeColor="text1"/>
                <w:sz w:val="20"/>
                <w:szCs w:val="20"/>
              </w:rPr>
              <w:t>Air exchange rate  (h</w:t>
            </w:r>
            <w:r w:rsidRPr="00805109">
              <w:rPr>
                <w:rFonts w:ascii="Times New Roman" w:hAnsi="Times New Roman" w:cs="Times New Roman"/>
                <w:b/>
                <w:color w:val="000000" w:themeColor="text1"/>
                <w:sz w:val="20"/>
                <w:szCs w:val="20"/>
                <w:vertAlign w:val="superscript"/>
              </w:rPr>
              <w:t>-1</w:t>
            </w:r>
            <w:r w:rsidRPr="00805109">
              <w:rPr>
                <w:rFonts w:ascii="Times New Roman" w:hAnsi="Times New Roman" w:cs="Times New Roman"/>
                <w:b/>
                <w:color w:val="000000" w:themeColor="text1"/>
                <w:sz w:val="20"/>
                <w:szCs w:val="20"/>
              </w:rPr>
              <w:t>)</w:t>
            </w:r>
          </w:p>
        </w:tc>
      </w:tr>
      <w:tr w:rsidR="00805109" w:rsidRPr="00805109" w:rsidTr="000E2D71">
        <w:trPr>
          <w:trHeight w:val="680"/>
        </w:trPr>
        <w:tc>
          <w:tcPr>
            <w:tcW w:w="855" w:type="pct"/>
            <w:vAlign w:val="center"/>
          </w:tcPr>
          <w:p w:rsidR="00FE5616" w:rsidRPr="00805109" w:rsidRDefault="007C7BD3" w:rsidP="000E2D71">
            <w:pPr>
              <w:autoSpaceDE w:val="0"/>
              <w:autoSpaceDN w:val="0"/>
              <w:adjustRightInd w:val="0"/>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Wallace et al</w:t>
            </w:r>
            <w:r w:rsidR="001D0D8A" w:rsidRPr="00805109">
              <w:rPr>
                <w:rFonts w:ascii="Times New Roman" w:hAnsi="Times New Roman" w:cs="Times New Roman"/>
                <w:color w:val="000000" w:themeColor="text1"/>
                <w:sz w:val="20"/>
                <w:szCs w:val="20"/>
              </w:rPr>
              <w:t>. (2004)</w:t>
            </w:r>
          </w:p>
        </w:tc>
        <w:tc>
          <w:tcPr>
            <w:tcW w:w="928" w:type="pct"/>
            <w:gridSpan w:val="2"/>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an occupied three-story townhouse</w:t>
            </w:r>
          </w:p>
        </w:tc>
        <w:tc>
          <w:tcPr>
            <w:tcW w:w="998" w:type="pct"/>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cooking, candle, kitty litter</w:t>
            </w:r>
          </w:p>
        </w:tc>
        <w:tc>
          <w:tcPr>
            <w:tcW w:w="570" w:type="pct"/>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11 – 5,424</w:t>
            </w:r>
          </w:p>
        </w:tc>
        <w:tc>
          <w:tcPr>
            <w:tcW w:w="641" w:type="pct"/>
            <w:vAlign w:val="center"/>
          </w:tcPr>
          <w:p w:rsidR="00FE5616" w:rsidRPr="00805109" w:rsidRDefault="00FE5616" w:rsidP="000E2D71">
            <w:pPr>
              <w:spacing w:before="0" w:after="0" w:line="276" w:lineRule="auto"/>
              <w:ind w:left="-115" w:right="-131"/>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central fan (on/off)</w:t>
            </w:r>
          </w:p>
        </w:tc>
        <w:tc>
          <w:tcPr>
            <w:tcW w:w="440" w:type="pct"/>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SMPS, APS,</w:t>
            </w:r>
            <w:r w:rsidR="009132FE" w:rsidRPr="00805109">
              <w:rPr>
                <w:rFonts w:ascii="Times New Roman" w:hAnsi="Times New Roman" w:cs="Times New Roman"/>
                <w:color w:val="000000" w:themeColor="text1"/>
                <w:sz w:val="20"/>
                <w:szCs w:val="20"/>
              </w:rPr>
              <w:t xml:space="preserve"> </w:t>
            </w:r>
            <w:r w:rsidRPr="00805109">
              <w:rPr>
                <w:rFonts w:ascii="Times New Roman" w:hAnsi="Times New Roman" w:cs="Times New Roman"/>
                <w:color w:val="000000" w:themeColor="text1"/>
                <w:sz w:val="20"/>
                <w:szCs w:val="20"/>
              </w:rPr>
              <w:t>OPC</w:t>
            </w:r>
          </w:p>
        </w:tc>
        <w:tc>
          <w:tcPr>
            <w:tcW w:w="568" w:type="pct"/>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0.2 – 1.2</w:t>
            </w:r>
          </w:p>
        </w:tc>
      </w:tr>
      <w:tr w:rsidR="00805109" w:rsidRPr="00805109" w:rsidTr="000E2D71">
        <w:trPr>
          <w:trHeight w:val="680"/>
        </w:trPr>
        <w:tc>
          <w:tcPr>
            <w:tcW w:w="855" w:type="pct"/>
            <w:vAlign w:val="center"/>
          </w:tcPr>
          <w:p w:rsidR="00FE5616" w:rsidRPr="00805109" w:rsidRDefault="007C7BD3"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Rim et al.</w:t>
            </w:r>
            <w:r w:rsidR="001D0D8A" w:rsidRPr="00805109">
              <w:rPr>
                <w:rFonts w:ascii="Times New Roman" w:hAnsi="Times New Roman" w:cs="Times New Roman"/>
                <w:color w:val="000000" w:themeColor="text1"/>
                <w:sz w:val="20"/>
                <w:szCs w:val="20"/>
              </w:rPr>
              <w:t xml:space="preserve"> (2012)</w:t>
            </w:r>
          </w:p>
        </w:tc>
        <w:tc>
          <w:tcPr>
            <w:tcW w:w="928" w:type="pct"/>
            <w:gridSpan w:val="2"/>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an unoccupied single-storey house</w:t>
            </w:r>
          </w:p>
        </w:tc>
        <w:tc>
          <w:tcPr>
            <w:tcW w:w="998" w:type="pct"/>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gas and electric stoves, candle, hair dryer, belt sander, power saw</w:t>
            </w:r>
          </w:p>
        </w:tc>
        <w:tc>
          <w:tcPr>
            <w:tcW w:w="570" w:type="pct"/>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5 - 100</w:t>
            </w:r>
          </w:p>
        </w:tc>
        <w:tc>
          <w:tcPr>
            <w:tcW w:w="641" w:type="pct"/>
            <w:vAlign w:val="center"/>
          </w:tcPr>
          <w:p w:rsidR="00FE5616" w:rsidRPr="00805109" w:rsidRDefault="00FE5616" w:rsidP="000E2D71">
            <w:pPr>
              <w:spacing w:before="0" w:after="0" w:line="276" w:lineRule="auto"/>
              <w:ind w:left="-115" w:right="-131"/>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central fan (on/off)</w:t>
            </w:r>
          </w:p>
        </w:tc>
        <w:tc>
          <w:tcPr>
            <w:tcW w:w="440" w:type="pct"/>
            <w:vAlign w:val="center"/>
          </w:tcPr>
          <w:p w:rsidR="00FE5616" w:rsidRPr="00805109" w:rsidRDefault="00FE5616" w:rsidP="000E2D71">
            <w:pPr>
              <w:tabs>
                <w:tab w:val="left" w:pos="1104"/>
              </w:tabs>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SMPS</w:t>
            </w:r>
          </w:p>
        </w:tc>
        <w:tc>
          <w:tcPr>
            <w:tcW w:w="568" w:type="pct"/>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0.14</w:t>
            </w:r>
            <w:r w:rsidR="000E4946" w:rsidRPr="00805109">
              <w:rPr>
                <w:rFonts w:ascii="Times New Roman" w:hAnsi="Times New Roman" w:cs="Times New Roman"/>
                <w:color w:val="000000" w:themeColor="text1"/>
                <w:sz w:val="20"/>
                <w:szCs w:val="20"/>
              </w:rPr>
              <w:t xml:space="preserve"> – </w:t>
            </w:r>
            <w:r w:rsidRPr="00805109">
              <w:rPr>
                <w:rFonts w:ascii="Times New Roman" w:hAnsi="Times New Roman" w:cs="Times New Roman"/>
                <w:color w:val="000000" w:themeColor="text1"/>
                <w:sz w:val="20"/>
                <w:szCs w:val="20"/>
              </w:rPr>
              <w:t>0.51</w:t>
            </w:r>
          </w:p>
        </w:tc>
      </w:tr>
      <w:tr w:rsidR="00805109" w:rsidRPr="00805109" w:rsidTr="000E2D71">
        <w:trPr>
          <w:trHeight w:val="680"/>
        </w:trPr>
        <w:tc>
          <w:tcPr>
            <w:tcW w:w="855" w:type="pct"/>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Lee et al</w:t>
            </w:r>
            <w:r w:rsidR="001D0D8A" w:rsidRPr="00805109">
              <w:rPr>
                <w:rFonts w:ascii="Times New Roman" w:hAnsi="Times New Roman" w:cs="Times New Roman"/>
                <w:color w:val="000000" w:themeColor="text1"/>
                <w:sz w:val="20"/>
                <w:szCs w:val="20"/>
              </w:rPr>
              <w:t>. (2014)</w:t>
            </w:r>
          </w:p>
        </w:tc>
        <w:tc>
          <w:tcPr>
            <w:tcW w:w="928" w:type="pct"/>
            <w:gridSpan w:val="2"/>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an occupied apartment</w:t>
            </w:r>
          </w:p>
        </w:tc>
        <w:tc>
          <w:tcPr>
            <w:tcW w:w="998" w:type="pct"/>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Sodium chloride (</w:t>
            </w:r>
            <w:proofErr w:type="spellStart"/>
            <w:r w:rsidRPr="00805109">
              <w:rPr>
                <w:rFonts w:ascii="Times New Roman" w:hAnsi="Times New Roman" w:cs="Times New Roman"/>
                <w:color w:val="000000" w:themeColor="text1"/>
                <w:sz w:val="20"/>
                <w:szCs w:val="20"/>
              </w:rPr>
              <w:t>NaCl</w:t>
            </w:r>
            <w:proofErr w:type="spellEnd"/>
            <w:r w:rsidRPr="00805109">
              <w:rPr>
                <w:rFonts w:ascii="Times New Roman" w:hAnsi="Times New Roman" w:cs="Times New Roman"/>
                <w:color w:val="000000" w:themeColor="text1"/>
                <w:sz w:val="20"/>
                <w:szCs w:val="20"/>
              </w:rPr>
              <w:t>) nebulization</w:t>
            </w:r>
          </w:p>
        </w:tc>
        <w:tc>
          <w:tcPr>
            <w:tcW w:w="570" w:type="pct"/>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15 - 533</w:t>
            </w:r>
          </w:p>
        </w:tc>
        <w:tc>
          <w:tcPr>
            <w:tcW w:w="641" w:type="pct"/>
            <w:vAlign w:val="center"/>
          </w:tcPr>
          <w:p w:rsidR="00FE5616" w:rsidRPr="00805109" w:rsidRDefault="00FE5616" w:rsidP="000E2D71">
            <w:pPr>
              <w:spacing w:before="0" w:after="0" w:line="276" w:lineRule="auto"/>
              <w:ind w:left="-115" w:right="-131"/>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portable fans (on)</w:t>
            </w:r>
          </w:p>
        </w:tc>
        <w:tc>
          <w:tcPr>
            <w:tcW w:w="440" w:type="pct"/>
            <w:vAlign w:val="center"/>
          </w:tcPr>
          <w:p w:rsidR="00FE5616" w:rsidRPr="00805109" w:rsidRDefault="00FE5616" w:rsidP="000E2D71">
            <w:pPr>
              <w:tabs>
                <w:tab w:val="left" w:pos="1104"/>
              </w:tabs>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SMPS</w:t>
            </w:r>
          </w:p>
        </w:tc>
        <w:tc>
          <w:tcPr>
            <w:tcW w:w="568" w:type="pct"/>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0.61</w:t>
            </w:r>
            <w:r w:rsidR="000E4946" w:rsidRPr="00805109">
              <w:rPr>
                <w:rFonts w:ascii="Times New Roman" w:hAnsi="Times New Roman" w:cs="Times New Roman"/>
                <w:color w:val="000000" w:themeColor="text1"/>
                <w:sz w:val="20"/>
                <w:szCs w:val="20"/>
              </w:rPr>
              <w:t xml:space="preserve"> – </w:t>
            </w:r>
            <w:r w:rsidRPr="00805109">
              <w:rPr>
                <w:rFonts w:ascii="Times New Roman" w:hAnsi="Times New Roman" w:cs="Times New Roman"/>
                <w:color w:val="000000" w:themeColor="text1"/>
                <w:sz w:val="20"/>
                <w:szCs w:val="20"/>
              </w:rPr>
              <w:t>1.24</w:t>
            </w:r>
          </w:p>
        </w:tc>
      </w:tr>
      <w:tr w:rsidR="00805109" w:rsidRPr="00805109" w:rsidTr="000E2D71">
        <w:trPr>
          <w:trHeight w:val="680"/>
        </w:trPr>
        <w:tc>
          <w:tcPr>
            <w:tcW w:w="855" w:type="pct"/>
            <w:vAlign w:val="center"/>
          </w:tcPr>
          <w:p w:rsidR="007C7BD3" w:rsidRPr="00805109" w:rsidRDefault="001D0D8A" w:rsidP="000E2D71">
            <w:pPr>
              <w:autoSpaceDE w:val="0"/>
              <w:autoSpaceDN w:val="0"/>
              <w:adjustRightInd w:val="0"/>
              <w:spacing w:before="0" w:after="0" w:line="276" w:lineRule="auto"/>
              <w:jc w:val="left"/>
              <w:rPr>
                <w:rFonts w:ascii="Times New Roman" w:hAnsi="Times New Roman" w:cs="Times New Roman"/>
                <w:color w:val="000000" w:themeColor="text1"/>
                <w:sz w:val="20"/>
                <w:szCs w:val="20"/>
                <w:vertAlign w:val="superscript"/>
              </w:rPr>
            </w:pPr>
            <w:r w:rsidRPr="00805109">
              <w:rPr>
                <w:rFonts w:ascii="Times New Roman" w:hAnsi="Times New Roman" w:cs="Times New Roman"/>
                <w:color w:val="000000" w:themeColor="text1"/>
                <w:sz w:val="20"/>
                <w:szCs w:val="20"/>
              </w:rPr>
              <w:t>Benes and Holub (1996)</w:t>
            </w:r>
          </w:p>
        </w:tc>
        <w:tc>
          <w:tcPr>
            <w:tcW w:w="928" w:type="pct"/>
            <w:gridSpan w:val="2"/>
            <w:vAlign w:val="center"/>
          </w:tcPr>
          <w:p w:rsidR="007C7BD3" w:rsidRPr="00805109" w:rsidRDefault="007C7BD3" w:rsidP="000E2D71">
            <w:pPr>
              <w:autoSpaceDE w:val="0"/>
              <w:autoSpaceDN w:val="0"/>
              <w:adjustRightInd w:val="0"/>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an experimental chamber</w:t>
            </w:r>
          </w:p>
        </w:tc>
        <w:tc>
          <w:tcPr>
            <w:tcW w:w="998" w:type="pct"/>
            <w:vAlign w:val="center"/>
          </w:tcPr>
          <w:p w:rsidR="007C7BD3" w:rsidRPr="00805109" w:rsidRDefault="007C7BD3" w:rsidP="000E2D71">
            <w:pPr>
              <w:autoSpaceDE w:val="0"/>
              <w:autoSpaceDN w:val="0"/>
              <w:adjustRightInd w:val="0"/>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218Po (</w:t>
            </w:r>
            <w:proofErr w:type="spellStart"/>
            <w:r w:rsidRPr="00805109">
              <w:rPr>
                <w:rFonts w:ascii="Times New Roman" w:hAnsi="Times New Roman" w:cs="Times New Roman"/>
                <w:color w:val="000000" w:themeColor="text1"/>
                <w:sz w:val="20"/>
                <w:szCs w:val="20"/>
              </w:rPr>
              <w:t>RaA</w:t>
            </w:r>
            <w:proofErr w:type="spellEnd"/>
            <w:r w:rsidRPr="00805109">
              <w:rPr>
                <w:rFonts w:ascii="Times New Roman" w:hAnsi="Times New Roman" w:cs="Times New Roman"/>
                <w:color w:val="000000" w:themeColor="text1"/>
                <w:sz w:val="20"/>
                <w:szCs w:val="20"/>
              </w:rPr>
              <w:t>)</w:t>
            </w:r>
          </w:p>
        </w:tc>
        <w:tc>
          <w:tcPr>
            <w:tcW w:w="570" w:type="pct"/>
            <w:vAlign w:val="center"/>
          </w:tcPr>
          <w:p w:rsidR="007C7BD3" w:rsidRPr="00805109" w:rsidRDefault="007C7BD3" w:rsidP="000E2D71">
            <w:pPr>
              <w:autoSpaceDE w:val="0"/>
              <w:autoSpaceDN w:val="0"/>
              <w:adjustRightInd w:val="0"/>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1 - 300</w:t>
            </w:r>
          </w:p>
        </w:tc>
        <w:tc>
          <w:tcPr>
            <w:tcW w:w="641" w:type="pct"/>
            <w:vAlign w:val="center"/>
          </w:tcPr>
          <w:p w:rsidR="007C7BD3" w:rsidRPr="00805109" w:rsidRDefault="007C7BD3" w:rsidP="000E2D71">
            <w:pPr>
              <w:autoSpaceDE w:val="0"/>
              <w:autoSpaceDN w:val="0"/>
              <w:adjustRightInd w:val="0"/>
              <w:spacing w:before="0" w:after="0" w:line="276" w:lineRule="auto"/>
              <w:ind w:left="-115" w:right="-131"/>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w:t>
            </w:r>
          </w:p>
        </w:tc>
        <w:tc>
          <w:tcPr>
            <w:tcW w:w="440" w:type="pct"/>
            <w:vAlign w:val="center"/>
          </w:tcPr>
          <w:p w:rsidR="007C7BD3" w:rsidRPr="00805109" w:rsidRDefault="007C7BD3" w:rsidP="000E2D71">
            <w:pPr>
              <w:autoSpaceDE w:val="0"/>
              <w:autoSpaceDN w:val="0"/>
              <w:adjustRightInd w:val="0"/>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w:t>
            </w:r>
          </w:p>
        </w:tc>
        <w:tc>
          <w:tcPr>
            <w:tcW w:w="568" w:type="pct"/>
            <w:vAlign w:val="center"/>
          </w:tcPr>
          <w:p w:rsidR="007C7BD3" w:rsidRPr="00805109" w:rsidRDefault="007C7BD3" w:rsidP="000E2D71">
            <w:pPr>
              <w:autoSpaceDE w:val="0"/>
              <w:autoSpaceDN w:val="0"/>
              <w:adjustRightInd w:val="0"/>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w:t>
            </w:r>
          </w:p>
        </w:tc>
      </w:tr>
      <w:tr w:rsidR="00805109" w:rsidRPr="00805109" w:rsidTr="000E2D71">
        <w:trPr>
          <w:trHeight w:val="680"/>
        </w:trPr>
        <w:tc>
          <w:tcPr>
            <w:tcW w:w="855" w:type="pct"/>
            <w:tcBorders>
              <w:bottom w:val="single" w:sz="4" w:space="0" w:color="auto"/>
            </w:tcBorders>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 xml:space="preserve">This study </w:t>
            </w:r>
          </w:p>
        </w:tc>
        <w:tc>
          <w:tcPr>
            <w:tcW w:w="928" w:type="pct"/>
            <w:gridSpan w:val="2"/>
            <w:tcBorders>
              <w:bottom w:val="single" w:sz="4" w:space="0" w:color="auto"/>
            </w:tcBorders>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 xml:space="preserve">twin unoccupied </w:t>
            </w:r>
            <w:r w:rsidR="000E4946" w:rsidRPr="00805109">
              <w:rPr>
                <w:rFonts w:ascii="Times New Roman" w:hAnsi="Times New Roman" w:cs="Times New Roman"/>
                <w:color w:val="000000" w:themeColor="text1"/>
                <w:sz w:val="20"/>
                <w:szCs w:val="20"/>
              </w:rPr>
              <w:t>2</w:t>
            </w:r>
            <w:r w:rsidRPr="00805109">
              <w:rPr>
                <w:rFonts w:ascii="Times New Roman" w:hAnsi="Times New Roman" w:cs="Times New Roman"/>
                <w:color w:val="000000" w:themeColor="text1"/>
                <w:sz w:val="20"/>
                <w:szCs w:val="20"/>
              </w:rPr>
              <w:t>-storey houses</w:t>
            </w:r>
          </w:p>
        </w:tc>
        <w:tc>
          <w:tcPr>
            <w:tcW w:w="998" w:type="pct"/>
            <w:tcBorders>
              <w:bottom w:val="single" w:sz="4" w:space="0" w:color="auto"/>
            </w:tcBorders>
            <w:vAlign w:val="center"/>
          </w:tcPr>
          <w:p w:rsidR="00FE5616" w:rsidRPr="00805109" w:rsidRDefault="00FE5616" w:rsidP="000E2D71">
            <w:pPr>
              <w:spacing w:before="0" w:after="0" w:line="276" w:lineRule="auto"/>
              <w:jc w:val="left"/>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cooking</w:t>
            </w:r>
          </w:p>
        </w:tc>
        <w:tc>
          <w:tcPr>
            <w:tcW w:w="570" w:type="pct"/>
            <w:tcBorders>
              <w:bottom w:val="single" w:sz="4" w:space="0" w:color="auto"/>
            </w:tcBorders>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10 - 420</w:t>
            </w:r>
          </w:p>
        </w:tc>
        <w:tc>
          <w:tcPr>
            <w:tcW w:w="641" w:type="pct"/>
            <w:tcBorders>
              <w:bottom w:val="single" w:sz="4" w:space="0" w:color="auto"/>
            </w:tcBorders>
            <w:vAlign w:val="center"/>
          </w:tcPr>
          <w:p w:rsidR="00FE5616" w:rsidRPr="00805109" w:rsidRDefault="00FE5616" w:rsidP="000E2D71">
            <w:pPr>
              <w:spacing w:before="0" w:after="0" w:line="276" w:lineRule="auto"/>
              <w:ind w:left="-115" w:right="-131"/>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range hood (on/off)</w:t>
            </w:r>
          </w:p>
        </w:tc>
        <w:tc>
          <w:tcPr>
            <w:tcW w:w="440" w:type="pct"/>
            <w:tcBorders>
              <w:bottom w:val="single" w:sz="4" w:space="0" w:color="auto"/>
            </w:tcBorders>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SMPS</w:t>
            </w:r>
          </w:p>
        </w:tc>
        <w:tc>
          <w:tcPr>
            <w:tcW w:w="568" w:type="pct"/>
            <w:tcBorders>
              <w:bottom w:val="single" w:sz="4" w:space="0" w:color="auto"/>
            </w:tcBorders>
            <w:vAlign w:val="center"/>
          </w:tcPr>
          <w:p w:rsidR="00FE5616" w:rsidRPr="00805109" w:rsidRDefault="00FE5616" w:rsidP="000E2D71">
            <w:pPr>
              <w:spacing w:before="0" w:after="0" w:line="276" w:lineRule="auto"/>
              <w:jc w:val="center"/>
              <w:rPr>
                <w:rFonts w:ascii="Times New Roman" w:hAnsi="Times New Roman" w:cs="Times New Roman"/>
                <w:color w:val="000000" w:themeColor="text1"/>
                <w:sz w:val="20"/>
                <w:szCs w:val="20"/>
              </w:rPr>
            </w:pPr>
            <w:r w:rsidRPr="00805109">
              <w:rPr>
                <w:rFonts w:ascii="Times New Roman" w:hAnsi="Times New Roman" w:cs="Times New Roman"/>
                <w:color w:val="000000" w:themeColor="text1"/>
                <w:sz w:val="20"/>
                <w:szCs w:val="20"/>
              </w:rPr>
              <w:t>0.08</w:t>
            </w:r>
            <w:r w:rsidR="007E597F" w:rsidRPr="00805109">
              <w:rPr>
                <w:rFonts w:ascii="Times New Roman" w:hAnsi="Times New Roman" w:cs="Times New Roman"/>
                <w:color w:val="000000" w:themeColor="text1"/>
                <w:sz w:val="20"/>
                <w:szCs w:val="20"/>
              </w:rPr>
              <w:t xml:space="preserve"> – </w:t>
            </w:r>
            <w:r w:rsidRPr="00805109">
              <w:rPr>
                <w:rFonts w:ascii="Times New Roman" w:hAnsi="Times New Roman" w:cs="Times New Roman"/>
                <w:color w:val="000000" w:themeColor="text1"/>
                <w:sz w:val="20"/>
                <w:szCs w:val="20"/>
              </w:rPr>
              <w:t>2.3</w:t>
            </w:r>
          </w:p>
        </w:tc>
      </w:tr>
    </w:tbl>
    <w:p w:rsidR="005675FA" w:rsidRDefault="00FE5616" w:rsidP="00FE5616">
      <w:pPr>
        <w:rPr>
          <w:rFonts w:ascii="Times New Roman" w:hAnsi="Times New Roman" w:cs="Times New Roman"/>
          <w:i/>
          <w:color w:val="000000" w:themeColor="text1"/>
          <w:sz w:val="20"/>
          <w:szCs w:val="20"/>
        </w:rPr>
      </w:pPr>
      <w:r w:rsidRPr="00337645">
        <w:rPr>
          <w:rFonts w:ascii="Times New Roman" w:hAnsi="Times New Roman" w:cs="Times New Roman"/>
          <w:i/>
          <w:color w:val="000000" w:themeColor="text1"/>
          <w:sz w:val="20"/>
          <w:szCs w:val="20"/>
        </w:rPr>
        <w:t xml:space="preserve">OPC: optical particle counter; APS: aerodynamic particle sizer; SMPS: scanning mobility particle sizer. </w:t>
      </w:r>
    </w:p>
    <w:p w:rsidR="00713BBC" w:rsidRPr="00805109" w:rsidRDefault="00713BBC" w:rsidP="00F71F31">
      <w:pPr>
        <w:spacing w:before="120" w:line="480" w:lineRule="auto"/>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43813B92" wp14:editId="4FD73950">
            <wp:extent cx="5943600" cy="3977640"/>
            <wp:effectExtent l="19050" t="19050" r="1905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77640"/>
                    </a:xfrm>
                    <a:prstGeom prst="rect">
                      <a:avLst/>
                    </a:prstGeom>
                    <a:noFill/>
                    <a:ln w="6350">
                      <a:solidFill>
                        <a:schemeClr val="tx1"/>
                      </a:solidFill>
                    </a:ln>
                  </pic:spPr>
                </pic:pic>
              </a:graphicData>
            </a:graphic>
          </wp:inline>
        </w:drawing>
      </w:r>
    </w:p>
    <w:p w:rsidR="00AE1763" w:rsidRPr="0005616F" w:rsidRDefault="00F71F31"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t xml:space="preserve">Figure </w:t>
      </w:r>
      <w:r w:rsidR="00C87617" w:rsidRPr="0005616F">
        <w:rPr>
          <w:rFonts w:ascii="Times New Roman" w:hAnsi="Times New Roman" w:cs="Times New Roman"/>
          <w:b/>
          <w:color w:val="000000" w:themeColor="text1"/>
          <w:szCs w:val="24"/>
        </w:rPr>
        <w:t>S</w:t>
      </w:r>
      <w:r w:rsidR="00C87617">
        <w:rPr>
          <w:rFonts w:ascii="Times New Roman" w:hAnsi="Times New Roman" w:cs="Times New Roman"/>
          <w:b/>
          <w:color w:val="000000" w:themeColor="text1"/>
          <w:szCs w:val="24"/>
        </w:rPr>
        <w:t>5</w:t>
      </w:r>
      <w:r w:rsidRPr="0005616F">
        <w:rPr>
          <w:rFonts w:ascii="Times New Roman" w:hAnsi="Times New Roman" w:cs="Times New Roman"/>
          <w:b/>
          <w:color w:val="000000" w:themeColor="text1"/>
          <w:szCs w:val="24"/>
        </w:rPr>
        <w:t xml:space="preserve">. A comparison of deposition rates of particles less than 100 nm between </w:t>
      </w:r>
      <w:r w:rsidR="00A324BA" w:rsidRPr="0005616F">
        <w:rPr>
          <w:rFonts w:ascii="Times New Roman" w:hAnsi="Times New Roman" w:cs="Times New Roman"/>
          <w:b/>
          <w:color w:val="000000" w:themeColor="text1"/>
          <w:szCs w:val="24"/>
        </w:rPr>
        <w:t xml:space="preserve">current and </w:t>
      </w:r>
      <w:r w:rsidRPr="0005616F">
        <w:rPr>
          <w:rFonts w:ascii="Times New Roman" w:hAnsi="Times New Roman" w:cs="Times New Roman"/>
          <w:b/>
          <w:color w:val="000000" w:themeColor="text1"/>
          <w:szCs w:val="24"/>
        </w:rPr>
        <w:t xml:space="preserve">previous studies. The flow rate of 75 L/s was excluded due to large uncertainties. </w:t>
      </w:r>
    </w:p>
    <w:p w:rsidR="007619B6" w:rsidRPr="00EC186E" w:rsidRDefault="007619B6" w:rsidP="00AE1763">
      <w:pPr>
        <w:spacing w:before="120" w:line="480" w:lineRule="auto"/>
        <w:jc w:val="center"/>
        <w:rPr>
          <w:rFonts w:ascii="Times New Roman" w:hAnsi="Times New Roman" w:cs="Times New Roman"/>
          <w:color w:val="000000" w:themeColor="text1"/>
          <w:szCs w:val="24"/>
        </w:rPr>
      </w:pPr>
      <w:r w:rsidRPr="00EC186E">
        <w:rPr>
          <w:rFonts w:ascii="Times New Roman" w:hAnsi="Times New Roman" w:cs="Times New Roman"/>
          <w:noProof/>
          <w:color w:val="000000" w:themeColor="text1"/>
          <w:szCs w:val="24"/>
        </w:rPr>
        <w:lastRenderedPageBreak/>
        <w:drawing>
          <wp:inline distT="0" distB="0" distL="0" distR="0" wp14:anchorId="2CA03206" wp14:editId="18ABDD49">
            <wp:extent cx="5417820" cy="4168140"/>
            <wp:effectExtent l="19050" t="19050" r="1143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7820" cy="4168140"/>
                    </a:xfrm>
                    <a:prstGeom prst="rect">
                      <a:avLst/>
                    </a:prstGeom>
                    <a:noFill/>
                    <a:ln w="6350">
                      <a:solidFill>
                        <a:schemeClr val="tx1"/>
                      </a:solidFill>
                    </a:ln>
                  </pic:spPr>
                </pic:pic>
              </a:graphicData>
            </a:graphic>
          </wp:inline>
        </w:drawing>
      </w:r>
    </w:p>
    <w:p w:rsidR="005D3903" w:rsidRPr="0005616F" w:rsidRDefault="005D3903"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t xml:space="preserve">Figure </w:t>
      </w:r>
      <w:r w:rsidR="00C87617" w:rsidRPr="0005616F">
        <w:rPr>
          <w:rFonts w:ascii="Times New Roman" w:hAnsi="Times New Roman" w:cs="Times New Roman"/>
          <w:b/>
          <w:color w:val="000000" w:themeColor="text1"/>
          <w:szCs w:val="24"/>
        </w:rPr>
        <w:t>S</w:t>
      </w:r>
      <w:r w:rsidR="00C87617">
        <w:rPr>
          <w:rFonts w:ascii="Times New Roman" w:hAnsi="Times New Roman" w:cs="Times New Roman"/>
          <w:b/>
          <w:color w:val="000000" w:themeColor="text1"/>
          <w:szCs w:val="24"/>
        </w:rPr>
        <w:t>6</w:t>
      </w:r>
      <w:r w:rsidRPr="0005616F">
        <w:rPr>
          <w:rFonts w:ascii="Times New Roman" w:hAnsi="Times New Roman" w:cs="Times New Roman"/>
          <w:b/>
          <w:color w:val="000000" w:themeColor="text1"/>
          <w:szCs w:val="24"/>
        </w:rPr>
        <w:t xml:space="preserve">. Measured versus estimated volume flow rates for range hood operated at six different flow rates </w:t>
      </w:r>
      <w:r w:rsidR="00624978" w:rsidRPr="0005616F">
        <w:rPr>
          <w:rFonts w:ascii="Times New Roman" w:hAnsi="Times New Roman" w:cs="Times New Roman"/>
          <w:b/>
          <w:color w:val="000000" w:themeColor="text1"/>
          <w:szCs w:val="24"/>
        </w:rPr>
        <w:t>under</w:t>
      </w:r>
      <w:r w:rsidRPr="0005616F">
        <w:rPr>
          <w:rFonts w:ascii="Times New Roman" w:hAnsi="Times New Roman" w:cs="Times New Roman"/>
          <w:b/>
          <w:color w:val="000000" w:themeColor="text1"/>
          <w:szCs w:val="24"/>
        </w:rPr>
        <w:t xml:space="preserve"> a volume of 2</w:t>
      </w:r>
      <w:r w:rsidR="00EC186E" w:rsidRPr="0005616F">
        <w:rPr>
          <w:rFonts w:ascii="Times New Roman" w:hAnsi="Times New Roman" w:cs="Times New Roman"/>
          <w:b/>
          <w:color w:val="000000" w:themeColor="text1"/>
          <w:szCs w:val="24"/>
        </w:rPr>
        <w:t>4</w:t>
      </w:r>
      <w:r w:rsidRPr="0005616F">
        <w:rPr>
          <w:rFonts w:ascii="Times New Roman" w:hAnsi="Times New Roman" w:cs="Times New Roman"/>
          <w:b/>
          <w:color w:val="000000" w:themeColor="text1"/>
          <w:szCs w:val="24"/>
        </w:rPr>
        <w:t>4 m</w:t>
      </w:r>
      <w:r w:rsidRPr="0005616F">
        <w:rPr>
          <w:rFonts w:ascii="Times New Roman" w:hAnsi="Times New Roman" w:cs="Times New Roman"/>
          <w:b/>
          <w:color w:val="000000" w:themeColor="text1"/>
          <w:szCs w:val="24"/>
          <w:vertAlign w:val="superscript"/>
        </w:rPr>
        <w:t>3</w:t>
      </w:r>
      <w:r w:rsidRPr="0005616F">
        <w:rPr>
          <w:rFonts w:ascii="Times New Roman" w:hAnsi="Times New Roman" w:cs="Times New Roman"/>
          <w:b/>
          <w:color w:val="000000" w:themeColor="text1"/>
          <w:szCs w:val="24"/>
        </w:rPr>
        <w:t xml:space="preserve">. </w:t>
      </w:r>
      <w:r w:rsidR="007619B6" w:rsidRPr="0005616F">
        <w:rPr>
          <w:rFonts w:ascii="Times New Roman" w:hAnsi="Times New Roman" w:cs="Times New Roman"/>
          <w:b/>
          <w:color w:val="000000" w:themeColor="text1"/>
          <w:szCs w:val="24"/>
        </w:rPr>
        <w:t xml:space="preserve">The error bars represent standard errors </w:t>
      </w:r>
      <w:r w:rsidR="00823DA4" w:rsidRPr="0005616F">
        <w:rPr>
          <w:rFonts w:ascii="Times New Roman" w:hAnsi="Times New Roman" w:cs="Times New Roman"/>
          <w:b/>
          <w:color w:val="000000" w:themeColor="text1"/>
          <w:szCs w:val="24"/>
        </w:rPr>
        <w:t>of</w:t>
      </w:r>
      <w:r w:rsidR="007619B6" w:rsidRPr="0005616F">
        <w:rPr>
          <w:rFonts w:ascii="Times New Roman" w:hAnsi="Times New Roman" w:cs="Times New Roman"/>
          <w:b/>
          <w:color w:val="000000" w:themeColor="text1"/>
          <w:szCs w:val="24"/>
        </w:rPr>
        <w:t xml:space="preserve"> the mean based on </w:t>
      </w:r>
      <w:r w:rsidR="00823DA4" w:rsidRPr="0005616F">
        <w:rPr>
          <w:rFonts w:ascii="Times New Roman" w:hAnsi="Times New Roman" w:cs="Times New Roman"/>
          <w:b/>
          <w:color w:val="000000" w:themeColor="text1"/>
          <w:szCs w:val="24"/>
        </w:rPr>
        <w:t>replication</w:t>
      </w:r>
      <w:r w:rsidR="007619B6" w:rsidRPr="0005616F">
        <w:rPr>
          <w:rFonts w:ascii="Times New Roman" w:hAnsi="Times New Roman" w:cs="Times New Roman"/>
          <w:b/>
          <w:color w:val="000000" w:themeColor="text1"/>
          <w:szCs w:val="24"/>
        </w:rPr>
        <w:t xml:space="preserve"> tests. </w:t>
      </w:r>
      <w:r w:rsidRPr="0005616F">
        <w:rPr>
          <w:rFonts w:ascii="Times New Roman" w:hAnsi="Times New Roman" w:cs="Times New Roman"/>
          <w:b/>
          <w:color w:val="000000" w:themeColor="text1"/>
          <w:szCs w:val="24"/>
        </w:rPr>
        <w:t xml:space="preserve">The estimated volume flow rates were identical using the LBL and </w:t>
      </w:r>
      <w:proofErr w:type="spellStart"/>
      <w:r w:rsidRPr="0005616F">
        <w:rPr>
          <w:rFonts w:ascii="Times New Roman" w:hAnsi="Times New Roman" w:cs="Times New Roman"/>
          <w:b/>
          <w:color w:val="000000" w:themeColor="text1"/>
          <w:szCs w:val="24"/>
        </w:rPr>
        <w:t>Palmiter</w:t>
      </w:r>
      <w:proofErr w:type="spellEnd"/>
      <w:r w:rsidRPr="0005616F">
        <w:rPr>
          <w:rFonts w:ascii="Times New Roman" w:hAnsi="Times New Roman" w:cs="Times New Roman"/>
          <w:b/>
          <w:color w:val="000000" w:themeColor="text1"/>
          <w:szCs w:val="24"/>
        </w:rPr>
        <w:t xml:space="preserve"> and Bond methods.</w:t>
      </w:r>
    </w:p>
    <w:p w:rsidR="00BC1D98" w:rsidRPr="0005616F" w:rsidRDefault="003F21E7" w:rsidP="00D97BA2">
      <w:pPr>
        <w:spacing w:before="0" w:after="240" w:line="240" w:lineRule="auto"/>
        <w:rPr>
          <w:rFonts w:ascii="Times New Roman" w:hAnsi="Times New Roman" w:cs="Times New Roman"/>
          <w:b/>
          <w:color w:val="000000" w:themeColor="text1"/>
          <w:szCs w:val="24"/>
        </w:rPr>
      </w:pPr>
      <w:r w:rsidRPr="0005616F">
        <w:rPr>
          <w:rFonts w:ascii="Times New Roman" w:hAnsi="Times New Roman" w:cs="Times New Roman"/>
          <w:b/>
          <w:color w:val="000000" w:themeColor="text1"/>
          <w:szCs w:val="24"/>
        </w:rPr>
        <w:t>References</w:t>
      </w:r>
      <w:r w:rsidR="00E42F61" w:rsidRPr="0005616F">
        <w:rPr>
          <w:rFonts w:ascii="Times New Roman" w:hAnsi="Times New Roman" w:cs="Times New Roman"/>
          <w:b/>
          <w:color w:val="000000" w:themeColor="text1"/>
          <w:szCs w:val="24"/>
        </w:rPr>
        <w:t xml:space="preserve"> </w:t>
      </w:r>
    </w:p>
    <w:p w:rsidR="0005616F" w:rsidRDefault="00F838E7" w:rsidP="004E5D88">
      <w:pPr>
        <w:spacing w:before="0" w:after="0" w:line="240" w:lineRule="auto"/>
        <w:ind w:left="426" w:hanging="426"/>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Benes</w:t>
      </w:r>
      <w:r w:rsidR="00713BBC" w:rsidRPr="0005616F">
        <w:rPr>
          <w:rFonts w:ascii="Times New Roman" w:hAnsi="Times New Roman" w:cs="Times New Roman"/>
          <w:color w:val="000000" w:themeColor="text1"/>
          <w:szCs w:val="24"/>
        </w:rPr>
        <w:t>,</w:t>
      </w:r>
      <w:r w:rsidRPr="0005616F">
        <w:rPr>
          <w:rFonts w:ascii="Times New Roman" w:hAnsi="Times New Roman" w:cs="Times New Roman"/>
          <w:color w:val="000000" w:themeColor="text1"/>
          <w:szCs w:val="24"/>
        </w:rPr>
        <w:t xml:space="preserve"> M</w:t>
      </w:r>
      <w:r w:rsidR="00713BBC" w:rsidRPr="0005616F">
        <w:rPr>
          <w:rFonts w:ascii="Times New Roman" w:hAnsi="Times New Roman" w:cs="Times New Roman"/>
          <w:color w:val="000000" w:themeColor="text1"/>
          <w:szCs w:val="24"/>
        </w:rPr>
        <w:t>.</w:t>
      </w:r>
      <w:r w:rsidRPr="0005616F">
        <w:rPr>
          <w:rFonts w:ascii="Times New Roman" w:hAnsi="Times New Roman" w:cs="Times New Roman"/>
          <w:color w:val="000000" w:themeColor="text1"/>
          <w:szCs w:val="24"/>
        </w:rPr>
        <w:t xml:space="preserve">, </w:t>
      </w:r>
      <w:r w:rsidR="00713BBC" w:rsidRPr="0005616F">
        <w:rPr>
          <w:rFonts w:ascii="Times New Roman" w:hAnsi="Times New Roman" w:cs="Times New Roman"/>
          <w:color w:val="000000" w:themeColor="text1"/>
          <w:szCs w:val="24"/>
        </w:rPr>
        <w:t xml:space="preserve">and </w:t>
      </w:r>
      <w:r w:rsidR="00032054" w:rsidRPr="0005616F">
        <w:rPr>
          <w:rFonts w:ascii="Times New Roman" w:hAnsi="Times New Roman" w:cs="Times New Roman"/>
          <w:color w:val="000000" w:themeColor="text1"/>
          <w:szCs w:val="24"/>
        </w:rPr>
        <w:t>R. F</w:t>
      </w:r>
      <w:r w:rsidR="00032054">
        <w:rPr>
          <w:rFonts w:ascii="Times New Roman" w:hAnsi="Times New Roman" w:cs="Times New Roman"/>
          <w:color w:val="000000" w:themeColor="text1"/>
          <w:szCs w:val="24"/>
        </w:rPr>
        <w:t>.</w:t>
      </w:r>
      <w:r w:rsidR="00032054"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Holub.</w:t>
      </w:r>
      <w:r w:rsidR="00032054">
        <w:rPr>
          <w:rFonts w:ascii="Times New Roman" w:hAnsi="Times New Roman" w:cs="Times New Roman"/>
          <w:color w:val="000000" w:themeColor="text1"/>
          <w:szCs w:val="24"/>
        </w:rPr>
        <w:t xml:space="preserve"> </w:t>
      </w:r>
      <w:r w:rsidR="00713BBC" w:rsidRPr="0005616F">
        <w:rPr>
          <w:rFonts w:ascii="Times New Roman" w:hAnsi="Times New Roman" w:cs="Times New Roman"/>
          <w:color w:val="000000" w:themeColor="text1"/>
          <w:szCs w:val="24"/>
        </w:rPr>
        <w:t>1996.</w:t>
      </w:r>
      <w:r w:rsidRPr="0005616F">
        <w:rPr>
          <w:rFonts w:ascii="Times New Roman" w:hAnsi="Times New Roman" w:cs="Times New Roman"/>
          <w:color w:val="000000" w:themeColor="text1"/>
          <w:szCs w:val="24"/>
        </w:rPr>
        <w:t xml:space="preserve"> Aerosol wall deposition in enclosures investigated by means of a stagnant layer. </w:t>
      </w:r>
      <w:r w:rsidR="00032054" w:rsidRPr="00032054">
        <w:rPr>
          <w:rFonts w:ascii="Times New Roman" w:hAnsi="Times New Roman" w:cs="Times New Roman"/>
          <w:i/>
          <w:szCs w:val="24"/>
        </w:rPr>
        <w:t>Environ</w:t>
      </w:r>
      <w:r w:rsidR="004E5D88">
        <w:rPr>
          <w:rFonts w:ascii="Times New Roman" w:hAnsi="Times New Roman" w:cs="Times New Roman"/>
          <w:i/>
          <w:szCs w:val="24"/>
        </w:rPr>
        <w:t>.</w:t>
      </w:r>
      <w:r w:rsidR="00032054" w:rsidRPr="00032054">
        <w:rPr>
          <w:rFonts w:ascii="Times New Roman" w:hAnsi="Times New Roman" w:cs="Times New Roman"/>
          <w:i/>
          <w:szCs w:val="24"/>
        </w:rPr>
        <w:t xml:space="preserve"> Int</w:t>
      </w:r>
      <w:r w:rsidR="004E5D88">
        <w:rPr>
          <w:rFonts w:ascii="Times New Roman" w:hAnsi="Times New Roman" w:cs="Times New Roman"/>
          <w:i/>
          <w:szCs w:val="24"/>
        </w:rPr>
        <w:t>.</w:t>
      </w:r>
      <w:r w:rsidR="00032054" w:rsidRPr="00032054">
        <w:rPr>
          <w:rFonts w:ascii="Times New Roman" w:hAnsi="Times New Roman" w:cs="Times New Roman"/>
          <w:i/>
          <w:szCs w:val="24"/>
        </w:rPr>
        <w:t xml:space="preserve"> </w:t>
      </w:r>
      <w:r w:rsidRPr="0005616F">
        <w:rPr>
          <w:rFonts w:ascii="Times New Roman" w:hAnsi="Times New Roman" w:cs="Times New Roman"/>
          <w:color w:val="000000" w:themeColor="text1"/>
          <w:szCs w:val="24"/>
        </w:rPr>
        <w:t>22:883-889.</w:t>
      </w:r>
    </w:p>
    <w:p w:rsidR="00F838E7" w:rsidRPr="0005616F" w:rsidRDefault="00F838E7" w:rsidP="004E5D88">
      <w:pPr>
        <w:spacing w:before="0" w:after="0" w:line="240" w:lineRule="auto"/>
        <w:ind w:left="426" w:hanging="426"/>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Holub</w:t>
      </w:r>
      <w:r w:rsidR="00713BBC" w:rsidRPr="0005616F">
        <w:rPr>
          <w:rFonts w:ascii="Times New Roman" w:hAnsi="Times New Roman" w:cs="Times New Roman"/>
          <w:color w:val="000000" w:themeColor="text1"/>
          <w:szCs w:val="24"/>
        </w:rPr>
        <w:t>,</w:t>
      </w:r>
      <w:r w:rsidRPr="0005616F">
        <w:rPr>
          <w:rFonts w:ascii="Times New Roman" w:hAnsi="Times New Roman" w:cs="Times New Roman"/>
          <w:color w:val="000000" w:themeColor="text1"/>
          <w:szCs w:val="24"/>
        </w:rPr>
        <w:t xml:space="preserve"> R</w:t>
      </w:r>
      <w:r w:rsidR="00713BBC"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F. </w:t>
      </w:r>
      <w:r w:rsidR="00713BBC" w:rsidRPr="0005616F">
        <w:rPr>
          <w:rFonts w:ascii="Times New Roman" w:hAnsi="Times New Roman" w:cs="Times New Roman"/>
          <w:color w:val="000000" w:themeColor="text1"/>
          <w:szCs w:val="24"/>
        </w:rPr>
        <w:t xml:space="preserve">1984. </w:t>
      </w:r>
      <w:r w:rsidRPr="0005616F">
        <w:rPr>
          <w:rFonts w:ascii="Times New Roman" w:hAnsi="Times New Roman" w:cs="Times New Roman"/>
          <w:color w:val="000000" w:themeColor="text1"/>
          <w:szCs w:val="24"/>
        </w:rPr>
        <w:t xml:space="preserve">Turbulent </w:t>
      </w:r>
      <w:proofErr w:type="spellStart"/>
      <w:r w:rsidRPr="0005616F">
        <w:rPr>
          <w:rFonts w:ascii="Times New Roman" w:hAnsi="Times New Roman" w:cs="Times New Roman"/>
          <w:color w:val="000000" w:themeColor="text1"/>
          <w:szCs w:val="24"/>
        </w:rPr>
        <w:t>plateout</w:t>
      </w:r>
      <w:proofErr w:type="spellEnd"/>
      <w:r w:rsidRPr="0005616F">
        <w:rPr>
          <w:rFonts w:ascii="Times New Roman" w:hAnsi="Times New Roman" w:cs="Times New Roman"/>
          <w:color w:val="000000" w:themeColor="text1"/>
          <w:szCs w:val="24"/>
        </w:rPr>
        <w:t xml:space="preserve"> of radon daughters. </w:t>
      </w:r>
      <w:r w:rsidR="00032054" w:rsidRPr="00032054">
        <w:rPr>
          <w:rFonts w:ascii="Times New Roman" w:hAnsi="Times New Roman" w:cs="Times New Roman"/>
          <w:i/>
          <w:szCs w:val="24"/>
        </w:rPr>
        <w:t>Radiation Protection Dosimetry</w:t>
      </w:r>
      <w:r w:rsidR="00713BBC"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7(1-4):155–158.</w:t>
      </w:r>
    </w:p>
    <w:p w:rsidR="00713BBC" w:rsidRPr="0005616F" w:rsidRDefault="00713BBC" w:rsidP="004E5D88">
      <w:pPr>
        <w:spacing w:before="0" w:after="0" w:line="240" w:lineRule="auto"/>
        <w:ind w:left="426" w:hanging="426"/>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Lee W. C., </w:t>
      </w:r>
      <w:r w:rsidR="00032054" w:rsidRPr="0005616F">
        <w:rPr>
          <w:rFonts w:ascii="Times New Roman" w:hAnsi="Times New Roman" w:cs="Times New Roman"/>
          <w:color w:val="000000" w:themeColor="text1"/>
          <w:szCs w:val="24"/>
        </w:rPr>
        <w:t>J. M</w:t>
      </w:r>
      <w:r w:rsidR="00032054">
        <w:rPr>
          <w:rFonts w:ascii="Times New Roman" w:hAnsi="Times New Roman" w:cs="Times New Roman"/>
          <w:color w:val="000000" w:themeColor="text1"/>
          <w:szCs w:val="24"/>
        </w:rPr>
        <w:t>.</w:t>
      </w:r>
      <w:r w:rsidR="00032054"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Wolfson, </w:t>
      </w:r>
      <w:r w:rsidR="00032054" w:rsidRPr="0005616F">
        <w:rPr>
          <w:rFonts w:ascii="Times New Roman" w:hAnsi="Times New Roman" w:cs="Times New Roman"/>
          <w:color w:val="000000" w:themeColor="text1"/>
          <w:szCs w:val="24"/>
        </w:rPr>
        <w:t xml:space="preserve">P. J. </w:t>
      </w:r>
      <w:r w:rsidRPr="0005616F">
        <w:rPr>
          <w:rFonts w:ascii="Times New Roman" w:hAnsi="Times New Roman" w:cs="Times New Roman"/>
          <w:color w:val="000000" w:themeColor="text1"/>
          <w:szCs w:val="24"/>
        </w:rPr>
        <w:t xml:space="preserve">Catalano, </w:t>
      </w:r>
      <w:r w:rsidR="00032054" w:rsidRPr="0005616F">
        <w:rPr>
          <w:rFonts w:ascii="Times New Roman" w:hAnsi="Times New Roman" w:cs="Times New Roman"/>
          <w:color w:val="000000" w:themeColor="text1"/>
          <w:szCs w:val="24"/>
        </w:rPr>
        <w:t>S. N</w:t>
      </w:r>
      <w:r w:rsidR="00032054">
        <w:rPr>
          <w:rFonts w:ascii="Times New Roman" w:hAnsi="Times New Roman" w:cs="Times New Roman"/>
          <w:color w:val="000000" w:themeColor="text1"/>
          <w:szCs w:val="24"/>
        </w:rPr>
        <w:t>.</w:t>
      </w:r>
      <w:r w:rsidR="00032054"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Rudnick, and </w:t>
      </w:r>
      <w:r w:rsidR="00032054" w:rsidRPr="0005616F">
        <w:rPr>
          <w:rFonts w:ascii="Times New Roman" w:hAnsi="Times New Roman" w:cs="Times New Roman"/>
          <w:color w:val="000000" w:themeColor="text1"/>
          <w:szCs w:val="24"/>
        </w:rPr>
        <w:t xml:space="preserve">P. </w:t>
      </w:r>
      <w:proofErr w:type="spellStart"/>
      <w:r w:rsidR="00032054">
        <w:rPr>
          <w:rFonts w:ascii="Times New Roman" w:hAnsi="Times New Roman" w:cs="Times New Roman"/>
          <w:color w:val="000000" w:themeColor="text1"/>
          <w:szCs w:val="24"/>
        </w:rPr>
        <w:t>Koutrakis</w:t>
      </w:r>
      <w:proofErr w:type="spellEnd"/>
      <w:r w:rsidR="00032054">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2014. Size-resolved deposition rates for ultrafine and submicrometer particles in a residential housing unit. </w:t>
      </w:r>
      <w:r w:rsidR="007E13F0" w:rsidRPr="007E13F0">
        <w:rPr>
          <w:rFonts w:ascii="Times New Roman" w:hAnsi="Times New Roman" w:cs="Times New Roman"/>
          <w:i/>
          <w:szCs w:val="24"/>
        </w:rPr>
        <w:t>Environ</w:t>
      </w:r>
      <w:r w:rsidR="004E5D88">
        <w:rPr>
          <w:rFonts w:ascii="Times New Roman" w:hAnsi="Times New Roman" w:cs="Times New Roman"/>
          <w:i/>
          <w:szCs w:val="24"/>
        </w:rPr>
        <w:t>.</w:t>
      </w:r>
      <w:r w:rsidR="007E13F0" w:rsidRPr="007E13F0">
        <w:rPr>
          <w:rFonts w:ascii="Times New Roman" w:hAnsi="Times New Roman" w:cs="Times New Roman"/>
          <w:i/>
          <w:szCs w:val="24"/>
        </w:rPr>
        <w:t xml:space="preserve"> Sci</w:t>
      </w:r>
      <w:r w:rsidR="004E5D88">
        <w:rPr>
          <w:rFonts w:ascii="Times New Roman" w:hAnsi="Times New Roman" w:cs="Times New Roman"/>
          <w:i/>
          <w:szCs w:val="24"/>
        </w:rPr>
        <w:t>.</w:t>
      </w:r>
      <w:r w:rsidR="007E13F0" w:rsidRPr="007E13F0">
        <w:rPr>
          <w:rFonts w:ascii="Times New Roman" w:hAnsi="Times New Roman" w:cs="Times New Roman"/>
          <w:i/>
          <w:szCs w:val="24"/>
        </w:rPr>
        <w:t xml:space="preserve"> &amp; Techno</w:t>
      </w:r>
      <w:r w:rsidR="004E5D88">
        <w:rPr>
          <w:rFonts w:ascii="Times New Roman" w:hAnsi="Times New Roman" w:cs="Times New Roman"/>
          <w:i/>
          <w:szCs w:val="24"/>
        </w:rPr>
        <w:t>l.</w:t>
      </w:r>
      <w:r w:rsidR="007E13F0">
        <w:rPr>
          <w:rFonts w:ascii="Times New Roman" w:hAnsi="Times New Roman" w:cs="Times New Roman"/>
          <w:szCs w:val="24"/>
        </w:rPr>
        <w:t xml:space="preserve"> </w:t>
      </w:r>
      <w:r w:rsidRPr="0005616F">
        <w:rPr>
          <w:rFonts w:ascii="Times New Roman" w:hAnsi="Times New Roman" w:cs="Times New Roman"/>
          <w:color w:val="000000" w:themeColor="text1"/>
          <w:szCs w:val="24"/>
        </w:rPr>
        <w:t>48:10282-10290.</w:t>
      </w:r>
    </w:p>
    <w:p w:rsidR="00713BBC" w:rsidRPr="0005616F" w:rsidRDefault="00713BBC" w:rsidP="004E5D88">
      <w:pPr>
        <w:spacing w:before="0" w:after="0" w:line="240" w:lineRule="auto"/>
        <w:ind w:left="426" w:hanging="426"/>
        <w:rPr>
          <w:rFonts w:ascii="Times New Roman" w:hAnsi="Times New Roman" w:cs="Times New Roman"/>
          <w:color w:val="000000" w:themeColor="text1"/>
          <w:szCs w:val="24"/>
        </w:rPr>
      </w:pPr>
      <w:proofErr w:type="spellStart"/>
      <w:r w:rsidRPr="0005616F">
        <w:rPr>
          <w:rFonts w:ascii="Times New Roman" w:hAnsi="Times New Roman" w:cs="Times New Roman"/>
          <w:color w:val="000000" w:themeColor="text1"/>
          <w:szCs w:val="24"/>
        </w:rPr>
        <w:t>Palmiter</w:t>
      </w:r>
      <w:proofErr w:type="spellEnd"/>
      <w:r w:rsidRPr="0005616F">
        <w:rPr>
          <w:rFonts w:ascii="Times New Roman" w:hAnsi="Times New Roman" w:cs="Times New Roman"/>
          <w:color w:val="000000" w:themeColor="text1"/>
          <w:szCs w:val="24"/>
        </w:rPr>
        <w:t xml:space="preserve">, L., and </w:t>
      </w:r>
      <w:r w:rsidR="00032054" w:rsidRPr="0005616F">
        <w:rPr>
          <w:rFonts w:ascii="Times New Roman" w:hAnsi="Times New Roman" w:cs="Times New Roman"/>
          <w:color w:val="000000" w:themeColor="text1"/>
          <w:szCs w:val="24"/>
        </w:rPr>
        <w:t xml:space="preserve">T. </w:t>
      </w:r>
      <w:r w:rsidR="00032054">
        <w:rPr>
          <w:rFonts w:ascii="Times New Roman" w:hAnsi="Times New Roman" w:cs="Times New Roman"/>
          <w:color w:val="000000" w:themeColor="text1"/>
          <w:szCs w:val="24"/>
        </w:rPr>
        <w:t xml:space="preserve">Bond. </w:t>
      </w:r>
      <w:r w:rsidRPr="0005616F">
        <w:rPr>
          <w:rFonts w:ascii="Times New Roman" w:hAnsi="Times New Roman" w:cs="Times New Roman"/>
          <w:color w:val="000000" w:themeColor="text1"/>
          <w:szCs w:val="24"/>
        </w:rPr>
        <w:t xml:space="preserve">1991. Interaction of mechanical systems and natural infiltration, in: </w:t>
      </w:r>
      <w:r w:rsidRPr="0005616F">
        <w:rPr>
          <w:rFonts w:ascii="Times New Roman" w:hAnsi="Times New Roman" w:cs="Times New Roman"/>
          <w:i/>
          <w:color w:val="000000" w:themeColor="text1"/>
          <w:szCs w:val="24"/>
        </w:rPr>
        <w:t>12th AIVC Conference</w:t>
      </w:r>
      <w:r w:rsidRPr="0005616F">
        <w:rPr>
          <w:rFonts w:ascii="Times New Roman" w:hAnsi="Times New Roman" w:cs="Times New Roman"/>
          <w:color w:val="000000" w:themeColor="text1"/>
          <w:szCs w:val="24"/>
        </w:rPr>
        <w:t>, Ottawa, Canada, pp. 285-295.</w:t>
      </w:r>
    </w:p>
    <w:p w:rsidR="00F838E7" w:rsidRPr="0005616F" w:rsidRDefault="00F838E7" w:rsidP="004E5D88">
      <w:pPr>
        <w:spacing w:before="0" w:after="0" w:line="240" w:lineRule="auto"/>
        <w:ind w:left="426" w:hanging="426"/>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Rim</w:t>
      </w:r>
      <w:r w:rsidR="00713BBC" w:rsidRPr="0005616F">
        <w:rPr>
          <w:rFonts w:ascii="Times New Roman" w:hAnsi="Times New Roman" w:cs="Times New Roman"/>
          <w:color w:val="000000" w:themeColor="text1"/>
          <w:szCs w:val="24"/>
        </w:rPr>
        <w:t>,</w:t>
      </w:r>
      <w:r w:rsidRPr="0005616F">
        <w:rPr>
          <w:rFonts w:ascii="Times New Roman" w:hAnsi="Times New Roman" w:cs="Times New Roman"/>
          <w:color w:val="000000" w:themeColor="text1"/>
          <w:szCs w:val="24"/>
        </w:rPr>
        <w:t xml:space="preserve"> D</w:t>
      </w:r>
      <w:r w:rsidR="00713BBC" w:rsidRPr="0005616F">
        <w:rPr>
          <w:rFonts w:ascii="Times New Roman" w:hAnsi="Times New Roman" w:cs="Times New Roman"/>
          <w:color w:val="000000" w:themeColor="text1"/>
          <w:szCs w:val="24"/>
        </w:rPr>
        <w:t>.</w:t>
      </w:r>
      <w:r w:rsidRPr="0005616F">
        <w:rPr>
          <w:rFonts w:ascii="Times New Roman" w:hAnsi="Times New Roman" w:cs="Times New Roman"/>
          <w:color w:val="000000" w:themeColor="text1"/>
          <w:szCs w:val="24"/>
        </w:rPr>
        <w:t xml:space="preserve">, </w:t>
      </w:r>
      <w:r w:rsidR="00032054" w:rsidRPr="0005616F">
        <w:rPr>
          <w:rFonts w:ascii="Times New Roman" w:hAnsi="Times New Roman" w:cs="Times New Roman"/>
          <w:color w:val="000000" w:themeColor="text1"/>
          <w:szCs w:val="24"/>
        </w:rPr>
        <w:t xml:space="preserve">M. </w:t>
      </w:r>
      <w:r w:rsidRPr="0005616F">
        <w:rPr>
          <w:rFonts w:ascii="Times New Roman" w:hAnsi="Times New Roman" w:cs="Times New Roman"/>
          <w:color w:val="000000" w:themeColor="text1"/>
          <w:szCs w:val="24"/>
        </w:rPr>
        <w:t>Green</w:t>
      </w:r>
      <w:r w:rsidR="00713BBC" w:rsidRPr="0005616F">
        <w:rPr>
          <w:rFonts w:ascii="Times New Roman" w:hAnsi="Times New Roman" w:cs="Times New Roman"/>
          <w:color w:val="000000" w:themeColor="text1"/>
          <w:szCs w:val="24"/>
        </w:rPr>
        <w:t>,</w:t>
      </w:r>
      <w:r w:rsidRPr="0005616F">
        <w:rPr>
          <w:rFonts w:ascii="Times New Roman" w:hAnsi="Times New Roman" w:cs="Times New Roman"/>
          <w:color w:val="000000" w:themeColor="text1"/>
          <w:szCs w:val="24"/>
        </w:rPr>
        <w:t xml:space="preserve"> </w:t>
      </w:r>
      <w:r w:rsidR="00032054" w:rsidRPr="0005616F">
        <w:rPr>
          <w:rFonts w:ascii="Times New Roman" w:hAnsi="Times New Roman" w:cs="Times New Roman"/>
          <w:color w:val="000000" w:themeColor="text1"/>
          <w:szCs w:val="24"/>
        </w:rPr>
        <w:t xml:space="preserve">L. A. </w:t>
      </w:r>
      <w:r w:rsidRPr="0005616F">
        <w:rPr>
          <w:rFonts w:ascii="Times New Roman" w:hAnsi="Times New Roman" w:cs="Times New Roman"/>
          <w:color w:val="000000" w:themeColor="text1"/>
          <w:szCs w:val="24"/>
        </w:rPr>
        <w:t>Wallace</w:t>
      </w:r>
      <w:r w:rsidR="00713BBC" w:rsidRPr="0005616F">
        <w:rPr>
          <w:rFonts w:ascii="Times New Roman" w:hAnsi="Times New Roman" w:cs="Times New Roman"/>
          <w:color w:val="000000" w:themeColor="text1"/>
          <w:szCs w:val="24"/>
        </w:rPr>
        <w:t>,</w:t>
      </w:r>
      <w:r w:rsidRPr="0005616F">
        <w:rPr>
          <w:rFonts w:ascii="Times New Roman" w:hAnsi="Times New Roman" w:cs="Times New Roman"/>
          <w:color w:val="000000" w:themeColor="text1"/>
          <w:szCs w:val="24"/>
        </w:rPr>
        <w:t xml:space="preserve"> </w:t>
      </w:r>
      <w:r w:rsidR="00032054" w:rsidRPr="0005616F">
        <w:rPr>
          <w:rFonts w:ascii="Times New Roman" w:hAnsi="Times New Roman" w:cs="Times New Roman"/>
          <w:color w:val="000000" w:themeColor="text1"/>
          <w:szCs w:val="24"/>
        </w:rPr>
        <w:t>A.</w:t>
      </w:r>
      <w:r w:rsidR="00032054">
        <w:rPr>
          <w:rFonts w:ascii="Times New Roman" w:hAnsi="Times New Roman" w:cs="Times New Roman"/>
          <w:color w:val="000000" w:themeColor="text1"/>
          <w:szCs w:val="24"/>
        </w:rPr>
        <w:t xml:space="preserve"> </w:t>
      </w:r>
      <w:proofErr w:type="spellStart"/>
      <w:r w:rsidRPr="0005616F">
        <w:rPr>
          <w:rFonts w:ascii="Times New Roman" w:hAnsi="Times New Roman" w:cs="Times New Roman"/>
          <w:color w:val="000000" w:themeColor="text1"/>
          <w:szCs w:val="24"/>
        </w:rPr>
        <w:t>Persily</w:t>
      </w:r>
      <w:proofErr w:type="spellEnd"/>
      <w:r w:rsidR="00713BBC" w:rsidRPr="0005616F">
        <w:rPr>
          <w:rFonts w:ascii="Times New Roman" w:hAnsi="Times New Roman" w:cs="Times New Roman"/>
          <w:color w:val="000000" w:themeColor="text1"/>
          <w:szCs w:val="24"/>
        </w:rPr>
        <w:t>, and</w:t>
      </w:r>
      <w:r w:rsidRPr="0005616F">
        <w:rPr>
          <w:rFonts w:ascii="Times New Roman" w:hAnsi="Times New Roman" w:cs="Times New Roman"/>
          <w:color w:val="000000" w:themeColor="text1"/>
          <w:szCs w:val="24"/>
        </w:rPr>
        <w:t xml:space="preserve"> </w:t>
      </w:r>
      <w:r w:rsidR="00032054" w:rsidRPr="0005616F">
        <w:rPr>
          <w:rFonts w:ascii="Times New Roman" w:hAnsi="Times New Roman" w:cs="Times New Roman"/>
          <w:color w:val="000000" w:themeColor="text1"/>
          <w:szCs w:val="24"/>
        </w:rPr>
        <w:t xml:space="preserve">J. </w:t>
      </w:r>
      <w:r w:rsidRPr="0005616F">
        <w:rPr>
          <w:rFonts w:ascii="Times New Roman" w:hAnsi="Times New Roman" w:cs="Times New Roman"/>
          <w:color w:val="000000" w:themeColor="text1"/>
          <w:szCs w:val="24"/>
        </w:rPr>
        <w:t>Choi</w:t>
      </w:r>
      <w:r w:rsidR="00032054">
        <w:rPr>
          <w:rFonts w:ascii="Times New Roman" w:hAnsi="Times New Roman" w:cs="Times New Roman"/>
          <w:color w:val="000000" w:themeColor="text1"/>
          <w:szCs w:val="24"/>
        </w:rPr>
        <w:t>.</w:t>
      </w:r>
      <w:r w:rsidRPr="0005616F">
        <w:rPr>
          <w:rFonts w:ascii="Times New Roman" w:hAnsi="Times New Roman" w:cs="Times New Roman"/>
          <w:color w:val="000000" w:themeColor="text1"/>
          <w:szCs w:val="24"/>
        </w:rPr>
        <w:t xml:space="preserve"> </w:t>
      </w:r>
      <w:r w:rsidR="00713BBC" w:rsidRPr="0005616F">
        <w:rPr>
          <w:rFonts w:ascii="Times New Roman" w:hAnsi="Times New Roman" w:cs="Times New Roman"/>
          <w:color w:val="000000" w:themeColor="text1"/>
          <w:szCs w:val="24"/>
        </w:rPr>
        <w:t>2012.</w:t>
      </w:r>
      <w:r w:rsidRPr="0005616F">
        <w:rPr>
          <w:rFonts w:ascii="Times New Roman" w:hAnsi="Times New Roman" w:cs="Times New Roman"/>
          <w:color w:val="000000" w:themeColor="text1"/>
          <w:szCs w:val="24"/>
        </w:rPr>
        <w:t xml:space="preserve"> Evolution of Ultrafine Particle Size Distributions Following Indoor Episodic Releases: Relative Importance of Coagulation, Deposition and Ventilation. </w:t>
      </w:r>
      <w:r w:rsidR="007E13F0" w:rsidRPr="007E13F0">
        <w:rPr>
          <w:rFonts w:ascii="Times New Roman" w:hAnsi="Times New Roman" w:cs="Times New Roman"/>
          <w:i/>
          <w:szCs w:val="24"/>
        </w:rPr>
        <w:t>Aerosol Sci</w:t>
      </w:r>
      <w:r w:rsidR="004E5D88">
        <w:rPr>
          <w:rFonts w:ascii="Times New Roman" w:hAnsi="Times New Roman" w:cs="Times New Roman"/>
          <w:i/>
          <w:szCs w:val="24"/>
        </w:rPr>
        <w:t>.</w:t>
      </w:r>
      <w:r w:rsidR="007E13F0" w:rsidRPr="007E13F0">
        <w:rPr>
          <w:rFonts w:ascii="Times New Roman" w:hAnsi="Times New Roman" w:cs="Times New Roman"/>
          <w:i/>
          <w:szCs w:val="24"/>
        </w:rPr>
        <w:t xml:space="preserve"> Technol</w:t>
      </w:r>
      <w:r w:rsidR="004E5D88">
        <w:rPr>
          <w:rFonts w:ascii="Times New Roman" w:hAnsi="Times New Roman" w:cs="Times New Roman"/>
          <w:i/>
          <w:szCs w:val="24"/>
        </w:rPr>
        <w:t>.</w:t>
      </w:r>
      <w:r w:rsidR="007E13F0">
        <w:rPr>
          <w:rFonts w:ascii="Times New Roman" w:hAnsi="Times New Roman" w:cs="Times New Roman"/>
          <w:szCs w:val="24"/>
        </w:rPr>
        <w:t xml:space="preserve"> </w:t>
      </w:r>
      <w:r w:rsidRPr="0005616F">
        <w:rPr>
          <w:rFonts w:ascii="Times New Roman" w:hAnsi="Times New Roman" w:cs="Times New Roman"/>
          <w:color w:val="000000" w:themeColor="text1"/>
          <w:szCs w:val="24"/>
        </w:rPr>
        <w:t>46:494–503.</w:t>
      </w:r>
    </w:p>
    <w:p w:rsidR="00713BBC" w:rsidRPr="0005616F" w:rsidRDefault="00032054" w:rsidP="0005616F">
      <w:pPr>
        <w:spacing w:before="0"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Sherman M. H. </w:t>
      </w:r>
      <w:r w:rsidR="00713BBC" w:rsidRPr="0005616F">
        <w:rPr>
          <w:rFonts w:ascii="Times New Roman" w:hAnsi="Times New Roman" w:cs="Times New Roman"/>
          <w:color w:val="000000" w:themeColor="text1"/>
          <w:szCs w:val="24"/>
        </w:rPr>
        <w:t xml:space="preserve">1992. Superposition in infiltration modeling. </w:t>
      </w:r>
      <w:r w:rsidR="00713BBC" w:rsidRPr="0005616F">
        <w:rPr>
          <w:rFonts w:ascii="Times New Roman" w:hAnsi="Times New Roman" w:cs="Times New Roman"/>
          <w:i/>
          <w:color w:val="000000" w:themeColor="text1"/>
          <w:szCs w:val="24"/>
        </w:rPr>
        <w:t>Indoor Air</w:t>
      </w:r>
      <w:r w:rsidR="00713BBC" w:rsidRPr="0005616F">
        <w:rPr>
          <w:rFonts w:ascii="Times New Roman" w:hAnsi="Times New Roman" w:cs="Times New Roman"/>
          <w:color w:val="000000" w:themeColor="text1"/>
          <w:szCs w:val="24"/>
        </w:rPr>
        <w:t>, 2:101-114.</w:t>
      </w:r>
    </w:p>
    <w:p w:rsidR="00713BBC" w:rsidRPr="0005616F" w:rsidRDefault="00713BBC" w:rsidP="004E5D88">
      <w:pPr>
        <w:spacing w:before="0" w:after="0" w:line="240" w:lineRule="auto"/>
        <w:ind w:left="426" w:hanging="426"/>
        <w:rPr>
          <w:rFonts w:ascii="Times New Roman" w:hAnsi="Times New Roman" w:cs="Times New Roman"/>
          <w:color w:val="000000" w:themeColor="text1"/>
          <w:szCs w:val="24"/>
        </w:rPr>
      </w:pPr>
      <w:r w:rsidRPr="0005616F">
        <w:rPr>
          <w:rFonts w:ascii="Times New Roman" w:hAnsi="Times New Roman" w:cs="Times New Roman"/>
          <w:color w:val="000000" w:themeColor="text1"/>
          <w:szCs w:val="24"/>
        </w:rPr>
        <w:t xml:space="preserve">Wallace, L. A., </w:t>
      </w:r>
      <w:r w:rsidR="00032054">
        <w:rPr>
          <w:rFonts w:ascii="Times New Roman" w:hAnsi="Times New Roman" w:cs="Times New Roman"/>
          <w:color w:val="000000" w:themeColor="text1"/>
          <w:szCs w:val="24"/>
        </w:rPr>
        <w:t>S. J.</w:t>
      </w:r>
      <w:r w:rsidR="00032054" w:rsidRPr="0005616F">
        <w:rPr>
          <w:rFonts w:ascii="Times New Roman" w:hAnsi="Times New Roman" w:cs="Times New Roman"/>
          <w:color w:val="000000" w:themeColor="text1"/>
          <w:szCs w:val="24"/>
        </w:rPr>
        <w:t xml:space="preserve"> </w:t>
      </w:r>
      <w:r w:rsidRPr="0005616F">
        <w:rPr>
          <w:rFonts w:ascii="Times New Roman" w:hAnsi="Times New Roman" w:cs="Times New Roman"/>
          <w:color w:val="000000" w:themeColor="text1"/>
          <w:szCs w:val="24"/>
        </w:rPr>
        <w:t xml:space="preserve">Emmerich, and </w:t>
      </w:r>
      <w:r w:rsidR="00032054" w:rsidRPr="0005616F">
        <w:rPr>
          <w:rFonts w:ascii="Times New Roman" w:hAnsi="Times New Roman" w:cs="Times New Roman"/>
          <w:color w:val="000000" w:themeColor="text1"/>
          <w:szCs w:val="24"/>
        </w:rPr>
        <w:t xml:space="preserve">C. </w:t>
      </w:r>
      <w:r w:rsidR="00032054">
        <w:rPr>
          <w:rFonts w:ascii="Times New Roman" w:hAnsi="Times New Roman" w:cs="Times New Roman"/>
          <w:color w:val="000000" w:themeColor="text1"/>
          <w:szCs w:val="24"/>
        </w:rPr>
        <w:t>Howard-Reed. 2004</w:t>
      </w:r>
      <w:r w:rsidRPr="0005616F">
        <w:rPr>
          <w:rFonts w:ascii="Times New Roman" w:hAnsi="Times New Roman" w:cs="Times New Roman"/>
          <w:color w:val="000000" w:themeColor="text1"/>
          <w:szCs w:val="24"/>
        </w:rPr>
        <w:t xml:space="preserve">. Effect of central fans and in-duct filters on deposition rates of ultrafine and fine particles in an occupied townhouse. </w:t>
      </w:r>
      <w:r w:rsidR="007E13F0" w:rsidRPr="007E13F0">
        <w:rPr>
          <w:rFonts w:ascii="Times New Roman" w:hAnsi="Times New Roman" w:cs="Times New Roman"/>
          <w:i/>
          <w:szCs w:val="24"/>
        </w:rPr>
        <w:t>Atmos</w:t>
      </w:r>
      <w:r w:rsidR="004E5D88">
        <w:rPr>
          <w:rFonts w:ascii="Times New Roman" w:hAnsi="Times New Roman" w:cs="Times New Roman"/>
          <w:i/>
          <w:szCs w:val="24"/>
        </w:rPr>
        <w:t>.</w:t>
      </w:r>
      <w:r w:rsidR="007E13F0" w:rsidRPr="007E13F0">
        <w:rPr>
          <w:rFonts w:ascii="Times New Roman" w:hAnsi="Times New Roman" w:cs="Times New Roman"/>
          <w:i/>
          <w:szCs w:val="24"/>
        </w:rPr>
        <w:t xml:space="preserve"> Environ</w:t>
      </w:r>
      <w:r w:rsidR="004E5D88">
        <w:rPr>
          <w:rFonts w:ascii="Times New Roman" w:hAnsi="Times New Roman" w:cs="Times New Roman"/>
          <w:i/>
          <w:szCs w:val="24"/>
        </w:rPr>
        <w:t>.</w:t>
      </w:r>
      <w:r w:rsidRPr="0005616F">
        <w:rPr>
          <w:rFonts w:ascii="Times New Roman" w:hAnsi="Times New Roman" w:cs="Times New Roman"/>
          <w:color w:val="000000" w:themeColor="text1"/>
          <w:szCs w:val="24"/>
        </w:rPr>
        <w:t xml:space="preserve"> 38:405–413.</w:t>
      </w:r>
      <w:bookmarkStart w:id="0" w:name="_GoBack"/>
      <w:bookmarkEnd w:id="0"/>
    </w:p>
    <w:sectPr w:rsidR="00713BBC" w:rsidRPr="0005616F" w:rsidSect="005675FA">
      <w:pgSz w:w="12240" w:h="15840"/>
      <w:pgMar w:top="1080" w:right="1440" w:bottom="108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CF" w:rsidRDefault="004249CF" w:rsidP="00822EE7">
      <w:pPr>
        <w:spacing w:before="0" w:after="0" w:line="240" w:lineRule="auto"/>
      </w:pPr>
      <w:r>
        <w:separator/>
      </w:r>
    </w:p>
  </w:endnote>
  <w:endnote w:type="continuationSeparator" w:id="0">
    <w:p w:rsidR="004249CF" w:rsidRDefault="004249CF" w:rsidP="00822E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88" w:rsidRDefault="004E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88" w:rsidRDefault="004E5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88" w:rsidRDefault="004E5D88">
    <w:pPr>
      <w:pStyle w:val="Footer"/>
      <w:jc w:val="center"/>
    </w:pPr>
  </w:p>
  <w:p w:rsidR="004E5D88" w:rsidRDefault="004E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CF" w:rsidRDefault="004249CF" w:rsidP="00822EE7">
      <w:pPr>
        <w:spacing w:before="0" w:after="0" w:line="240" w:lineRule="auto"/>
      </w:pPr>
      <w:r>
        <w:separator/>
      </w:r>
    </w:p>
  </w:footnote>
  <w:footnote w:type="continuationSeparator" w:id="0">
    <w:p w:rsidR="004249CF" w:rsidRDefault="004249CF" w:rsidP="00822E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88" w:rsidRDefault="004E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88" w:rsidRDefault="004E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88" w:rsidRDefault="004E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50670"/>
    <w:multiLevelType w:val="hybridMultilevel"/>
    <w:tmpl w:val="B768C8D6"/>
    <w:lvl w:ilvl="0" w:tplc="EE08727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7B14B6"/>
    <w:multiLevelType w:val="multilevel"/>
    <w:tmpl w:val="151A0596"/>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NLIwtjQ3MjU3NzdW0lEKTi0uzszPAykwtKgFABqIh2stAAAA"/>
  </w:docVars>
  <w:rsids>
    <w:rsidRoot w:val="008579C0"/>
    <w:rsid w:val="00000971"/>
    <w:rsid w:val="00014B0D"/>
    <w:rsid w:val="000209FB"/>
    <w:rsid w:val="00024675"/>
    <w:rsid w:val="00026E8C"/>
    <w:rsid w:val="00032054"/>
    <w:rsid w:val="000372EB"/>
    <w:rsid w:val="0004144B"/>
    <w:rsid w:val="0005616F"/>
    <w:rsid w:val="000D6B38"/>
    <w:rsid w:val="000E145C"/>
    <w:rsid w:val="000E2D71"/>
    <w:rsid w:val="000E4946"/>
    <w:rsid w:val="000F2134"/>
    <w:rsid w:val="00155BC5"/>
    <w:rsid w:val="001667E3"/>
    <w:rsid w:val="00171F56"/>
    <w:rsid w:val="001B473F"/>
    <w:rsid w:val="001D0D8A"/>
    <w:rsid w:val="001D551D"/>
    <w:rsid w:val="001D611F"/>
    <w:rsid w:val="001E4504"/>
    <w:rsid w:val="001F2A88"/>
    <w:rsid w:val="0020347A"/>
    <w:rsid w:val="00210027"/>
    <w:rsid w:val="0022521C"/>
    <w:rsid w:val="00225A3E"/>
    <w:rsid w:val="00233586"/>
    <w:rsid w:val="00286EB4"/>
    <w:rsid w:val="002C24FF"/>
    <w:rsid w:val="002F43A7"/>
    <w:rsid w:val="003224F4"/>
    <w:rsid w:val="0032318A"/>
    <w:rsid w:val="00337645"/>
    <w:rsid w:val="003427A2"/>
    <w:rsid w:val="00352B86"/>
    <w:rsid w:val="00383763"/>
    <w:rsid w:val="003A318B"/>
    <w:rsid w:val="003B45E1"/>
    <w:rsid w:val="003D1089"/>
    <w:rsid w:val="003E2E8F"/>
    <w:rsid w:val="003E73B5"/>
    <w:rsid w:val="003F21E7"/>
    <w:rsid w:val="00402AA6"/>
    <w:rsid w:val="0041222D"/>
    <w:rsid w:val="004249CF"/>
    <w:rsid w:val="00427229"/>
    <w:rsid w:val="00433FD9"/>
    <w:rsid w:val="004453A2"/>
    <w:rsid w:val="00450943"/>
    <w:rsid w:val="0045508B"/>
    <w:rsid w:val="0049168C"/>
    <w:rsid w:val="004B5352"/>
    <w:rsid w:val="004B77BE"/>
    <w:rsid w:val="004C13C6"/>
    <w:rsid w:val="004C364F"/>
    <w:rsid w:val="004E316F"/>
    <w:rsid w:val="004E5D88"/>
    <w:rsid w:val="00513BF8"/>
    <w:rsid w:val="00530FC6"/>
    <w:rsid w:val="00535059"/>
    <w:rsid w:val="00535BC2"/>
    <w:rsid w:val="00537AA3"/>
    <w:rsid w:val="00550C64"/>
    <w:rsid w:val="0055223C"/>
    <w:rsid w:val="00566C6A"/>
    <w:rsid w:val="005675FA"/>
    <w:rsid w:val="00576E14"/>
    <w:rsid w:val="0058343D"/>
    <w:rsid w:val="00596023"/>
    <w:rsid w:val="005A677A"/>
    <w:rsid w:val="005B24C6"/>
    <w:rsid w:val="005D2707"/>
    <w:rsid w:val="005D3903"/>
    <w:rsid w:val="005E4FD3"/>
    <w:rsid w:val="00605175"/>
    <w:rsid w:val="0060684E"/>
    <w:rsid w:val="00624978"/>
    <w:rsid w:val="0063132A"/>
    <w:rsid w:val="00636B23"/>
    <w:rsid w:val="006552A4"/>
    <w:rsid w:val="006719E8"/>
    <w:rsid w:val="00676295"/>
    <w:rsid w:val="006B457A"/>
    <w:rsid w:val="006C0BD2"/>
    <w:rsid w:val="006C2300"/>
    <w:rsid w:val="00704662"/>
    <w:rsid w:val="0070537F"/>
    <w:rsid w:val="00707155"/>
    <w:rsid w:val="00713003"/>
    <w:rsid w:val="00713BBC"/>
    <w:rsid w:val="007559F6"/>
    <w:rsid w:val="00756F20"/>
    <w:rsid w:val="007619B6"/>
    <w:rsid w:val="00780398"/>
    <w:rsid w:val="00794F34"/>
    <w:rsid w:val="007B43EB"/>
    <w:rsid w:val="007B5C8C"/>
    <w:rsid w:val="007C6AAC"/>
    <w:rsid w:val="007C7BD3"/>
    <w:rsid w:val="007E0F76"/>
    <w:rsid w:val="007E13F0"/>
    <w:rsid w:val="007E597F"/>
    <w:rsid w:val="00805109"/>
    <w:rsid w:val="00822EE7"/>
    <w:rsid w:val="00823DA4"/>
    <w:rsid w:val="00836C57"/>
    <w:rsid w:val="008579C0"/>
    <w:rsid w:val="00873F7F"/>
    <w:rsid w:val="00874180"/>
    <w:rsid w:val="00885E4E"/>
    <w:rsid w:val="00895519"/>
    <w:rsid w:val="008B42CE"/>
    <w:rsid w:val="008C06FE"/>
    <w:rsid w:val="008F07BE"/>
    <w:rsid w:val="008F2510"/>
    <w:rsid w:val="009132FE"/>
    <w:rsid w:val="00924FB5"/>
    <w:rsid w:val="009471E0"/>
    <w:rsid w:val="009817EA"/>
    <w:rsid w:val="009C0107"/>
    <w:rsid w:val="00A324BA"/>
    <w:rsid w:val="00A53CB2"/>
    <w:rsid w:val="00A704DB"/>
    <w:rsid w:val="00A8716E"/>
    <w:rsid w:val="00A9087A"/>
    <w:rsid w:val="00AA3338"/>
    <w:rsid w:val="00AE1763"/>
    <w:rsid w:val="00B0709E"/>
    <w:rsid w:val="00B27047"/>
    <w:rsid w:val="00B326A3"/>
    <w:rsid w:val="00B417B7"/>
    <w:rsid w:val="00B95866"/>
    <w:rsid w:val="00BC139F"/>
    <w:rsid w:val="00BC1D98"/>
    <w:rsid w:val="00BC2624"/>
    <w:rsid w:val="00BC763D"/>
    <w:rsid w:val="00BD470C"/>
    <w:rsid w:val="00BF2757"/>
    <w:rsid w:val="00C01C92"/>
    <w:rsid w:val="00C071B8"/>
    <w:rsid w:val="00C1447E"/>
    <w:rsid w:val="00C30944"/>
    <w:rsid w:val="00C31D8B"/>
    <w:rsid w:val="00C4190E"/>
    <w:rsid w:val="00C504A1"/>
    <w:rsid w:val="00C636F8"/>
    <w:rsid w:val="00C87617"/>
    <w:rsid w:val="00C93CB7"/>
    <w:rsid w:val="00CA6429"/>
    <w:rsid w:val="00CB0C48"/>
    <w:rsid w:val="00CD6360"/>
    <w:rsid w:val="00CE150E"/>
    <w:rsid w:val="00CF3B8D"/>
    <w:rsid w:val="00D025C2"/>
    <w:rsid w:val="00D97BA2"/>
    <w:rsid w:val="00DA6EE0"/>
    <w:rsid w:val="00DC7AC8"/>
    <w:rsid w:val="00DD4265"/>
    <w:rsid w:val="00DD5F36"/>
    <w:rsid w:val="00DE3405"/>
    <w:rsid w:val="00DE4820"/>
    <w:rsid w:val="00E2256C"/>
    <w:rsid w:val="00E23A37"/>
    <w:rsid w:val="00E30371"/>
    <w:rsid w:val="00E309E5"/>
    <w:rsid w:val="00E32C3D"/>
    <w:rsid w:val="00E34932"/>
    <w:rsid w:val="00E42F61"/>
    <w:rsid w:val="00E51FA4"/>
    <w:rsid w:val="00E543BB"/>
    <w:rsid w:val="00E76918"/>
    <w:rsid w:val="00E83D89"/>
    <w:rsid w:val="00EB0344"/>
    <w:rsid w:val="00EB315B"/>
    <w:rsid w:val="00EB4028"/>
    <w:rsid w:val="00EC186E"/>
    <w:rsid w:val="00EF3ED8"/>
    <w:rsid w:val="00EF5FCC"/>
    <w:rsid w:val="00F03859"/>
    <w:rsid w:val="00F1302A"/>
    <w:rsid w:val="00F53D2A"/>
    <w:rsid w:val="00F543D2"/>
    <w:rsid w:val="00F558DF"/>
    <w:rsid w:val="00F66AF3"/>
    <w:rsid w:val="00F71F31"/>
    <w:rsid w:val="00F80517"/>
    <w:rsid w:val="00F838E7"/>
    <w:rsid w:val="00FA1C1F"/>
    <w:rsid w:val="00FA36EC"/>
    <w:rsid w:val="00FB4D91"/>
    <w:rsid w:val="00FC0B75"/>
    <w:rsid w:val="00FC2FA9"/>
    <w:rsid w:val="00FD050F"/>
    <w:rsid w:val="00FD414A"/>
    <w:rsid w:val="00FE155D"/>
    <w:rsid w:val="00FE5616"/>
    <w:rsid w:val="00FE578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6DDA"/>
  <w15:docId w15:val="{2586CC25-647B-6848-96A1-FACF6F2C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9C0"/>
    <w:pPr>
      <w:spacing w:before="240" w:after="120" w:line="360" w:lineRule="auto"/>
      <w:jc w:val="both"/>
    </w:pPr>
    <w:rPr>
      <w:rFonts w:ascii="Arial" w:hAnsi="Arial"/>
      <w:sz w:val="24"/>
    </w:rPr>
  </w:style>
  <w:style w:type="paragraph" w:styleId="Heading1">
    <w:name w:val="heading 1"/>
    <w:basedOn w:val="Normal"/>
    <w:next w:val="Normal"/>
    <w:link w:val="Heading1Char"/>
    <w:uiPriority w:val="9"/>
    <w:qFormat/>
    <w:rsid w:val="00857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9C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579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9C0"/>
    <w:rPr>
      <w:rFonts w:ascii="Tahoma" w:hAnsi="Tahoma" w:cs="Tahoma"/>
      <w:sz w:val="16"/>
      <w:szCs w:val="16"/>
    </w:rPr>
  </w:style>
  <w:style w:type="table" w:styleId="TableGrid">
    <w:name w:val="Table Grid"/>
    <w:basedOn w:val="TableNormal"/>
    <w:uiPriority w:val="59"/>
    <w:rsid w:val="0045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943"/>
    <w:pPr>
      <w:ind w:left="720"/>
      <w:contextualSpacing/>
    </w:pPr>
  </w:style>
  <w:style w:type="table" w:styleId="LightShading">
    <w:name w:val="Light Shading"/>
    <w:basedOn w:val="TableNormal"/>
    <w:uiPriority w:val="60"/>
    <w:rsid w:val="004509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51FA4"/>
    <w:rPr>
      <w:sz w:val="16"/>
      <w:szCs w:val="16"/>
    </w:rPr>
  </w:style>
  <w:style w:type="paragraph" w:styleId="CommentText">
    <w:name w:val="annotation text"/>
    <w:basedOn w:val="Normal"/>
    <w:link w:val="CommentTextChar"/>
    <w:uiPriority w:val="99"/>
    <w:semiHidden/>
    <w:unhideWhenUsed/>
    <w:rsid w:val="00E51FA4"/>
    <w:pPr>
      <w:spacing w:line="240" w:lineRule="auto"/>
    </w:pPr>
    <w:rPr>
      <w:sz w:val="20"/>
      <w:szCs w:val="20"/>
    </w:rPr>
  </w:style>
  <w:style w:type="character" w:customStyle="1" w:styleId="CommentTextChar">
    <w:name w:val="Comment Text Char"/>
    <w:basedOn w:val="DefaultParagraphFont"/>
    <w:link w:val="CommentText"/>
    <w:uiPriority w:val="99"/>
    <w:semiHidden/>
    <w:rsid w:val="00E51F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1FA4"/>
    <w:rPr>
      <w:b/>
      <w:bCs/>
    </w:rPr>
  </w:style>
  <w:style w:type="character" w:customStyle="1" w:styleId="CommentSubjectChar">
    <w:name w:val="Comment Subject Char"/>
    <w:basedOn w:val="CommentTextChar"/>
    <w:link w:val="CommentSubject"/>
    <w:uiPriority w:val="99"/>
    <w:semiHidden/>
    <w:rsid w:val="00E51FA4"/>
    <w:rPr>
      <w:rFonts w:ascii="Arial" w:hAnsi="Arial"/>
      <w:b/>
      <w:bCs/>
      <w:sz w:val="20"/>
      <w:szCs w:val="20"/>
    </w:rPr>
  </w:style>
  <w:style w:type="paragraph" w:styleId="Header">
    <w:name w:val="header"/>
    <w:basedOn w:val="Normal"/>
    <w:link w:val="HeaderChar"/>
    <w:uiPriority w:val="99"/>
    <w:unhideWhenUsed/>
    <w:rsid w:val="00822E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2EE7"/>
    <w:rPr>
      <w:rFonts w:ascii="Arial" w:hAnsi="Arial"/>
      <w:sz w:val="24"/>
    </w:rPr>
  </w:style>
  <w:style w:type="paragraph" w:styleId="Footer">
    <w:name w:val="footer"/>
    <w:basedOn w:val="Normal"/>
    <w:link w:val="FooterChar"/>
    <w:uiPriority w:val="99"/>
    <w:unhideWhenUsed/>
    <w:rsid w:val="00822E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2EE7"/>
    <w:rPr>
      <w:rFonts w:ascii="Arial" w:hAnsi="Arial"/>
      <w:sz w:val="24"/>
    </w:rPr>
  </w:style>
  <w:style w:type="paragraph" w:styleId="PlainText">
    <w:name w:val="Plain Text"/>
    <w:basedOn w:val="Normal"/>
    <w:link w:val="PlainTextChar"/>
    <w:uiPriority w:val="99"/>
    <w:semiHidden/>
    <w:unhideWhenUsed/>
    <w:rsid w:val="00780398"/>
    <w:pPr>
      <w:spacing w:before="0" w:after="0" w:line="240" w:lineRule="auto"/>
      <w:jc w:val="left"/>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780398"/>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CE46-089F-BD44-B8C1-DA36022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Sun</dc:creator>
  <cp:lastModifiedBy>Luba Slabyj</cp:lastModifiedBy>
  <cp:revision>2</cp:revision>
  <dcterms:created xsi:type="dcterms:W3CDTF">2018-09-12T18:29:00Z</dcterms:created>
  <dcterms:modified xsi:type="dcterms:W3CDTF">2018-09-12T18:29:00Z</dcterms:modified>
</cp:coreProperties>
</file>