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C98C4" w14:textId="77777777" w:rsidR="0065585E" w:rsidRDefault="00F90329" w:rsidP="00D61C31">
      <w:pPr>
        <w:jc w:val="center"/>
        <w:rPr>
          <w:b/>
        </w:rPr>
      </w:pPr>
      <w:bookmarkStart w:id="0" w:name="_GoBack"/>
      <w:bookmarkEnd w:id="0"/>
      <w:r w:rsidRPr="00F90329">
        <w:rPr>
          <w:b/>
        </w:rPr>
        <w:t xml:space="preserve">Supplementary </w:t>
      </w:r>
      <w:r w:rsidR="00AB5FF4">
        <w:rPr>
          <w:b/>
        </w:rPr>
        <w:t>Figures</w:t>
      </w:r>
    </w:p>
    <w:p w14:paraId="485D5B8A" w14:textId="77777777" w:rsidR="0065585E" w:rsidRDefault="0065585E">
      <w:pPr>
        <w:rPr>
          <w:b/>
        </w:rPr>
      </w:pPr>
    </w:p>
    <w:p w14:paraId="408D89C9" w14:textId="77777777" w:rsidR="0065585E" w:rsidRDefault="0065585E">
      <w:pPr>
        <w:rPr>
          <w:b/>
        </w:rPr>
      </w:pPr>
      <w:r>
        <w:rPr>
          <w:noProof/>
          <w:lang w:val="en-IN" w:eastAsia="en-IN"/>
        </w:rPr>
        <w:drawing>
          <wp:inline distT="0" distB="0" distL="0" distR="0" wp14:anchorId="40304648" wp14:editId="1705099B">
            <wp:extent cx="4540250" cy="2413000"/>
            <wp:effectExtent l="0" t="0" r="0" b="6350"/>
            <wp:docPr id="9" name="Picture 9" descr="C:\Users\AML\Google Drive\Fratta Lab\miRNseq kit paper\Resubmission\RNA Biology\Revisision\combin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L\Google Drive\Fratta Lab\miRNseq kit paper\Resubmission\RNA Biology\Revisision\combined.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250" cy="2413000"/>
                    </a:xfrm>
                    <a:prstGeom prst="rect">
                      <a:avLst/>
                    </a:prstGeom>
                    <a:noFill/>
                    <a:ln>
                      <a:noFill/>
                    </a:ln>
                  </pic:spPr>
                </pic:pic>
              </a:graphicData>
            </a:graphic>
          </wp:inline>
        </w:drawing>
      </w:r>
    </w:p>
    <w:p w14:paraId="10EBB6E5" w14:textId="77777777" w:rsidR="0065585E" w:rsidRPr="00584BC3" w:rsidRDefault="0065585E" w:rsidP="0065585E">
      <w:pPr>
        <w:rPr>
          <w:b/>
          <w:color w:val="FF0000"/>
        </w:rPr>
      </w:pPr>
      <w:r w:rsidRPr="00584BC3">
        <w:rPr>
          <w:b/>
          <w:color w:val="FF0000"/>
        </w:rPr>
        <w:t xml:space="preserve">Figure S1 </w:t>
      </w:r>
    </w:p>
    <w:p w14:paraId="3DD41E9F" w14:textId="77777777" w:rsidR="0065585E" w:rsidRPr="00584BC3" w:rsidRDefault="0065585E" w:rsidP="0065585E">
      <w:pPr>
        <w:rPr>
          <w:color w:val="FF0000"/>
        </w:rPr>
      </w:pPr>
      <w:r w:rsidRPr="00584BC3">
        <w:rPr>
          <w:color w:val="FF0000"/>
        </w:rPr>
        <w:t>Comparison of miXplore sequencing results and RT-qPCR validation for three selected miRNAs. The graph shows the log2 fold change of detected miRNA expression compared to the mean expression. Values are mean +SD.</w:t>
      </w:r>
    </w:p>
    <w:p w14:paraId="0DA792C8" w14:textId="77777777" w:rsidR="0065585E" w:rsidRDefault="0065585E">
      <w:pPr>
        <w:rPr>
          <w:b/>
        </w:rPr>
      </w:pPr>
      <w:r>
        <w:rPr>
          <w:b/>
        </w:rPr>
        <w:br w:type="page"/>
      </w:r>
    </w:p>
    <w:p w14:paraId="70B6AE09" w14:textId="77777777" w:rsidR="004E51BF" w:rsidRPr="00D61C31" w:rsidRDefault="004E51BF" w:rsidP="00D61C31">
      <w:pPr>
        <w:jc w:val="center"/>
        <w:rPr>
          <w:b/>
        </w:rPr>
      </w:pPr>
    </w:p>
    <w:p w14:paraId="2B3F95FE" w14:textId="77777777" w:rsidR="00914E60" w:rsidRDefault="0026695E">
      <w:r>
        <w:rPr>
          <w:noProof/>
          <w:lang w:val="en-IN" w:eastAsia="en-IN"/>
        </w:rPr>
        <w:drawing>
          <wp:inline distT="0" distB="0" distL="0" distR="0" wp14:anchorId="374E43CB" wp14:editId="508B9D55">
            <wp:extent cx="5188338" cy="55985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X_pretsize_CLT_NEB.png"/>
                    <pic:cNvPicPr/>
                  </pic:nvPicPr>
                  <pic:blipFill>
                    <a:blip r:embed="rId8">
                      <a:extLst>
                        <a:ext uri="{28A0092B-C50C-407E-A947-70E740481C1C}">
                          <a14:useLocalDpi xmlns:a14="http://schemas.microsoft.com/office/drawing/2010/main" val="0"/>
                        </a:ext>
                      </a:extLst>
                    </a:blip>
                    <a:stretch>
                      <a:fillRect/>
                    </a:stretch>
                  </pic:blipFill>
                  <pic:spPr>
                    <a:xfrm>
                      <a:off x="0" y="0"/>
                      <a:ext cx="5188338" cy="5598537"/>
                    </a:xfrm>
                    <a:prstGeom prst="rect">
                      <a:avLst/>
                    </a:prstGeom>
                  </pic:spPr>
                </pic:pic>
              </a:graphicData>
            </a:graphic>
          </wp:inline>
        </w:drawing>
      </w:r>
    </w:p>
    <w:p w14:paraId="4169FB87" w14:textId="77777777" w:rsidR="00914E60" w:rsidRPr="00972623" w:rsidRDefault="00914E60" w:rsidP="00914E60">
      <w:pPr>
        <w:rPr>
          <w:b/>
        </w:rPr>
      </w:pPr>
      <w:r w:rsidRPr="00972623">
        <w:rPr>
          <w:b/>
        </w:rPr>
        <w:t>Figure S</w:t>
      </w:r>
      <w:r w:rsidR="0065585E">
        <w:rPr>
          <w:b/>
        </w:rPr>
        <w:t>2</w:t>
      </w:r>
      <w:r w:rsidRPr="00972623">
        <w:rPr>
          <w:b/>
        </w:rPr>
        <w:t xml:space="preserve"> TapeStation profile of </w:t>
      </w:r>
      <w:r w:rsidR="0067331E">
        <w:rPr>
          <w:b/>
        </w:rPr>
        <w:t xml:space="preserve">SMARTer smRNA-Seq </w:t>
      </w:r>
      <w:r>
        <w:rPr>
          <w:b/>
        </w:rPr>
        <w:t>and NEB</w:t>
      </w:r>
      <w:r w:rsidR="0067331E">
        <w:rPr>
          <w:b/>
        </w:rPr>
        <w:t>Next</w:t>
      </w:r>
      <w:r>
        <w:rPr>
          <w:b/>
        </w:rPr>
        <w:t xml:space="preserve"> libraries prior to gel size selection</w:t>
      </w:r>
    </w:p>
    <w:p w14:paraId="19E3441C" w14:textId="77777777" w:rsidR="00042A11" w:rsidRDefault="00042A11" w:rsidP="00042A11">
      <w:r>
        <w:t xml:space="preserve">Small RNA libraries were prepared according to the manufacturer’s instructions and 1 µl pf each sample was </w:t>
      </w:r>
      <w:r w:rsidR="00A755DF">
        <w:t>analysed with a</w:t>
      </w:r>
      <w:r>
        <w:t xml:space="preserve"> High Sensitivity </w:t>
      </w:r>
      <w:r w:rsidR="00A755DF">
        <w:t>D1000 Screen</w:t>
      </w:r>
      <w:r>
        <w:t xml:space="preserve">Tape </w:t>
      </w:r>
      <w:r w:rsidR="00A755DF">
        <w:t xml:space="preserve">on a 4200 TapeStation system (both Agilent) </w:t>
      </w:r>
      <w:r>
        <w:t xml:space="preserve">prior to size selection on the gel. An example for plasma, serum and brain is indicated for the two kits without bead based purification. The peak predicted to correspond to miRNAs plus adapters is highlighted in orange. </w:t>
      </w:r>
      <w:r w:rsidR="00872ABA">
        <w:t>Libraries prepared with 3’ tailing methodology (</w:t>
      </w:r>
      <w:r w:rsidR="0067331E">
        <w:t>SMARTer smRNA-Seq</w:t>
      </w:r>
      <w:r w:rsidR="00872ABA">
        <w:t xml:space="preserve">) result in the presence of a large variety of RNA species with variable sizes. </w:t>
      </w:r>
      <w:r w:rsidR="0067331E">
        <w:t>In contrast, more defined small RNA peaks are visible in the libraries prepared with NEBNext</w:t>
      </w:r>
      <w:r>
        <w:t xml:space="preserve">. </w:t>
      </w:r>
      <w:r w:rsidR="007200FD">
        <w:t>Peaks ~20 nt shorter than the predicted miRNA peak are likely to correspond to adapter dimers.</w:t>
      </w:r>
    </w:p>
    <w:p w14:paraId="3EB8A663" w14:textId="77777777" w:rsidR="00E266C4" w:rsidRDefault="00E266C4">
      <w:r>
        <w:br w:type="page"/>
      </w:r>
    </w:p>
    <w:p w14:paraId="4CD3F0FE" w14:textId="77777777" w:rsidR="00712FA7" w:rsidRDefault="0026695E" w:rsidP="0026695E">
      <w:pPr>
        <w:tabs>
          <w:tab w:val="left" w:pos="686"/>
        </w:tabs>
      </w:pPr>
      <w:r>
        <w:rPr>
          <w:noProof/>
          <w:lang w:val="en-IN" w:eastAsia="en-IN"/>
        </w:rPr>
        <w:lastRenderedPageBreak/>
        <w:drawing>
          <wp:inline distT="0" distB="0" distL="0" distR="0" wp14:anchorId="171FB6E0" wp14:editId="36B75F8E">
            <wp:extent cx="5756888" cy="640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X_pretsize_CLT_NEB.png"/>
                    <pic:cNvPicPr/>
                  </pic:nvPicPr>
                  <pic:blipFill rotWithShape="1">
                    <a:blip r:embed="rId9" cstate="print">
                      <a:extLst>
                        <a:ext uri="{28A0092B-C50C-407E-A947-70E740481C1C}">
                          <a14:useLocalDpi xmlns:a14="http://schemas.microsoft.com/office/drawing/2010/main" val="0"/>
                        </a:ext>
                      </a:extLst>
                    </a:blip>
                    <a:srcRect t="1764" r="120"/>
                    <a:stretch/>
                  </pic:blipFill>
                  <pic:spPr bwMode="auto">
                    <a:xfrm>
                      <a:off x="0" y="0"/>
                      <a:ext cx="5763751" cy="6408431"/>
                    </a:xfrm>
                    <a:prstGeom prst="rect">
                      <a:avLst/>
                    </a:prstGeom>
                    <a:ln>
                      <a:noFill/>
                    </a:ln>
                    <a:extLst>
                      <a:ext uri="{53640926-AAD7-44D8-BBD7-CCE9431645EC}">
                        <a14:shadowObscured xmlns:a14="http://schemas.microsoft.com/office/drawing/2010/main"/>
                      </a:ext>
                    </a:extLst>
                  </pic:spPr>
                </pic:pic>
              </a:graphicData>
            </a:graphic>
          </wp:inline>
        </w:drawing>
      </w:r>
    </w:p>
    <w:p w14:paraId="79D10F9F" w14:textId="77777777" w:rsidR="00972623" w:rsidRPr="00972623" w:rsidRDefault="00972623">
      <w:pPr>
        <w:rPr>
          <w:b/>
        </w:rPr>
      </w:pPr>
      <w:r w:rsidRPr="00972623">
        <w:rPr>
          <w:b/>
        </w:rPr>
        <w:t>Figure S</w:t>
      </w:r>
      <w:r w:rsidR="0065585E">
        <w:rPr>
          <w:b/>
        </w:rPr>
        <w:t>3</w:t>
      </w:r>
      <w:r w:rsidRPr="00972623">
        <w:rPr>
          <w:b/>
        </w:rPr>
        <w:t xml:space="preserve"> TapeStation profile of size-selected pooled libraries for each kit.</w:t>
      </w:r>
    </w:p>
    <w:p w14:paraId="64512E50" w14:textId="77777777" w:rsidR="00712FA7" w:rsidRDefault="004F2A83">
      <w:r>
        <w:t xml:space="preserve">Small RNA libraries were prepared from the miRXplore universal reference, plasma, serum brain tissue according to the manufacturers’ instructions. Following size selections libraries were pooled in an equimolar ratio for each kit and 2 µl where analysed on a D1000 High Sensitivity ScreenTape. Expected sizes for miRNA and adapters were as follows: ~150 bp for </w:t>
      </w:r>
      <w:r w:rsidR="0067331E">
        <w:t>Nextflex</w:t>
      </w:r>
      <w:r>
        <w:t xml:space="preserve">, ~176 for </w:t>
      </w:r>
      <w:r w:rsidR="0067331E">
        <w:t>SMARTer smRNA-Seq</w:t>
      </w:r>
      <w:r>
        <w:t>, ~147 for NEB</w:t>
      </w:r>
      <w:r w:rsidR="0067331E">
        <w:t>Next</w:t>
      </w:r>
      <w:r>
        <w:t xml:space="preserve"> and ~173 for QIA</w:t>
      </w:r>
      <w:r w:rsidR="0067331E">
        <w:t>seq</w:t>
      </w:r>
      <w:r>
        <w:t>. Due to salt levels in library solvents the observed sizes can be higher than expected. All library preparation protocols resulted in the presence of RNA species larger than miRNA (high molecular weight ‘contamination’ in the TapeStation profile). Peaks ~20</w:t>
      </w:r>
      <w:r w:rsidR="00970EF6">
        <w:t xml:space="preserve"> </w:t>
      </w:r>
      <w:r>
        <w:t xml:space="preserve">nt shorter than the predicted miRNA peak </w:t>
      </w:r>
      <w:r w:rsidR="007200FD">
        <w:t xml:space="preserve">are likely to </w:t>
      </w:r>
      <w:r>
        <w:t xml:space="preserve">correspond to adapter dimers. </w:t>
      </w:r>
      <w:r w:rsidR="00C66512">
        <w:t>(</w:t>
      </w:r>
      <w:r w:rsidR="00BB7206">
        <w:t>B) Percentage of reads mapping to adapters compared to total reads. Values +/- SEM.</w:t>
      </w:r>
      <w:r w:rsidR="00712FA7">
        <w:br w:type="page"/>
      </w:r>
    </w:p>
    <w:p w14:paraId="196A8E1A" w14:textId="77777777" w:rsidR="0016268C" w:rsidRPr="00EB7959" w:rsidRDefault="00E5308D" w:rsidP="0016268C">
      <w:pPr>
        <w:rPr>
          <w:b/>
        </w:rPr>
      </w:pPr>
      <w:r>
        <w:rPr>
          <w:noProof/>
          <w:lang w:val="en-IN" w:eastAsia="en-IN"/>
        </w:rPr>
        <w:lastRenderedPageBreak/>
        <w:drawing>
          <wp:inline distT="0" distB="0" distL="0" distR="0" wp14:anchorId="33D99C8F" wp14:editId="3E57E8D9">
            <wp:extent cx="5713074" cy="400947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2.png"/>
                    <pic:cNvPicPr/>
                  </pic:nvPicPr>
                  <pic:blipFill>
                    <a:blip r:embed="rId10">
                      <a:extLst>
                        <a:ext uri="{28A0092B-C50C-407E-A947-70E740481C1C}">
                          <a14:useLocalDpi xmlns:a14="http://schemas.microsoft.com/office/drawing/2010/main" val="0"/>
                        </a:ext>
                      </a:extLst>
                    </a:blip>
                    <a:stretch>
                      <a:fillRect/>
                    </a:stretch>
                  </pic:blipFill>
                  <pic:spPr>
                    <a:xfrm>
                      <a:off x="0" y="0"/>
                      <a:ext cx="5713074" cy="4009476"/>
                    </a:xfrm>
                    <a:prstGeom prst="rect">
                      <a:avLst/>
                    </a:prstGeom>
                  </pic:spPr>
                </pic:pic>
              </a:graphicData>
            </a:graphic>
          </wp:inline>
        </w:drawing>
      </w:r>
      <w:r w:rsidR="0016268C">
        <w:rPr>
          <w:b/>
        </w:rPr>
        <w:t>Figure S</w:t>
      </w:r>
      <w:r w:rsidR="0065585E">
        <w:rPr>
          <w:b/>
        </w:rPr>
        <w:t xml:space="preserve">4 </w:t>
      </w:r>
      <w:r w:rsidR="0016268C" w:rsidRPr="00EB7959">
        <w:rPr>
          <w:b/>
        </w:rPr>
        <w:t xml:space="preserve">Overlap of the miRNA signatures in human plasma, </w:t>
      </w:r>
      <w:r w:rsidR="00277FAC">
        <w:rPr>
          <w:b/>
        </w:rPr>
        <w:t xml:space="preserve">human </w:t>
      </w:r>
      <w:r w:rsidR="0016268C" w:rsidRPr="00EB7959">
        <w:rPr>
          <w:b/>
        </w:rPr>
        <w:t>serum and murine brain.</w:t>
      </w:r>
    </w:p>
    <w:p w14:paraId="27DA4986" w14:textId="77777777" w:rsidR="00B41A6E" w:rsidRPr="00EB7959" w:rsidRDefault="00B41A6E" w:rsidP="00B41A6E">
      <w:pPr>
        <w:rPr>
          <w:rFonts w:cs="Times New Roman"/>
        </w:rPr>
      </w:pPr>
      <w:r w:rsidRPr="00EB7959">
        <w:t xml:space="preserve">The overlap of the </w:t>
      </w:r>
      <w:r w:rsidRPr="00EB7959">
        <w:rPr>
          <w:rFonts w:cs="Times New Roman"/>
        </w:rPr>
        <w:t xml:space="preserve">20 most abundant miRNAs (utilising the mean </w:t>
      </w:r>
      <w:r>
        <w:rPr>
          <w:rFonts w:cs="Times New Roman"/>
        </w:rPr>
        <w:t>percentage frequency</w:t>
      </w:r>
      <w:r w:rsidRPr="00EB7959">
        <w:rPr>
          <w:rFonts w:cs="Times New Roman"/>
        </w:rPr>
        <w:t>) between each methodology are indicated as Venn diagrams for (A) human plasma, (B) human serum and (</w:t>
      </w:r>
      <w:r>
        <w:rPr>
          <w:rFonts w:cs="Times New Roman"/>
        </w:rPr>
        <w:t>C</w:t>
      </w:r>
      <w:r w:rsidRPr="00EB7959">
        <w:rPr>
          <w:rFonts w:cs="Times New Roman"/>
        </w:rPr>
        <w:t xml:space="preserve">) murine brain. The list indicates miRNAs that ranked among the 20 </w:t>
      </w:r>
      <w:r>
        <w:rPr>
          <w:rFonts w:cs="Times New Roman"/>
        </w:rPr>
        <w:t xml:space="preserve">most abundant </w:t>
      </w:r>
      <w:r w:rsidRPr="00EB7959">
        <w:rPr>
          <w:rFonts w:cs="Times New Roman"/>
        </w:rPr>
        <w:t>miRNAs fo</w:t>
      </w:r>
      <w:r w:rsidR="00CA0284">
        <w:rPr>
          <w:rFonts w:cs="Times New Roman"/>
        </w:rPr>
        <w:t>r all kits.</w:t>
      </w:r>
    </w:p>
    <w:p w14:paraId="7C43577E" w14:textId="77777777" w:rsidR="00277FAC" w:rsidRDefault="00E5308D">
      <w:r>
        <w:br w:type="page"/>
      </w:r>
    </w:p>
    <w:p w14:paraId="3E80775B" w14:textId="77777777" w:rsidR="00277FAC" w:rsidRPr="00AB5FF4" w:rsidRDefault="00AB5FF4" w:rsidP="00AB5FF4">
      <w:pPr>
        <w:jc w:val="center"/>
        <w:rPr>
          <w:b/>
        </w:rPr>
      </w:pPr>
      <w:r w:rsidRPr="00F90329">
        <w:rPr>
          <w:b/>
        </w:rPr>
        <w:lastRenderedPageBreak/>
        <w:t xml:space="preserve">Supplementary </w:t>
      </w:r>
      <w:r>
        <w:rPr>
          <w:b/>
        </w:rPr>
        <w:t>Tables</w:t>
      </w:r>
    </w:p>
    <w:p w14:paraId="616FBE31" w14:textId="77777777" w:rsidR="000B6D49" w:rsidRDefault="00FB559B" w:rsidP="000B6D49">
      <w:r w:rsidRPr="00FB559B">
        <w:rPr>
          <w:noProof/>
          <w:lang w:val="en-IN" w:eastAsia="en-IN"/>
        </w:rPr>
        <w:drawing>
          <wp:inline distT="0" distB="0" distL="0" distR="0" wp14:anchorId="4D8CB0F0" wp14:editId="296CB471">
            <wp:extent cx="5731510" cy="1727561"/>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27561"/>
                    </a:xfrm>
                    <a:prstGeom prst="rect">
                      <a:avLst/>
                    </a:prstGeom>
                    <a:noFill/>
                    <a:ln>
                      <a:noFill/>
                    </a:ln>
                  </pic:spPr>
                </pic:pic>
              </a:graphicData>
            </a:graphic>
          </wp:inline>
        </w:drawing>
      </w:r>
    </w:p>
    <w:p w14:paraId="16E0395E" w14:textId="77777777" w:rsidR="000B6D49" w:rsidRDefault="000B6D49" w:rsidP="000B6D49">
      <w:r>
        <w:rPr>
          <w:b/>
        </w:rPr>
        <w:t>Table</w:t>
      </w:r>
      <w:r w:rsidRPr="003438D3">
        <w:rPr>
          <w:b/>
        </w:rPr>
        <w:t xml:space="preserve"> S1</w:t>
      </w:r>
      <w:r>
        <w:t xml:space="preserve"> </w:t>
      </w:r>
      <w:r w:rsidRPr="00DB19F2">
        <w:rPr>
          <w:b/>
        </w:rPr>
        <w:t xml:space="preserve">Summary of </w:t>
      </w:r>
      <w:r>
        <w:rPr>
          <w:b/>
        </w:rPr>
        <w:t xml:space="preserve">HTSeq </w:t>
      </w:r>
      <w:r w:rsidRPr="00DB19F2">
        <w:rPr>
          <w:b/>
        </w:rPr>
        <w:t xml:space="preserve">counting statistics </w:t>
      </w:r>
      <w:r>
        <w:rPr>
          <w:b/>
        </w:rPr>
        <w:t xml:space="preserve">and correlation analysis </w:t>
      </w:r>
      <w:r w:rsidRPr="0091516E">
        <w:rPr>
          <w:b/>
        </w:rPr>
        <w:t>for the miRXplore universal reference</w:t>
      </w:r>
      <w:r>
        <w:rPr>
          <w:b/>
        </w:rPr>
        <w:t>.</w:t>
      </w:r>
    </w:p>
    <w:p w14:paraId="33057D47" w14:textId="77777777" w:rsidR="000B6D49" w:rsidRDefault="000B6D49" w:rsidP="000B6D49">
      <w:r>
        <w:t xml:space="preserve">Counting statistics of the miRXplore universal reference. </w:t>
      </w:r>
      <w:r w:rsidRPr="0091516E">
        <w:t xml:space="preserve">BSC and NEB </w:t>
      </w:r>
      <w:r>
        <w:t>were sequenced</w:t>
      </w:r>
      <w:r w:rsidRPr="0091516E">
        <w:t xml:space="preserve"> utilising NextSeq sequencer</w:t>
      </w:r>
      <w:r>
        <w:t>, CLT with a</w:t>
      </w:r>
      <w:r w:rsidRPr="0091516E">
        <w:t xml:space="preserve"> HiSeq 2500 sequencer and QIA on MiSeq</w:t>
      </w:r>
      <w:r>
        <w:t xml:space="preserve"> (all Illumina). No mismatch tolerated during bowtie mapping (-v0 option) and reads mapping more than 20 times to the genome were discarded (-m20 option). </w:t>
      </w:r>
    </w:p>
    <w:p w14:paraId="74A3D41F" w14:textId="77777777" w:rsidR="000B6D49" w:rsidRDefault="000B6D49"/>
    <w:p w14:paraId="4C0DA677" w14:textId="77777777" w:rsidR="00ED31DB" w:rsidRDefault="0026695E">
      <w:r w:rsidRPr="0026695E">
        <w:rPr>
          <w:noProof/>
          <w:lang w:val="en-IN" w:eastAsia="en-IN"/>
        </w:rPr>
        <w:lastRenderedPageBreak/>
        <w:drawing>
          <wp:inline distT="0" distB="0" distL="0" distR="0" wp14:anchorId="4A5310F1" wp14:editId="6FBDC8BC">
            <wp:extent cx="5731510" cy="542378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423782"/>
                    </a:xfrm>
                    <a:prstGeom prst="rect">
                      <a:avLst/>
                    </a:prstGeom>
                    <a:noFill/>
                    <a:ln>
                      <a:noFill/>
                    </a:ln>
                  </pic:spPr>
                </pic:pic>
              </a:graphicData>
            </a:graphic>
          </wp:inline>
        </w:drawing>
      </w:r>
    </w:p>
    <w:p w14:paraId="42B81127" w14:textId="77777777" w:rsidR="00DB19F2" w:rsidRDefault="00E10AC3" w:rsidP="00DB19F2">
      <w:r>
        <w:rPr>
          <w:b/>
        </w:rPr>
        <w:t>Table S</w:t>
      </w:r>
      <w:r w:rsidR="000B6D49">
        <w:rPr>
          <w:b/>
        </w:rPr>
        <w:t>2</w:t>
      </w:r>
      <w:r w:rsidR="00DB19F2" w:rsidRPr="00DB19F2">
        <w:rPr>
          <w:b/>
        </w:rPr>
        <w:t xml:space="preserve"> Summary of </w:t>
      </w:r>
      <w:r w:rsidR="0091516E">
        <w:rPr>
          <w:b/>
        </w:rPr>
        <w:t xml:space="preserve">library size, bowtie </w:t>
      </w:r>
      <w:r w:rsidR="00DB19F2" w:rsidRPr="00DB19F2">
        <w:rPr>
          <w:b/>
        </w:rPr>
        <w:t xml:space="preserve">mapping and </w:t>
      </w:r>
      <w:r w:rsidR="0091516E">
        <w:rPr>
          <w:b/>
        </w:rPr>
        <w:t xml:space="preserve">HTseq </w:t>
      </w:r>
      <w:r w:rsidR="00DB19F2" w:rsidRPr="00DB19F2">
        <w:rPr>
          <w:b/>
        </w:rPr>
        <w:t>counting statistics for human plasma samples.</w:t>
      </w:r>
      <w:r w:rsidR="00DB19F2">
        <w:t xml:space="preserve"> </w:t>
      </w:r>
    </w:p>
    <w:p w14:paraId="2A76CA8E" w14:textId="77777777" w:rsidR="00E266C4" w:rsidRDefault="0091516E" w:rsidP="00DB19F2">
      <w:r w:rsidRPr="0091516E">
        <w:t xml:space="preserve">BSC and NEB </w:t>
      </w:r>
      <w:r>
        <w:t>were sequenced</w:t>
      </w:r>
      <w:r w:rsidRPr="0091516E">
        <w:t xml:space="preserve"> utilising NextSeq sequencer</w:t>
      </w:r>
      <w:r>
        <w:t>, CLT with a</w:t>
      </w:r>
      <w:r w:rsidRPr="0091516E">
        <w:t xml:space="preserve"> HiSeq 2500 sequencer and QIA on MiSeq</w:t>
      </w:r>
      <w:r>
        <w:t xml:space="preserve"> (all Illumina). </w:t>
      </w:r>
      <w:r w:rsidR="00D2003A">
        <w:t>One mismatch tolerated during bowtie mapping (-v1 option). R</w:t>
      </w:r>
      <w:r w:rsidR="00DB19F2">
        <w:t>eads mapp</w:t>
      </w:r>
      <w:r w:rsidR="00D2003A">
        <w:t>ing</w:t>
      </w:r>
      <w:r w:rsidR="00DB19F2">
        <w:t xml:space="preserve"> more than 20 time</w:t>
      </w:r>
      <w:r>
        <w:t>s</w:t>
      </w:r>
      <w:r w:rsidR="00DB19F2">
        <w:t xml:space="preserve"> to the genome were discarded</w:t>
      </w:r>
      <w:r w:rsidR="00D2003A">
        <w:t xml:space="preserve"> (-m20 option)</w:t>
      </w:r>
      <w:r w:rsidR="00DB19F2">
        <w:t>. Th</w:t>
      </w:r>
      <w:r w:rsidR="00F95245">
        <w:t xml:space="preserve">e -m20 option filtered out a considerable amount of reads in samples </w:t>
      </w:r>
      <w:r w:rsidR="00DB19F2">
        <w:t xml:space="preserve">prepared with the SMARTer smRNA </w:t>
      </w:r>
      <w:r w:rsidR="004C56AA">
        <w:t xml:space="preserve">(CLT) </w:t>
      </w:r>
      <w:r w:rsidR="00DB19F2">
        <w:t>kit</w:t>
      </w:r>
      <w:r w:rsidR="00503CFF">
        <w:t xml:space="preserve">. Sample biotype composition was calculated in percentage compared to total mapped reads. </w:t>
      </w:r>
      <w:r w:rsidR="00225F4F">
        <w:t xml:space="preserve">Libraries prepared with Nextflex </w:t>
      </w:r>
      <w:r w:rsidR="004C56AA">
        <w:t xml:space="preserve">(BSC) </w:t>
      </w:r>
      <w:r w:rsidR="00225F4F">
        <w:t xml:space="preserve">or QIAseq </w:t>
      </w:r>
      <w:r w:rsidR="004C56AA">
        <w:t xml:space="preserve">(QIA) </w:t>
      </w:r>
      <w:r w:rsidR="00225F4F">
        <w:t>were most enriched in miRNA reads.</w:t>
      </w:r>
      <w:r w:rsidR="004C56AA">
        <w:t xml:space="preserve"> BSC: Bio</w:t>
      </w:r>
      <w:r w:rsidR="004C56AA" w:rsidRPr="004D6DF9">
        <w:t>o Scientific</w:t>
      </w:r>
      <w:r w:rsidR="004C56AA">
        <w:t>; Clontech: CLT; NEB: New England Biolabs; QIA: Qiagen</w:t>
      </w:r>
    </w:p>
    <w:p w14:paraId="2A4564B5" w14:textId="77777777" w:rsidR="00E266C4" w:rsidRDefault="0026695E">
      <w:r w:rsidRPr="0026695E">
        <w:rPr>
          <w:noProof/>
          <w:lang w:val="en-IN" w:eastAsia="en-IN"/>
        </w:rPr>
        <w:lastRenderedPageBreak/>
        <w:drawing>
          <wp:inline distT="0" distB="0" distL="0" distR="0" wp14:anchorId="5ECAD6AC" wp14:editId="269A606C">
            <wp:extent cx="5731510" cy="56581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658160"/>
                    </a:xfrm>
                    <a:prstGeom prst="rect">
                      <a:avLst/>
                    </a:prstGeom>
                    <a:noFill/>
                    <a:ln>
                      <a:noFill/>
                    </a:ln>
                  </pic:spPr>
                </pic:pic>
              </a:graphicData>
            </a:graphic>
          </wp:inline>
        </w:drawing>
      </w:r>
    </w:p>
    <w:p w14:paraId="4335334B" w14:textId="77777777" w:rsidR="001D5ABC" w:rsidRDefault="00E10AC3" w:rsidP="001D5ABC">
      <w:r>
        <w:rPr>
          <w:b/>
        </w:rPr>
        <w:t>Table S</w:t>
      </w:r>
      <w:r w:rsidR="000B6D49">
        <w:rPr>
          <w:b/>
        </w:rPr>
        <w:t>3</w:t>
      </w:r>
      <w:r>
        <w:rPr>
          <w:b/>
        </w:rPr>
        <w:t xml:space="preserve"> </w:t>
      </w:r>
      <w:r w:rsidR="001D5ABC" w:rsidRPr="00DB19F2">
        <w:rPr>
          <w:b/>
        </w:rPr>
        <w:t xml:space="preserve">Summary of </w:t>
      </w:r>
      <w:r w:rsidR="001D5ABC">
        <w:rPr>
          <w:b/>
        </w:rPr>
        <w:t xml:space="preserve">library size, bowtie </w:t>
      </w:r>
      <w:r w:rsidR="001D5ABC" w:rsidRPr="00DB19F2">
        <w:rPr>
          <w:b/>
        </w:rPr>
        <w:t xml:space="preserve">mapping and </w:t>
      </w:r>
      <w:r w:rsidR="001D5ABC">
        <w:rPr>
          <w:b/>
        </w:rPr>
        <w:t xml:space="preserve">HTseq </w:t>
      </w:r>
      <w:r w:rsidR="001D5ABC" w:rsidRPr="00DB19F2">
        <w:rPr>
          <w:b/>
        </w:rPr>
        <w:t xml:space="preserve">counting statistics for human </w:t>
      </w:r>
      <w:r w:rsidR="001D5ABC">
        <w:rPr>
          <w:b/>
        </w:rPr>
        <w:t xml:space="preserve">serum </w:t>
      </w:r>
      <w:r w:rsidR="001D5ABC" w:rsidRPr="00DB19F2">
        <w:rPr>
          <w:b/>
        </w:rPr>
        <w:t>samples.</w:t>
      </w:r>
      <w:r w:rsidR="001D5ABC">
        <w:t xml:space="preserve"> </w:t>
      </w:r>
    </w:p>
    <w:p w14:paraId="6AFD9F48" w14:textId="77777777" w:rsidR="00E266C4" w:rsidRDefault="001D5ABC">
      <w:r w:rsidRPr="0091516E">
        <w:t xml:space="preserve">BSC and NEB </w:t>
      </w:r>
      <w:r>
        <w:t>were sequenced</w:t>
      </w:r>
      <w:r w:rsidRPr="0091516E">
        <w:t xml:space="preserve"> utilising NextSeq sequencer</w:t>
      </w:r>
      <w:r>
        <w:t>, CLT with a</w:t>
      </w:r>
      <w:r w:rsidRPr="0091516E">
        <w:t xml:space="preserve"> HiSeq 2500 sequencer and QIA on MiSeq</w:t>
      </w:r>
      <w:r>
        <w:t xml:space="preserve"> (all </w:t>
      </w:r>
      <w:r w:rsidR="00F3164F">
        <w:t>Illumina). The bowtie v1 option</w:t>
      </w:r>
      <w:r>
        <w:t xml:space="preserve"> refers to one </w:t>
      </w:r>
      <w:r w:rsidR="00242DE5">
        <w:t xml:space="preserve">tolerated mismatch </w:t>
      </w:r>
      <w:r>
        <w:t xml:space="preserve">during mapping. -m option was set to 20, so reads that mapped more than 20 times to the genome were discarded. </w:t>
      </w:r>
      <w:r w:rsidR="00F95245">
        <w:t>The -m20 option filtered out a considerable amount of reads in samples prepared with the SMARTer smRNA</w:t>
      </w:r>
      <w:r w:rsidR="00242DE5">
        <w:t>-Seq (CLT)</w:t>
      </w:r>
      <w:r w:rsidR="00F95245">
        <w:t xml:space="preserve"> kit. </w:t>
      </w:r>
      <w:r w:rsidR="00503CFF">
        <w:t xml:space="preserve">Sample biotype composition was calculated in percentage compared to total mapped reads. </w:t>
      </w:r>
      <w:r w:rsidR="00225F4F">
        <w:t xml:space="preserve">Serum libraries prepared with QIAseq kit </w:t>
      </w:r>
      <w:r w:rsidR="00242DE5">
        <w:t xml:space="preserve">(QIA) </w:t>
      </w:r>
      <w:r w:rsidR="00225F4F">
        <w:t>contained the highest percentage of reads mapping to miRNAs.</w:t>
      </w:r>
      <w:r w:rsidR="004C56AA">
        <w:t xml:space="preserve"> BSC: Bi</w:t>
      </w:r>
      <w:r w:rsidR="004C56AA" w:rsidRPr="004D6DF9">
        <w:t>o</w:t>
      </w:r>
      <w:r w:rsidR="004C56AA">
        <w:t>o</w:t>
      </w:r>
      <w:r w:rsidR="004C56AA" w:rsidRPr="004D6DF9">
        <w:t xml:space="preserve"> Scientific</w:t>
      </w:r>
      <w:r w:rsidR="004C56AA">
        <w:t xml:space="preserve">; Clontech: CLT; NEB: New England Biolabs; QIA: Qiagen </w:t>
      </w:r>
      <w:r w:rsidR="00E266C4">
        <w:br w:type="page"/>
      </w:r>
    </w:p>
    <w:p w14:paraId="1ED48199" w14:textId="77777777" w:rsidR="00E266C4" w:rsidRDefault="0026695E">
      <w:r w:rsidRPr="0026695E">
        <w:rPr>
          <w:noProof/>
          <w:lang w:val="en-IN" w:eastAsia="en-IN"/>
        </w:rPr>
        <w:lastRenderedPageBreak/>
        <w:drawing>
          <wp:inline distT="0" distB="0" distL="0" distR="0" wp14:anchorId="0B71E435" wp14:editId="2B4C77FB">
            <wp:extent cx="5731510" cy="585019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850198"/>
                    </a:xfrm>
                    <a:prstGeom prst="rect">
                      <a:avLst/>
                    </a:prstGeom>
                    <a:noFill/>
                    <a:ln>
                      <a:noFill/>
                    </a:ln>
                  </pic:spPr>
                </pic:pic>
              </a:graphicData>
            </a:graphic>
          </wp:inline>
        </w:drawing>
      </w:r>
    </w:p>
    <w:p w14:paraId="597C888C" w14:textId="77777777" w:rsidR="001D5ABC" w:rsidRDefault="00E10AC3" w:rsidP="001D5ABC">
      <w:r>
        <w:rPr>
          <w:b/>
        </w:rPr>
        <w:t>Table S</w:t>
      </w:r>
      <w:r w:rsidR="000B6D49">
        <w:rPr>
          <w:b/>
        </w:rPr>
        <w:t>4</w:t>
      </w:r>
      <w:r w:rsidRPr="00DB19F2">
        <w:rPr>
          <w:b/>
        </w:rPr>
        <w:t xml:space="preserve"> </w:t>
      </w:r>
      <w:r w:rsidR="001D5ABC" w:rsidRPr="00DB19F2">
        <w:rPr>
          <w:b/>
        </w:rPr>
        <w:t xml:space="preserve">Summary of </w:t>
      </w:r>
      <w:r w:rsidR="001D5ABC">
        <w:rPr>
          <w:b/>
        </w:rPr>
        <w:t xml:space="preserve">library size, bowtie </w:t>
      </w:r>
      <w:r w:rsidR="001D5ABC" w:rsidRPr="00DB19F2">
        <w:rPr>
          <w:b/>
        </w:rPr>
        <w:t xml:space="preserve">mapping and </w:t>
      </w:r>
      <w:r w:rsidR="001D5ABC">
        <w:rPr>
          <w:b/>
        </w:rPr>
        <w:t xml:space="preserve">HTseq </w:t>
      </w:r>
      <w:r w:rsidR="001D5ABC" w:rsidRPr="00DB19F2">
        <w:rPr>
          <w:b/>
        </w:rPr>
        <w:t xml:space="preserve">counting statistics for </w:t>
      </w:r>
      <w:r w:rsidR="001D5ABC">
        <w:rPr>
          <w:b/>
        </w:rPr>
        <w:t xml:space="preserve">murine brain </w:t>
      </w:r>
      <w:r w:rsidR="001D5ABC" w:rsidRPr="00DB19F2">
        <w:rPr>
          <w:b/>
        </w:rPr>
        <w:t>samples.</w:t>
      </w:r>
      <w:r w:rsidR="001D5ABC">
        <w:t xml:space="preserve"> </w:t>
      </w:r>
    </w:p>
    <w:p w14:paraId="198F4505" w14:textId="77777777" w:rsidR="001D5ABC" w:rsidRDefault="001D5ABC" w:rsidP="001D5ABC">
      <w:r w:rsidRPr="0091516E">
        <w:t xml:space="preserve">BSC and NEB </w:t>
      </w:r>
      <w:r>
        <w:t>were sequenced</w:t>
      </w:r>
      <w:r w:rsidRPr="0091516E">
        <w:t xml:space="preserve"> utilising NextSeq sequencer</w:t>
      </w:r>
      <w:r>
        <w:t>, CLT with a</w:t>
      </w:r>
      <w:r w:rsidRPr="0091516E">
        <w:t xml:space="preserve"> HiSeq 2500 sequencer and QIA on MiSeq</w:t>
      </w:r>
      <w:r>
        <w:t xml:space="preserve"> (all Illumina). </w:t>
      </w:r>
      <w:r w:rsidR="00F95245">
        <w:t xml:space="preserve">One mismatch </w:t>
      </w:r>
      <w:r w:rsidR="00242DE5">
        <w:t xml:space="preserve">was </w:t>
      </w:r>
      <w:r w:rsidR="00F95245">
        <w:t xml:space="preserve">tolerated during bowtie mapping (-v1 option). Reads mapping more than 20 times to the genome were discarded (-m20 option). </w:t>
      </w:r>
      <w:r w:rsidR="00503CFF">
        <w:t xml:space="preserve">Sample biotype composition was calculated in percentage compared to total mapped reads. </w:t>
      </w:r>
      <w:r w:rsidR="00F95245">
        <w:t>Libraries prepared with the NEB</w:t>
      </w:r>
      <w:r w:rsidR="00225F4F">
        <w:t>Next</w:t>
      </w:r>
      <w:r w:rsidR="00F95245">
        <w:t xml:space="preserve"> protocol were most enriched in miRNAs.</w:t>
      </w:r>
      <w:r w:rsidR="00990898">
        <w:t xml:space="preserve"> For the BSC kit, more than 99% of the reads in the ‘other sRNA category’ were snoRNA mapping reads (data not shown).</w:t>
      </w:r>
      <w:r w:rsidR="00242DE5">
        <w:t xml:space="preserve"> BSC: Bi</w:t>
      </w:r>
      <w:r w:rsidR="00242DE5" w:rsidRPr="004D6DF9">
        <w:t>o</w:t>
      </w:r>
      <w:r w:rsidR="00242DE5">
        <w:t>o</w:t>
      </w:r>
      <w:r w:rsidR="00242DE5" w:rsidRPr="004D6DF9">
        <w:t xml:space="preserve"> Scientific</w:t>
      </w:r>
      <w:r w:rsidR="00242DE5">
        <w:t>; Clontech: CLT; NEB: New England Biolabs; QIA: Qiagen</w:t>
      </w:r>
    </w:p>
    <w:p w14:paraId="28578259" w14:textId="77777777" w:rsidR="001D5ABC" w:rsidRDefault="001D5ABC"/>
    <w:sectPr w:rsidR="001D5A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E254" w14:textId="77777777" w:rsidR="00F26F2A" w:rsidRDefault="00F26F2A" w:rsidP="00042A11">
      <w:pPr>
        <w:spacing w:after="0" w:line="240" w:lineRule="auto"/>
      </w:pPr>
      <w:r>
        <w:separator/>
      </w:r>
    </w:p>
  </w:endnote>
  <w:endnote w:type="continuationSeparator" w:id="0">
    <w:p w14:paraId="67400686" w14:textId="77777777" w:rsidR="00F26F2A" w:rsidRDefault="00F26F2A" w:rsidP="0004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AD2E" w14:textId="77777777" w:rsidR="00F26F2A" w:rsidRDefault="00F26F2A" w:rsidP="00042A11">
      <w:pPr>
        <w:spacing w:after="0" w:line="240" w:lineRule="auto"/>
      </w:pPr>
      <w:r>
        <w:separator/>
      </w:r>
    </w:p>
  </w:footnote>
  <w:footnote w:type="continuationSeparator" w:id="0">
    <w:p w14:paraId="752918AF" w14:textId="77777777" w:rsidR="00F26F2A" w:rsidRDefault="00F26F2A" w:rsidP="00042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405F4"/>
    <w:multiLevelType w:val="multilevel"/>
    <w:tmpl w:val="94040A1A"/>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8863" w:hanging="357"/>
      </w:pPr>
      <w:rPr>
        <w:rFonts w:hint="default"/>
      </w:rPr>
    </w:lvl>
    <w:lvl w:ilvl="3">
      <w:start w:val="1"/>
      <w:numFmt w:val="decimal"/>
      <w:pStyle w:val="Heading4"/>
      <w:lvlText w:val="%1.%2.%3.%4"/>
      <w:lvlJc w:val="left"/>
      <w:pPr>
        <w:ind w:left="1428" w:hanging="357"/>
      </w:pPr>
      <w:rPr>
        <w:rFonts w:hint="default"/>
      </w:rPr>
    </w:lvl>
    <w:lvl w:ilvl="4">
      <w:start w:val="1"/>
      <w:numFmt w:val="decimal"/>
      <w:lvlRestart w:val="1"/>
      <w:pStyle w:val="Heading5"/>
      <w:suff w:val="space"/>
      <w:lvlText w:val="Table %1.%5"/>
      <w:lvlJc w:val="left"/>
      <w:pPr>
        <w:ind w:left="1775" w:hanging="357"/>
      </w:pPr>
      <w:rPr>
        <w:rFonts w:hint="default"/>
      </w:rPr>
    </w:lvl>
    <w:lvl w:ilvl="5">
      <w:start w:val="1"/>
      <w:numFmt w:val="decimal"/>
      <w:lvlRestart w:val="1"/>
      <w:pStyle w:val="Heading6"/>
      <w:lvlText w:val="Figure %1.%6"/>
      <w:lvlJc w:val="left"/>
      <w:pPr>
        <w:ind w:left="499"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DB"/>
    <w:rsid w:val="000151D2"/>
    <w:rsid w:val="00042A11"/>
    <w:rsid w:val="000439CF"/>
    <w:rsid w:val="00057B23"/>
    <w:rsid w:val="000957F2"/>
    <w:rsid w:val="000B6D49"/>
    <w:rsid w:val="000C059D"/>
    <w:rsid w:val="00121242"/>
    <w:rsid w:val="00143759"/>
    <w:rsid w:val="00160D3F"/>
    <w:rsid w:val="0016268C"/>
    <w:rsid w:val="00166447"/>
    <w:rsid w:val="001B4B4B"/>
    <w:rsid w:val="001C3D95"/>
    <w:rsid w:val="001D5ABC"/>
    <w:rsid w:val="001E716A"/>
    <w:rsid w:val="001E7B1D"/>
    <w:rsid w:val="00210AC8"/>
    <w:rsid w:val="00225F4F"/>
    <w:rsid w:val="00227181"/>
    <w:rsid w:val="00242DE5"/>
    <w:rsid w:val="0026695E"/>
    <w:rsid w:val="00277FAC"/>
    <w:rsid w:val="002D08EF"/>
    <w:rsid w:val="002F6B0D"/>
    <w:rsid w:val="00310E83"/>
    <w:rsid w:val="003426E2"/>
    <w:rsid w:val="003438D3"/>
    <w:rsid w:val="00372604"/>
    <w:rsid w:val="003B165F"/>
    <w:rsid w:val="003C4186"/>
    <w:rsid w:val="003C7933"/>
    <w:rsid w:val="004119AC"/>
    <w:rsid w:val="00433CED"/>
    <w:rsid w:val="004725F9"/>
    <w:rsid w:val="004A4A25"/>
    <w:rsid w:val="004C56AA"/>
    <w:rsid w:val="004E51BF"/>
    <w:rsid w:val="004F2A83"/>
    <w:rsid w:val="005015B1"/>
    <w:rsid w:val="00503CFF"/>
    <w:rsid w:val="0051296B"/>
    <w:rsid w:val="00543725"/>
    <w:rsid w:val="005668C9"/>
    <w:rsid w:val="00584BC3"/>
    <w:rsid w:val="005A08DC"/>
    <w:rsid w:val="005F6123"/>
    <w:rsid w:val="00643956"/>
    <w:rsid w:val="00645032"/>
    <w:rsid w:val="0065585E"/>
    <w:rsid w:val="00672F3A"/>
    <w:rsid w:val="0067331E"/>
    <w:rsid w:val="00676A05"/>
    <w:rsid w:val="006D6701"/>
    <w:rsid w:val="00704FB1"/>
    <w:rsid w:val="00712FA7"/>
    <w:rsid w:val="007200FD"/>
    <w:rsid w:val="00757A62"/>
    <w:rsid w:val="0084033D"/>
    <w:rsid w:val="00860A6B"/>
    <w:rsid w:val="00865E1E"/>
    <w:rsid w:val="00872ABA"/>
    <w:rsid w:val="008767DF"/>
    <w:rsid w:val="0090203B"/>
    <w:rsid w:val="00914E60"/>
    <w:rsid w:val="0091516E"/>
    <w:rsid w:val="009377F1"/>
    <w:rsid w:val="0095640A"/>
    <w:rsid w:val="00970EF6"/>
    <w:rsid w:val="00971FD9"/>
    <w:rsid w:val="00972623"/>
    <w:rsid w:val="00976A29"/>
    <w:rsid w:val="00990898"/>
    <w:rsid w:val="009A44CE"/>
    <w:rsid w:val="009A464C"/>
    <w:rsid w:val="009B49A9"/>
    <w:rsid w:val="009C77C5"/>
    <w:rsid w:val="009D266B"/>
    <w:rsid w:val="00A1400F"/>
    <w:rsid w:val="00A3591A"/>
    <w:rsid w:val="00A755DF"/>
    <w:rsid w:val="00AB5FF4"/>
    <w:rsid w:val="00B0757B"/>
    <w:rsid w:val="00B27C49"/>
    <w:rsid w:val="00B41A6E"/>
    <w:rsid w:val="00B8727A"/>
    <w:rsid w:val="00BA4501"/>
    <w:rsid w:val="00BB7206"/>
    <w:rsid w:val="00BF3773"/>
    <w:rsid w:val="00C43D38"/>
    <w:rsid w:val="00C66512"/>
    <w:rsid w:val="00CA0284"/>
    <w:rsid w:val="00CA15D7"/>
    <w:rsid w:val="00CB5045"/>
    <w:rsid w:val="00D2003A"/>
    <w:rsid w:val="00D61C31"/>
    <w:rsid w:val="00DB19F2"/>
    <w:rsid w:val="00E06888"/>
    <w:rsid w:val="00E10AC3"/>
    <w:rsid w:val="00E266C4"/>
    <w:rsid w:val="00E26E85"/>
    <w:rsid w:val="00E33390"/>
    <w:rsid w:val="00E5308D"/>
    <w:rsid w:val="00E57ECD"/>
    <w:rsid w:val="00EC34C0"/>
    <w:rsid w:val="00ED31DB"/>
    <w:rsid w:val="00F26F2A"/>
    <w:rsid w:val="00F3164F"/>
    <w:rsid w:val="00F500FD"/>
    <w:rsid w:val="00F52745"/>
    <w:rsid w:val="00F53D4F"/>
    <w:rsid w:val="00F660B1"/>
    <w:rsid w:val="00F90329"/>
    <w:rsid w:val="00F95245"/>
    <w:rsid w:val="00FB55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6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7DF"/>
    <w:pPr>
      <w:keepNext/>
      <w:keepLines/>
      <w:numPr>
        <w:numId w:val="6"/>
      </w:numPr>
      <w:spacing w:after="0" w:line="480" w:lineRule="auto"/>
      <w:jc w:val="both"/>
      <w:outlineLvl w:val="0"/>
    </w:pPr>
    <w:rPr>
      <w:rFonts w:ascii="Cambria" w:eastAsia="Times New Roman" w:hAnsi="Cambria" w:cs="Times New Roman"/>
      <w:b/>
      <w:bCs/>
      <w:color w:val="000000"/>
      <w:sz w:val="28"/>
      <w:szCs w:val="28"/>
    </w:rPr>
  </w:style>
  <w:style w:type="paragraph" w:styleId="Heading2">
    <w:name w:val="heading 2"/>
    <w:basedOn w:val="Normal"/>
    <w:next w:val="Normal"/>
    <w:link w:val="Heading2Char"/>
    <w:autoRedefine/>
    <w:uiPriority w:val="9"/>
    <w:unhideWhenUsed/>
    <w:qFormat/>
    <w:rsid w:val="008767DF"/>
    <w:pPr>
      <w:keepNext/>
      <w:keepLines/>
      <w:numPr>
        <w:ilvl w:val="1"/>
        <w:numId w:val="6"/>
      </w:numPr>
      <w:spacing w:before="200" w:after="120" w:line="480" w:lineRule="auto"/>
      <w:jc w:val="both"/>
      <w:outlineLvl w:val="1"/>
    </w:pPr>
    <w:rPr>
      <w:rFonts w:asciiTheme="majorHAnsi" w:eastAsia="Times New Roman" w:hAnsiTheme="majorHAnsi" w:cs="Times New Roman"/>
      <w:b/>
      <w:bCs/>
      <w:sz w:val="24"/>
      <w:szCs w:val="26"/>
    </w:rPr>
  </w:style>
  <w:style w:type="paragraph" w:styleId="Heading3">
    <w:name w:val="heading 3"/>
    <w:basedOn w:val="Normal"/>
    <w:next w:val="Normal"/>
    <w:link w:val="Heading3Char"/>
    <w:autoRedefine/>
    <w:uiPriority w:val="9"/>
    <w:unhideWhenUsed/>
    <w:qFormat/>
    <w:rsid w:val="008767DF"/>
    <w:pPr>
      <w:keepNext/>
      <w:keepLines/>
      <w:numPr>
        <w:ilvl w:val="2"/>
        <w:numId w:val="6"/>
      </w:numPr>
      <w:spacing w:before="200" w:after="0" w:line="480" w:lineRule="auto"/>
      <w:jc w:val="both"/>
      <w:outlineLvl w:val="2"/>
    </w:pPr>
    <w:rPr>
      <w:rFonts w:asciiTheme="majorHAnsi" w:eastAsia="Times New Roman" w:hAnsiTheme="majorHAnsi" w:cs="Times New Roman"/>
      <w:b/>
      <w:bCs/>
    </w:rPr>
  </w:style>
  <w:style w:type="paragraph" w:styleId="Heading4">
    <w:name w:val="heading 4"/>
    <w:basedOn w:val="Normal"/>
    <w:next w:val="Normal"/>
    <w:link w:val="Heading4Char"/>
    <w:uiPriority w:val="9"/>
    <w:unhideWhenUsed/>
    <w:qFormat/>
    <w:rsid w:val="008767DF"/>
    <w:pPr>
      <w:keepNext/>
      <w:keepLines/>
      <w:numPr>
        <w:ilvl w:val="3"/>
        <w:numId w:val="6"/>
      </w:numPr>
      <w:spacing w:before="200" w:after="0" w:line="360" w:lineRule="auto"/>
      <w:jc w:val="both"/>
      <w:outlineLvl w:val="3"/>
    </w:pPr>
    <w:rPr>
      <w:rFonts w:ascii="Calibri" w:eastAsia="Times New Roman" w:hAnsi="Calibri" w:cs="Times New Roman"/>
      <w:b/>
      <w:bCs/>
      <w:iCs/>
      <w:color w:val="000000"/>
    </w:rPr>
  </w:style>
  <w:style w:type="paragraph" w:styleId="Heading5">
    <w:name w:val="heading 5"/>
    <w:aliases w:val="Table"/>
    <w:basedOn w:val="NoSpacing"/>
    <w:next w:val="Normal"/>
    <w:link w:val="Heading5Char"/>
    <w:autoRedefine/>
    <w:uiPriority w:val="9"/>
    <w:unhideWhenUsed/>
    <w:qFormat/>
    <w:rsid w:val="008767DF"/>
    <w:pPr>
      <w:keepNext/>
      <w:keepLines/>
      <w:numPr>
        <w:ilvl w:val="4"/>
        <w:numId w:val="6"/>
      </w:numPr>
      <w:spacing w:after="240"/>
      <w:outlineLvl w:val="4"/>
    </w:pPr>
    <w:rPr>
      <w:rFonts w:ascii="Calibri" w:eastAsia="Times New Roman" w:hAnsi="Calibri" w:cs="Times New Roman"/>
      <w:b/>
      <w:color w:val="000000"/>
      <w:lang w:val="de-DE"/>
    </w:rPr>
  </w:style>
  <w:style w:type="paragraph" w:styleId="Heading6">
    <w:name w:val="heading 6"/>
    <w:aliases w:val="Figure"/>
    <w:basedOn w:val="Normal"/>
    <w:next w:val="Normal"/>
    <w:link w:val="Heading6Char"/>
    <w:autoRedefine/>
    <w:uiPriority w:val="9"/>
    <w:unhideWhenUsed/>
    <w:qFormat/>
    <w:rsid w:val="008767DF"/>
    <w:pPr>
      <w:keepNext/>
      <w:keepLines/>
      <w:numPr>
        <w:ilvl w:val="5"/>
        <w:numId w:val="6"/>
      </w:numPr>
      <w:spacing w:after="0" w:line="360" w:lineRule="auto"/>
      <w:outlineLvl w:val="5"/>
    </w:pPr>
    <w:rPr>
      <w:rFonts w:ascii="Calibri" w:eastAsia="Times New Roman" w:hAnsi="Calibri"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7DF"/>
    <w:rPr>
      <w:rFonts w:ascii="Cambria" w:eastAsia="Times New Roman" w:hAnsi="Cambria" w:cs="Times New Roman"/>
      <w:b/>
      <w:bCs/>
      <w:color w:val="000000"/>
      <w:sz w:val="28"/>
      <w:szCs w:val="28"/>
    </w:rPr>
  </w:style>
  <w:style w:type="character" w:customStyle="1" w:styleId="Heading2Char">
    <w:name w:val="Heading 2 Char"/>
    <w:link w:val="Heading2"/>
    <w:uiPriority w:val="9"/>
    <w:rsid w:val="008767DF"/>
    <w:rPr>
      <w:rFonts w:asciiTheme="majorHAnsi" w:eastAsia="Times New Roman" w:hAnsiTheme="majorHAnsi" w:cs="Times New Roman"/>
      <w:b/>
      <w:bCs/>
      <w:sz w:val="24"/>
      <w:szCs w:val="26"/>
    </w:rPr>
  </w:style>
  <w:style w:type="character" w:customStyle="1" w:styleId="Heading3Char">
    <w:name w:val="Heading 3 Char"/>
    <w:link w:val="Heading3"/>
    <w:uiPriority w:val="9"/>
    <w:rsid w:val="008767DF"/>
    <w:rPr>
      <w:rFonts w:asciiTheme="majorHAnsi" w:eastAsia="Times New Roman" w:hAnsiTheme="majorHAnsi" w:cs="Times New Roman"/>
      <w:b/>
      <w:bCs/>
    </w:rPr>
  </w:style>
  <w:style w:type="character" w:customStyle="1" w:styleId="Heading4Char">
    <w:name w:val="Heading 4 Char"/>
    <w:link w:val="Heading4"/>
    <w:uiPriority w:val="9"/>
    <w:rsid w:val="008767DF"/>
    <w:rPr>
      <w:rFonts w:ascii="Calibri" w:eastAsia="Times New Roman" w:hAnsi="Calibri" w:cs="Times New Roman"/>
      <w:b/>
      <w:bCs/>
      <w:iCs/>
      <w:color w:val="000000"/>
    </w:rPr>
  </w:style>
  <w:style w:type="character" w:customStyle="1" w:styleId="Heading5Char">
    <w:name w:val="Heading 5 Char"/>
    <w:aliases w:val="Table Char"/>
    <w:link w:val="Heading5"/>
    <w:uiPriority w:val="9"/>
    <w:rsid w:val="008767DF"/>
    <w:rPr>
      <w:rFonts w:ascii="Calibri" w:eastAsia="Times New Roman" w:hAnsi="Calibri" w:cs="Times New Roman"/>
      <w:b/>
      <w:color w:val="000000"/>
      <w:lang w:val="de-DE"/>
    </w:rPr>
  </w:style>
  <w:style w:type="paragraph" w:styleId="NoSpacing">
    <w:name w:val="No Spacing"/>
    <w:uiPriority w:val="1"/>
    <w:qFormat/>
    <w:rsid w:val="008767DF"/>
    <w:pPr>
      <w:spacing w:after="0" w:line="240" w:lineRule="auto"/>
    </w:pPr>
  </w:style>
  <w:style w:type="character" w:customStyle="1" w:styleId="Heading6Char">
    <w:name w:val="Heading 6 Char"/>
    <w:aliases w:val="Figure Char"/>
    <w:link w:val="Heading6"/>
    <w:uiPriority w:val="9"/>
    <w:rsid w:val="008767DF"/>
    <w:rPr>
      <w:rFonts w:ascii="Calibri" w:eastAsia="Times New Roman" w:hAnsi="Calibri" w:cs="Times New Roman"/>
      <w:b/>
      <w:iCs/>
    </w:rPr>
  </w:style>
  <w:style w:type="paragraph" w:styleId="BalloonText">
    <w:name w:val="Balloon Text"/>
    <w:basedOn w:val="Normal"/>
    <w:link w:val="BalloonTextChar"/>
    <w:uiPriority w:val="99"/>
    <w:semiHidden/>
    <w:unhideWhenUsed/>
    <w:rsid w:val="00ED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B"/>
    <w:rPr>
      <w:rFonts w:ascii="Tahoma" w:hAnsi="Tahoma" w:cs="Tahoma"/>
      <w:sz w:val="16"/>
      <w:szCs w:val="16"/>
    </w:rPr>
  </w:style>
  <w:style w:type="character" w:styleId="CommentReference">
    <w:name w:val="annotation reference"/>
    <w:basedOn w:val="DefaultParagraphFont"/>
    <w:uiPriority w:val="99"/>
    <w:semiHidden/>
    <w:unhideWhenUsed/>
    <w:rsid w:val="003438D3"/>
    <w:rPr>
      <w:sz w:val="16"/>
      <w:szCs w:val="16"/>
    </w:rPr>
  </w:style>
  <w:style w:type="paragraph" w:styleId="CommentText">
    <w:name w:val="annotation text"/>
    <w:basedOn w:val="Normal"/>
    <w:link w:val="CommentTextChar"/>
    <w:uiPriority w:val="99"/>
    <w:semiHidden/>
    <w:unhideWhenUsed/>
    <w:rsid w:val="003438D3"/>
    <w:pPr>
      <w:spacing w:line="240" w:lineRule="auto"/>
    </w:pPr>
    <w:rPr>
      <w:sz w:val="20"/>
      <w:szCs w:val="20"/>
    </w:rPr>
  </w:style>
  <w:style w:type="character" w:customStyle="1" w:styleId="CommentTextChar">
    <w:name w:val="Comment Text Char"/>
    <w:basedOn w:val="DefaultParagraphFont"/>
    <w:link w:val="CommentText"/>
    <w:uiPriority w:val="99"/>
    <w:semiHidden/>
    <w:rsid w:val="003438D3"/>
    <w:rPr>
      <w:sz w:val="20"/>
      <w:szCs w:val="20"/>
    </w:rPr>
  </w:style>
  <w:style w:type="paragraph" w:styleId="CommentSubject">
    <w:name w:val="annotation subject"/>
    <w:basedOn w:val="CommentText"/>
    <w:next w:val="CommentText"/>
    <w:link w:val="CommentSubjectChar"/>
    <w:uiPriority w:val="99"/>
    <w:semiHidden/>
    <w:unhideWhenUsed/>
    <w:rsid w:val="003438D3"/>
    <w:rPr>
      <w:b/>
      <w:bCs/>
    </w:rPr>
  </w:style>
  <w:style w:type="character" w:customStyle="1" w:styleId="CommentSubjectChar">
    <w:name w:val="Comment Subject Char"/>
    <w:basedOn w:val="CommentTextChar"/>
    <w:link w:val="CommentSubject"/>
    <w:uiPriority w:val="99"/>
    <w:semiHidden/>
    <w:rsid w:val="003438D3"/>
    <w:rPr>
      <w:b/>
      <w:bCs/>
      <w:sz w:val="20"/>
      <w:szCs w:val="20"/>
    </w:rPr>
  </w:style>
  <w:style w:type="paragraph" w:styleId="Header">
    <w:name w:val="header"/>
    <w:basedOn w:val="Normal"/>
    <w:link w:val="HeaderChar"/>
    <w:uiPriority w:val="99"/>
    <w:unhideWhenUsed/>
    <w:rsid w:val="0004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11"/>
  </w:style>
  <w:style w:type="paragraph" w:styleId="Footer">
    <w:name w:val="footer"/>
    <w:basedOn w:val="Normal"/>
    <w:link w:val="FooterChar"/>
    <w:uiPriority w:val="99"/>
    <w:unhideWhenUsed/>
    <w:rsid w:val="0004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53">
      <w:bodyDiv w:val="1"/>
      <w:marLeft w:val="0"/>
      <w:marRight w:val="0"/>
      <w:marTop w:val="0"/>
      <w:marBottom w:val="0"/>
      <w:divBdr>
        <w:top w:val="none" w:sz="0" w:space="0" w:color="auto"/>
        <w:left w:val="none" w:sz="0" w:space="0" w:color="auto"/>
        <w:bottom w:val="none" w:sz="0" w:space="0" w:color="auto"/>
        <w:right w:val="none" w:sz="0" w:space="0" w:color="auto"/>
      </w:divBdr>
    </w:div>
    <w:div w:id="146438121">
      <w:bodyDiv w:val="1"/>
      <w:marLeft w:val="0"/>
      <w:marRight w:val="0"/>
      <w:marTop w:val="0"/>
      <w:marBottom w:val="0"/>
      <w:divBdr>
        <w:top w:val="none" w:sz="0" w:space="0" w:color="auto"/>
        <w:left w:val="none" w:sz="0" w:space="0" w:color="auto"/>
        <w:bottom w:val="none" w:sz="0" w:space="0" w:color="auto"/>
        <w:right w:val="none" w:sz="0" w:space="0" w:color="auto"/>
      </w:divBdr>
    </w:div>
    <w:div w:id="293096268">
      <w:bodyDiv w:val="1"/>
      <w:marLeft w:val="0"/>
      <w:marRight w:val="0"/>
      <w:marTop w:val="0"/>
      <w:marBottom w:val="0"/>
      <w:divBdr>
        <w:top w:val="none" w:sz="0" w:space="0" w:color="auto"/>
        <w:left w:val="none" w:sz="0" w:space="0" w:color="auto"/>
        <w:bottom w:val="none" w:sz="0" w:space="0" w:color="auto"/>
        <w:right w:val="none" w:sz="0" w:space="0" w:color="auto"/>
      </w:divBdr>
    </w:div>
    <w:div w:id="340015284">
      <w:bodyDiv w:val="1"/>
      <w:marLeft w:val="0"/>
      <w:marRight w:val="0"/>
      <w:marTop w:val="0"/>
      <w:marBottom w:val="0"/>
      <w:divBdr>
        <w:top w:val="none" w:sz="0" w:space="0" w:color="auto"/>
        <w:left w:val="none" w:sz="0" w:space="0" w:color="auto"/>
        <w:bottom w:val="none" w:sz="0" w:space="0" w:color="auto"/>
        <w:right w:val="none" w:sz="0" w:space="0" w:color="auto"/>
      </w:divBdr>
    </w:div>
    <w:div w:id="487092272">
      <w:bodyDiv w:val="1"/>
      <w:marLeft w:val="0"/>
      <w:marRight w:val="0"/>
      <w:marTop w:val="0"/>
      <w:marBottom w:val="0"/>
      <w:divBdr>
        <w:top w:val="none" w:sz="0" w:space="0" w:color="auto"/>
        <w:left w:val="none" w:sz="0" w:space="0" w:color="auto"/>
        <w:bottom w:val="none" w:sz="0" w:space="0" w:color="auto"/>
        <w:right w:val="none" w:sz="0" w:space="0" w:color="auto"/>
      </w:divBdr>
    </w:div>
    <w:div w:id="625818422">
      <w:bodyDiv w:val="1"/>
      <w:marLeft w:val="0"/>
      <w:marRight w:val="0"/>
      <w:marTop w:val="0"/>
      <w:marBottom w:val="0"/>
      <w:divBdr>
        <w:top w:val="none" w:sz="0" w:space="0" w:color="auto"/>
        <w:left w:val="none" w:sz="0" w:space="0" w:color="auto"/>
        <w:bottom w:val="none" w:sz="0" w:space="0" w:color="auto"/>
        <w:right w:val="none" w:sz="0" w:space="0" w:color="auto"/>
      </w:divBdr>
    </w:div>
    <w:div w:id="661549197">
      <w:bodyDiv w:val="1"/>
      <w:marLeft w:val="0"/>
      <w:marRight w:val="0"/>
      <w:marTop w:val="0"/>
      <w:marBottom w:val="0"/>
      <w:divBdr>
        <w:top w:val="none" w:sz="0" w:space="0" w:color="auto"/>
        <w:left w:val="none" w:sz="0" w:space="0" w:color="auto"/>
        <w:bottom w:val="none" w:sz="0" w:space="0" w:color="auto"/>
        <w:right w:val="none" w:sz="0" w:space="0" w:color="auto"/>
      </w:divBdr>
    </w:div>
    <w:div w:id="745498314">
      <w:bodyDiv w:val="1"/>
      <w:marLeft w:val="0"/>
      <w:marRight w:val="0"/>
      <w:marTop w:val="0"/>
      <w:marBottom w:val="0"/>
      <w:divBdr>
        <w:top w:val="none" w:sz="0" w:space="0" w:color="auto"/>
        <w:left w:val="none" w:sz="0" w:space="0" w:color="auto"/>
        <w:bottom w:val="none" w:sz="0" w:space="0" w:color="auto"/>
        <w:right w:val="none" w:sz="0" w:space="0" w:color="auto"/>
      </w:divBdr>
    </w:div>
    <w:div w:id="773784782">
      <w:bodyDiv w:val="1"/>
      <w:marLeft w:val="0"/>
      <w:marRight w:val="0"/>
      <w:marTop w:val="0"/>
      <w:marBottom w:val="0"/>
      <w:divBdr>
        <w:top w:val="none" w:sz="0" w:space="0" w:color="auto"/>
        <w:left w:val="none" w:sz="0" w:space="0" w:color="auto"/>
        <w:bottom w:val="none" w:sz="0" w:space="0" w:color="auto"/>
        <w:right w:val="none" w:sz="0" w:space="0" w:color="auto"/>
      </w:divBdr>
    </w:div>
    <w:div w:id="829639267">
      <w:bodyDiv w:val="1"/>
      <w:marLeft w:val="0"/>
      <w:marRight w:val="0"/>
      <w:marTop w:val="0"/>
      <w:marBottom w:val="0"/>
      <w:divBdr>
        <w:top w:val="none" w:sz="0" w:space="0" w:color="auto"/>
        <w:left w:val="none" w:sz="0" w:space="0" w:color="auto"/>
        <w:bottom w:val="none" w:sz="0" w:space="0" w:color="auto"/>
        <w:right w:val="none" w:sz="0" w:space="0" w:color="auto"/>
      </w:divBdr>
    </w:div>
    <w:div w:id="1100446099">
      <w:bodyDiv w:val="1"/>
      <w:marLeft w:val="0"/>
      <w:marRight w:val="0"/>
      <w:marTop w:val="0"/>
      <w:marBottom w:val="0"/>
      <w:divBdr>
        <w:top w:val="none" w:sz="0" w:space="0" w:color="auto"/>
        <w:left w:val="none" w:sz="0" w:space="0" w:color="auto"/>
        <w:bottom w:val="none" w:sz="0" w:space="0" w:color="auto"/>
        <w:right w:val="none" w:sz="0" w:space="0" w:color="auto"/>
      </w:divBdr>
    </w:div>
    <w:div w:id="1226836533">
      <w:bodyDiv w:val="1"/>
      <w:marLeft w:val="0"/>
      <w:marRight w:val="0"/>
      <w:marTop w:val="0"/>
      <w:marBottom w:val="0"/>
      <w:divBdr>
        <w:top w:val="none" w:sz="0" w:space="0" w:color="auto"/>
        <w:left w:val="none" w:sz="0" w:space="0" w:color="auto"/>
        <w:bottom w:val="none" w:sz="0" w:space="0" w:color="auto"/>
        <w:right w:val="none" w:sz="0" w:space="0" w:color="auto"/>
      </w:divBdr>
    </w:div>
    <w:div w:id="1244756375">
      <w:bodyDiv w:val="1"/>
      <w:marLeft w:val="0"/>
      <w:marRight w:val="0"/>
      <w:marTop w:val="0"/>
      <w:marBottom w:val="0"/>
      <w:divBdr>
        <w:top w:val="none" w:sz="0" w:space="0" w:color="auto"/>
        <w:left w:val="none" w:sz="0" w:space="0" w:color="auto"/>
        <w:bottom w:val="none" w:sz="0" w:space="0" w:color="auto"/>
        <w:right w:val="none" w:sz="0" w:space="0" w:color="auto"/>
      </w:divBdr>
    </w:div>
    <w:div w:id="1245647183">
      <w:bodyDiv w:val="1"/>
      <w:marLeft w:val="0"/>
      <w:marRight w:val="0"/>
      <w:marTop w:val="0"/>
      <w:marBottom w:val="0"/>
      <w:divBdr>
        <w:top w:val="none" w:sz="0" w:space="0" w:color="auto"/>
        <w:left w:val="none" w:sz="0" w:space="0" w:color="auto"/>
        <w:bottom w:val="none" w:sz="0" w:space="0" w:color="auto"/>
        <w:right w:val="none" w:sz="0" w:space="0" w:color="auto"/>
      </w:divBdr>
    </w:div>
    <w:div w:id="1251618847">
      <w:bodyDiv w:val="1"/>
      <w:marLeft w:val="0"/>
      <w:marRight w:val="0"/>
      <w:marTop w:val="0"/>
      <w:marBottom w:val="0"/>
      <w:divBdr>
        <w:top w:val="none" w:sz="0" w:space="0" w:color="auto"/>
        <w:left w:val="none" w:sz="0" w:space="0" w:color="auto"/>
        <w:bottom w:val="none" w:sz="0" w:space="0" w:color="auto"/>
        <w:right w:val="none" w:sz="0" w:space="0" w:color="auto"/>
      </w:divBdr>
    </w:div>
    <w:div w:id="1321348151">
      <w:bodyDiv w:val="1"/>
      <w:marLeft w:val="0"/>
      <w:marRight w:val="0"/>
      <w:marTop w:val="0"/>
      <w:marBottom w:val="0"/>
      <w:divBdr>
        <w:top w:val="none" w:sz="0" w:space="0" w:color="auto"/>
        <w:left w:val="none" w:sz="0" w:space="0" w:color="auto"/>
        <w:bottom w:val="none" w:sz="0" w:space="0" w:color="auto"/>
        <w:right w:val="none" w:sz="0" w:space="0" w:color="auto"/>
      </w:divBdr>
    </w:div>
    <w:div w:id="1350448175">
      <w:bodyDiv w:val="1"/>
      <w:marLeft w:val="0"/>
      <w:marRight w:val="0"/>
      <w:marTop w:val="0"/>
      <w:marBottom w:val="0"/>
      <w:divBdr>
        <w:top w:val="none" w:sz="0" w:space="0" w:color="auto"/>
        <w:left w:val="none" w:sz="0" w:space="0" w:color="auto"/>
        <w:bottom w:val="none" w:sz="0" w:space="0" w:color="auto"/>
        <w:right w:val="none" w:sz="0" w:space="0" w:color="auto"/>
      </w:divBdr>
    </w:div>
    <w:div w:id="1393308535">
      <w:bodyDiv w:val="1"/>
      <w:marLeft w:val="0"/>
      <w:marRight w:val="0"/>
      <w:marTop w:val="0"/>
      <w:marBottom w:val="0"/>
      <w:divBdr>
        <w:top w:val="none" w:sz="0" w:space="0" w:color="auto"/>
        <w:left w:val="none" w:sz="0" w:space="0" w:color="auto"/>
        <w:bottom w:val="none" w:sz="0" w:space="0" w:color="auto"/>
        <w:right w:val="none" w:sz="0" w:space="0" w:color="auto"/>
      </w:divBdr>
    </w:div>
    <w:div w:id="1549685730">
      <w:bodyDiv w:val="1"/>
      <w:marLeft w:val="0"/>
      <w:marRight w:val="0"/>
      <w:marTop w:val="0"/>
      <w:marBottom w:val="0"/>
      <w:divBdr>
        <w:top w:val="none" w:sz="0" w:space="0" w:color="auto"/>
        <w:left w:val="none" w:sz="0" w:space="0" w:color="auto"/>
        <w:bottom w:val="none" w:sz="0" w:space="0" w:color="auto"/>
        <w:right w:val="none" w:sz="0" w:space="0" w:color="auto"/>
      </w:divBdr>
    </w:div>
    <w:div w:id="1660646317">
      <w:bodyDiv w:val="1"/>
      <w:marLeft w:val="0"/>
      <w:marRight w:val="0"/>
      <w:marTop w:val="0"/>
      <w:marBottom w:val="0"/>
      <w:divBdr>
        <w:top w:val="none" w:sz="0" w:space="0" w:color="auto"/>
        <w:left w:val="none" w:sz="0" w:space="0" w:color="auto"/>
        <w:bottom w:val="none" w:sz="0" w:space="0" w:color="auto"/>
        <w:right w:val="none" w:sz="0" w:space="0" w:color="auto"/>
      </w:divBdr>
    </w:div>
    <w:div w:id="1733695831">
      <w:bodyDiv w:val="1"/>
      <w:marLeft w:val="0"/>
      <w:marRight w:val="0"/>
      <w:marTop w:val="0"/>
      <w:marBottom w:val="0"/>
      <w:divBdr>
        <w:top w:val="none" w:sz="0" w:space="0" w:color="auto"/>
        <w:left w:val="none" w:sz="0" w:space="0" w:color="auto"/>
        <w:bottom w:val="none" w:sz="0" w:space="0" w:color="auto"/>
        <w:right w:val="none" w:sz="0" w:space="0" w:color="auto"/>
      </w:divBdr>
    </w:div>
    <w:div w:id="1736977016">
      <w:bodyDiv w:val="1"/>
      <w:marLeft w:val="0"/>
      <w:marRight w:val="0"/>
      <w:marTop w:val="0"/>
      <w:marBottom w:val="0"/>
      <w:divBdr>
        <w:top w:val="none" w:sz="0" w:space="0" w:color="auto"/>
        <w:left w:val="none" w:sz="0" w:space="0" w:color="auto"/>
        <w:bottom w:val="none" w:sz="0" w:space="0" w:color="auto"/>
        <w:right w:val="none" w:sz="0" w:space="0" w:color="auto"/>
      </w:divBdr>
    </w:div>
    <w:div w:id="1822430157">
      <w:bodyDiv w:val="1"/>
      <w:marLeft w:val="0"/>
      <w:marRight w:val="0"/>
      <w:marTop w:val="0"/>
      <w:marBottom w:val="0"/>
      <w:divBdr>
        <w:top w:val="none" w:sz="0" w:space="0" w:color="auto"/>
        <w:left w:val="none" w:sz="0" w:space="0" w:color="auto"/>
        <w:bottom w:val="none" w:sz="0" w:space="0" w:color="auto"/>
        <w:right w:val="none" w:sz="0" w:space="0" w:color="auto"/>
      </w:divBdr>
    </w:div>
    <w:div w:id="1856728832">
      <w:bodyDiv w:val="1"/>
      <w:marLeft w:val="0"/>
      <w:marRight w:val="0"/>
      <w:marTop w:val="0"/>
      <w:marBottom w:val="0"/>
      <w:divBdr>
        <w:top w:val="none" w:sz="0" w:space="0" w:color="auto"/>
        <w:left w:val="none" w:sz="0" w:space="0" w:color="auto"/>
        <w:bottom w:val="none" w:sz="0" w:space="0" w:color="auto"/>
        <w:right w:val="none" w:sz="0" w:space="0" w:color="auto"/>
      </w:divBdr>
    </w:div>
    <w:div w:id="21330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dc:creator>
  <cp:lastModifiedBy>Karthiga Dhakshnamurthy, Integra-PDY, IN</cp:lastModifiedBy>
  <cp:revision>2</cp:revision>
  <dcterms:created xsi:type="dcterms:W3CDTF">2018-08-18T07:32:00Z</dcterms:created>
  <dcterms:modified xsi:type="dcterms:W3CDTF">2018-08-18T07:32:00Z</dcterms:modified>
</cp:coreProperties>
</file>