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47D" w:rsidRPr="00BE7425" w:rsidRDefault="008251FB">
      <w:pPr>
        <w:rPr>
          <w:b/>
        </w:rPr>
      </w:pPr>
      <w:r w:rsidRPr="00BE7425">
        <w:rPr>
          <w:b/>
        </w:rPr>
        <w:t>A</w:t>
      </w:r>
      <w:r w:rsidR="004D6AC1" w:rsidRPr="00BE7425">
        <w:rPr>
          <w:b/>
        </w:rPr>
        <w:t xml:space="preserve">ppendix 1. Main assumptions </w:t>
      </w:r>
      <w:r w:rsidR="00D1375C" w:rsidRPr="00BE7425">
        <w:rPr>
          <w:b/>
        </w:rPr>
        <w:t>for the calculation of the energy balances of Les Oluges in 1860, 1959 and 1999.</w:t>
      </w:r>
    </w:p>
    <w:p w:rsidR="00BE7425" w:rsidRDefault="00701866" w:rsidP="00657EBA">
      <w:pPr>
        <w:spacing w:line="360" w:lineRule="auto"/>
      </w:pPr>
      <w:r w:rsidRPr="00701866">
        <w:t xml:space="preserve">The calculation of the energy balances of Les Oluges has been made following </w:t>
      </w:r>
      <w:r>
        <w:t xml:space="preserve">some of the main criteria and assumptions made in the previous study of Vallès (see the Supplementary Material </w:t>
      </w:r>
      <w:r w:rsidR="00D805CD">
        <w:t xml:space="preserve">in </w:t>
      </w:r>
      <w:r w:rsidR="00D805CD">
        <w:fldChar w:fldCharType="begin" w:fldLock="1"/>
      </w:r>
      <w:r w:rsidR="00542C8D">
        <w:instrText>ADDIN CSL_CITATION { "citationItems" : [ { "id" : "ITEM-1", "itemData" : { "author" : [ { "dropping-particle" : "", "family" : "Marco", "given" : "In\u00e9s", "non-dropping-particle" : "", "parse-names" : false, "suffix" : "" }, { "dropping-particle" : "", "family" : "Padr\u00f3", "given" : "Roc", "non-dropping-particle" : "", "parse-names" : false, "suffix" : "" }, { "dropping-particle" : "", "family" : "Cattaneo", "given" : "Claudio", "non-dropping-particle" : "", "parse-names" : false, "suffix" : "" }, { "dropping-particle" : "", "family" : "Caravaca", "given" : "Jonathan", "non-dropping-particle" : "", "parse-names" : false, "suffix" : "" }, { "dropping-particle" : "", "family" : "Tello", "given" : "Enric", "non-dropping-particle" : "", "parse-names" : false, "suffix" : "" } ], "container-title" : "Global Environmental Change", "id" : "ITEM-1", "issued" : { "date-parts" : [ [ "2017" ] ] }, "title" : "From vineyards to feedlots: A fund-flow scanning of sociometabolic transitions in the Vall\u00e8s County (Catalonia) (1860-1956-1999)", "type" : "article-journal" }, "uris" : [ "http://www.mendeley.com/documents/?uuid=a80dbcff-bac9-4913-90be-3ce257e77d82" ] } ], "mendeley" : { "formattedCitation" : "(Marco, Padr\u00f3, Cattaneo, Caravaca, &amp; Tello, 2017)", "manualFormatting" : "Marco, Padr\u00f3, Cattaneo, Caravaca, &amp; Tello, 2017)", "plainTextFormattedCitation" : "(Marco, Padr\u00f3, Cattaneo, Caravaca, &amp; Tello, 2017)", "previouslyFormattedCitation" : "(Marco, Padr\u00f3, Cattaneo, Caravaca, &amp; Tello, 2017)" }, "properties" : {  }, "schema" : "https://github.com/citation-style-language/schema/raw/master/csl-citation.json" }</w:instrText>
      </w:r>
      <w:r w:rsidR="00D805CD">
        <w:fldChar w:fldCharType="separate"/>
      </w:r>
      <w:r w:rsidR="00D805CD" w:rsidRPr="00D805CD">
        <w:rPr>
          <w:noProof/>
        </w:rPr>
        <w:t>Marco, Padró, Cattaneo, Caravaca, &amp; Tello, 2017)</w:t>
      </w:r>
      <w:r w:rsidR="00D805CD">
        <w:fldChar w:fldCharType="end"/>
      </w:r>
      <w:r w:rsidR="00D805CD">
        <w:t xml:space="preserve"> and the working papers </w:t>
      </w:r>
      <w:r w:rsidR="00D805CD">
        <w:fldChar w:fldCharType="begin" w:fldLock="1"/>
      </w:r>
      <w:r w:rsidR="00542C8D">
        <w:instrText>ADDIN CSL_CITATION { "citationItems" : [ { "id" : "ITEM-1", "itemData" : { "author" : [ { "dropping-particle" : "", "family" : "Guzm\u00e1n", "given" : "Gloria I.", "non-dropping-particle" : "", "parse-names" : false, "suffix" : "" }, { "dropping-particle" : "", "family" : "Aguilera", "given" : "Eduardo", "non-dropping-particle" : "", "parse-names" : false, "suffix" : "" }, { "dropping-particle" : "", "family" : "Soto", "given" : "David", "non-dropping-particle" : "", "parse-names" : false, "suffix" : "" }, { "dropping-particle" : "", "family" : "Cid", "given" : "A", "non-dropping-particle" : "", "parse-names" : false, "suffix" : "" }, { "dropping-particle" : "", "family" : "Infante", "given" : "Juan", "non-dropping-particle" : "", "parse-names" : false, "suffix" : "" }, { "dropping-particle" : "", "family" : "Garcia-Ruiz", "given" : "R", "non-dropping-particle" : "", "parse-names" : false, "suffix" : "" }, { "dropping-particle" : "", "family" : "Herrera", "given" : "Carlos", "non-dropping-particle" : "", "parse-names" : false, "suffix" : "" }, { "dropping-particle" : "", "family" : "Villa", "given" : "Inmaculada", "non-dropping-particle" : "", "parse-names" : false, "suffix" : "" }, { "dropping-particle" : "", "family" : "Gonz\u00e1lez de Molina", "given" : "Manuel", "non-dropping-particle" : "", "parse-names" : false, "suffix" : "" } ], "id" : "ITEM-1", "issued" : { "date-parts" : [ [ "2014" ] ] }, "number" : "1407", "number-of-pages" : "68", "title" : "Methodology and conversion factors to estimate the net primary productivity of historical and contemporary agroecosystems (I)", "type" : "report" }, "uris" : [ "http://www.mendeley.com/documents/?uuid=542036ed-f8ff-4e9e-9249-167b7a12e2f1" ] }, { "id" : "ITEM-2", "itemData" : { "abstract" : "00001", "author" : [ { "dropping-particle" : "", "family" : "Aguilera", "given" : "Eduardo", "non-dropping-particle" : "", "parse-names" : false, "suffix" : "" }, { "dropping-particle" : "", "family" : "Guzm\u00e1n", "given" : "Gloria I", "non-dropping-particle" : "", "parse-names" : false, "suffix" : "" }, { "dropping-particle" : "", "family" : "Infante-amate", "given" : "Juan", "non-dropping-particle" : "", "parse-names" : false, "suffix" : "" }, { "dropping-particle" : "", "family" : "Garc\u00eda-ruiz", "given" : "Roberto", "non-dropping-particle" : "", "parse-names" : false, "suffix" : "" }, { "dropping-particle" : "", "family" : "Herrera", "given" : "Antonio", "non-dropping-particle" : "", "parse-names" : false, "suffix" : "" }, { "dropping-particle" : "", "family" : "Villa", "given" : "Inmaculada", "non-dropping-particle" : "", "parse-names" : false, "suffix" : "" } ], "id" : "ITEM-2", "issued" : { "date-parts" : [ [ "2015" ] ] }, "number-of-pages" : "123", "title" : "Embodied Energy in Agricultural Inputs. Incorporating a historical perspective", "type" : "report" }, "uris" : [ "http://www.mendeley.com/documents/?uuid=34d50810-66bb-4ed8-9a8c-12917fa0d882" ] }, { "id" : "ITEM-3", "itemData" : { "author" : [ { "dropping-particle" : "", "family" : "Amate", "given" : "Juan Infante", "non-dropping-particle" : "", "parse-names" : false, "suffix" : "" }, { "dropping-particle" : "", "family" : "Aguilera", "given" : "Eduardo", "non-dropping-particle" : "", "parse-names" : false, "suffix" : "" }, { "dropping-particle" : "De", "family" : "Molina", "given" : "Manuel Gonz\u00e1lez", "non-dropping-particle" : "", "parse-names" : false, "suffix" : "" } ], "id" : "ITEM-3", "issued" : { "date-parts" : [ [ "2014" ] ] }, "number-of-pages" : "59", "title" : "Sociedad Espa\u00f1ola de Historia Agraria - Documentos de Trabajo", "type" : "report", "volume" : "03" }, "uris" : [ "http://www.mendeley.com/documents/?uuid=80a7df06-9098-485c-9df1-05ee07a215f2" ] } ], "mendeley" : { "formattedCitation" : "(Aguilera et al., 2015; Amate, Aguilera, &amp; Molina, 2014; Guzm\u00e1n et al., 2014)", "manualFormatting" : "of Aguilera et al., (2015) and Guzm\u00e1n et al. (2014)", "plainTextFormattedCitation" : "(Aguilera et al., 2015; Amate, Aguilera, &amp; Molina, 2014; Guzm\u00e1n et al., 2014)", "previouslyFormattedCitation" : "(Aguilera et al., 2015; Amate, Aguilera, &amp; Molina, 2014; Guzm\u00e1n et al., 2014)" }, "properties" : {  }, "schema" : "https://github.com/citation-style-language/schema/raw/master/csl-citation.json" }</w:instrText>
      </w:r>
      <w:r w:rsidR="00D805CD">
        <w:fldChar w:fldCharType="separate"/>
      </w:r>
      <w:r w:rsidR="00D805CD">
        <w:rPr>
          <w:noProof/>
        </w:rPr>
        <w:t>of Aguilera et al., (2015) and Guzmán et al. (</w:t>
      </w:r>
      <w:r w:rsidR="00D805CD" w:rsidRPr="00D805CD">
        <w:rPr>
          <w:noProof/>
        </w:rPr>
        <w:t>2014)</w:t>
      </w:r>
      <w:r w:rsidR="00D805CD">
        <w:fldChar w:fldCharType="end"/>
      </w:r>
      <w:r w:rsidR="00D805CD">
        <w:t>. We mainly</w:t>
      </w:r>
      <w:r>
        <w:t xml:space="preserve"> followed </w:t>
      </w:r>
      <w:r w:rsidR="00A9146C">
        <w:t>this</w:t>
      </w:r>
      <w:r>
        <w:t xml:space="preserve"> methodology </w:t>
      </w:r>
      <w:r w:rsidR="00684985">
        <w:t>for calculating by-products, livestock produce and human diets,</w:t>
      </w:r>
      <w:r w:rsidR="00BE7425">
        <w:t xml:space="preserve"> applying </w:t>
      </w:r>
      <w:r w:rsidR="00A9146C">
        <w:t>the</w:t>
      </w:r>
      <w:r w:rsidR="00684985">
        <w:t xml:space="preserve"> estimates to the original data we had about the main produce, livestock composition and population of Les Oluges</w:t>
      </w:r>
      <w:r w:rsidR="00A9146C">
        <w:t xml:space="preserve"> in the different points of time</w:t>
      </w:r>
      <w:r w:rsidR="00684985">
        <w:t>. However, the agroecosystem of Les Oluges had its own distinctive feat</w:t>
      </w:r>
      <w:r w:rsidR="00BE7425">
        <w:t xml:space="preserve">ures, which have been </w:t>
      </w:r>
      <w:r w:rsidR="00D805CD">
        <w:t>represented as faithfully</w:t>
      </w:r>
      <w:r w:rsidR="00BE7425">
        <w:t xml:space="preserve"> as</w:t>
      </w:r>
      <w:r w:rsidR="00E77958">
        <w:t xml:space="preserve"> the availability of data allowed</w:t>
      </w:r>
      <w:r w:rsidR="00BE7425">
        <w:t xml:space="preserve">. </w:t>
      </w:r>
    </w:p>
    <w:p w:rsidR="006E64DA" w:rsidRDefault="00990BCE" w:rsidP="00657EBA">
      <w:pPr>
        <w:spacing w:line="360" w:lineRule="auto"/>
      </w:pPr>
      <w:r>
        <w:t xml:space="preserve">The main raw data from which we started to build the energy profile of Les Oluges comes, first, from the </w:t>
      </w:r>
      <w:r w:rsidR="00D805CD">
        <w:t xml:space="preserve">land </w:t>
      </w:r>
      <w:r w:rsidR="006E64DA">
        <w:t>uses detailed in the text, to wh</w:t>
      </w:r>
      <w:r w:rsidR="00D805CD">
        <w:t>ich</w:t>
      </w:r>
      <w:r w:rsidR="006E64DA">
        <w:t xml:space="preserve"> we add</w:t>
      </w:r>
      <w:r w:rsidR="00A9146C">
        <w:t>ed</w:t>
      </w:r>
      <w:r w:rsidR="006E64DA">
        <w:t xml:space="preserve"> their productivity, obtained </w:t>
      </w:r>
      <w:r w:rsidR="009835AE">
        <w:t>from the local records and surveys</w:t>
      </w:r>
      <w:r w:rsidR="006E64DA">
        <w:t xml:space="preserve"> or from</w:t>
      </w:r>
      <w:r w:rsidR="009835AE">
        <w:t xml:space="preserve"> provincial records</w:t>
      </w:r>
      <w:r w:rsidR="006E64DA">
        <w:t xml:space="preserve">. Table 1 shows the </w:t>
      </w:r>
      <w:r w:rsidR="00DA45C8">
        <w:t xml:space="preserve">production </w:t>
      </w:r>
      <w:r w:rsidR="009835AE">
        <w:t>of farmland in Les Oluges in physical terms.</w:t>
      </w:r>
    </w:p>
    <w:p w:rsidR="00421B2B" w:rsidRDefault="00421B2B" w:rsidP="00657EBA">
      <w:pPr>
        <w:spacing w:line="360" w:lineRule="auto"/>
      </w:pPr>
      <w:r>
        <w:t xml:space="preserve">Additionally, we estimated the NPPact of the agroecosystem of Les Oluges considering not only the above-ground biomass, but also the below-ground biomass produced by the agroecosystem. Below-ground biomass was estimated following Guzmán et al. (2014) and refers to the roots of the trees and plants grown in the farmland. This is an important component of the phytomass produced, since it represents 48%, 35% and 20% of the NPPact of Les Oluges in 1860, 1959 and 1999 respectively.  </w:t>
      </w:r>
      <w:bookmarkStart w:id="0" w:name="_GoBack"/>
      <w:bookmarkEnd w:id="0"/>
    </w:p>
    <w:p w:rsidR="00421B2B" w:rsidRDefault="00421B2B" w:rsidP="00657EBA">
      <w:pPr>
        <w:spacing w:line="360" w:lineRule="auto"/>
      </w:pPr>
    </w:p>
    <w:p w:rsidR="005A6825" w:rsidRDefault="009835AE" w:rsidP="00657EBA">
      <w:pPr>
        <w:spacing w:line="360" w:lineRule="auto"/>
      </w:pPr>
      <w:r>
        <w:t xml:space="preserve">Table 1: Farmland production in Les Oluges in </w:t>
      </w:r>
      <w:r w:rsidR="001666FB">
        <w:t xml:space="preserve">1860, 1959 and 1999; according to our estimations. </w:t>
      </w:r>
      <w:r>
        <w:t xml:space="preserve"> </w:t>
      </w:r>
    </w:p>
    <w:tbl>
      <w:tblPr>
        <w:tblW w:w="8505" w:type="dxa"/>
        <w:tblCellMar>
          <w:left w:w="0" w:type="dxa"/>
          <w:right w:w="0" w:type="dxa"/>
        </w:tblCellMar>
        <w:tblLook w:val="0600" w:firstRow="0" w:lastRow="0" w:firstColumn="0" w:lastColumn="0" w:noHBand="1" w:noVBand="1"/>
      </w:tblPr>
      <w:tblGrid>
        <w:gridCol w:w="1410"/>
        <w:gridCol w:w="1608"/>
        <w:gridCol w:w="2207"/>
        <w:gridCol w:w="1068"/>
        <w:gridCol w:w="1068"/>
        <w:gridCol w:w="1144"/>
      </w:tblGrid>
      <w:tr w:rsidR="005A6825" w:rsidRPr="008145A1" w:rsidTr="009B6594">
        <w:trPr>
          <w:trHeight w:val="691"/>
        </w:trPr>
        <w:tc>
          <w:tcPr>
            <w:tcW w:w="8920" w:type="dxa"/>
            <w:gridSpan w:val="3"/>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0" w:type="dxa"/>
              <w:right w:w="15" w:type="dxa"/>
            </w:tcMar>
            <w:vAlign w:val="center"/>
            <w:hideMark/>
          </w:tcPr>
          <w:p w:rsidR="005A6825" w:rsidRPr="008145A1" w:rsidRDefault="005A6825" w:rsidP="009B6594">
            <w:pPr>
              <w:spacing w:after="0" w:line="276" w:lineRule="auto"/>
              <w:jc w:val="center"/>
              <w:rPr>
                <w:rFonts w:cs="Times New Roman"/>
                <w:szCs w:val="24"/>
              </w:rPr>
            </w:pPr>
            <w:r w:rsidRPr="008145A1">
              <w:rPr>
                <w:rFonts w:cs="Times New Roman"/>
                <w:b/>
                <w:bCs/>
                <w:szCs w:val="24"/>
              </w:rPr>
              <w:t xml:space="preserve">FARMLAND PRODUCTION </w:t>
            </w:r>
          </w:p>
        </w:tc>
        <w:tc>
          <w:tcPr>
            <w:tcW w:w="192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5" w:type="dxa"/>
              <w:bottom w:w="0" w:type="dxa"/>
              <w:right w:w="15" w:type="dxa"/>
            </w:tcMar>
            <w:vAlign w:val="center"/>
            <w:hideMark/>
          </w:tcPr>
          <w:p w:rsidR="005A6825" w:rsidRPr="008145A1" w:rsidRDefault="005A6825" w:rsidP="009B6594">
            <w:pPr>
              <w:spacing w:after="0" w:line="276" w:lineRule="auto"/>
              <w:jc w:val="center"/>
              <w:rPr>
                <w:rFonts w:cs="Times New Roman"/>
                <w:szCs w:val="24"/>
              </w:rPr>
            </w:pPr>
            <w:r w:rsidRPr="008145A1">
              <w:rPr>
                <w:rFonts w:cs="Times New Roman"/>
                <w:b/>
                <w:bCs/>
                <w:szCs w:val="24"/>
              </w:rPr>
              <w:t>1860</w:t>
            </w:r>
          </w:p>
        </w:tc>
        <w:tc>
          <w:tcPr>
            <w:tcW w:w="192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5" w:type="dxa"/>
              <w:bottom w:w="0" w:type="dxa"/>
              <w:right w:w="15" w:type="dxa"/>
            </w:tcMar>
            <w:vAlign w:val="center"/>
            <w:hideMark/>
          </w:tcPr>
          <w:p w:rsidR="005A6825" w:rsidRPr="008145A1" w:rsidRDefault="005A6825" w:rsidP="009B6594">
            <w:pPr>
              <w:spacing w:after="0" w:line="276" w:lineRule="auto"/>
              <w:jc w:val="center"/>
              <w:rPr>
                <w:rFonts w:cs="Times New Roman"/>
                <w:szCs w:val="24"/>
              </w:rPr>
            </w:pPr>
            <w:r w:rsidRPr="008145A1">
              <w:rPr>
                <w:rFonts w:cs="Times New Roman"/>
                <w:b/>
                <w:bCs/>
                <w:szCs w:val="24"/>
              </w:rPr>
              <w:t>1959</w:t>
            </w:r>
          </w:p>
        </w:tc>
        <w:tc>
          <w:tcPr>
            <w:tcW w:w="192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5" w:type="dxa"/>
              <w:bottom w:w="0" w:type="dxa"/>
              <w:right w:w="15" w:type="dxa"/>
            </w:tcMar>
            <w:vAlign w:val="center"/>
            <w:hideMark/>
          </w:tcPr>
          <w:p w:rsidR="005A6825" w:rsidRPr="008145A1" w:rsidRDefault="005A6825" w:rsidP="009B6594">
            <w:pPr>
              <w:spacing w:after="0" w:line="276" w:lineRule="auto"/>
              <w:jc w:val="center"/>
              <w:rPr>
                <w:rFonts w:cs="Times New Roman"/>
                <w:szCs w:val="24"/>
              </w:rPr>
            </w:pPr>
            <w:r w:rsidRPr="008145A1">
              <w:rPr>
                <w:rFonts w:cs="Times New Roman"/>
                <w:b/>
                <w:bCs/>
                <w:szCs w:val="24"/>
              </w:rPr>
              <w:t>1999</w:t>
            </w:r>
          </w:p>
        </w:tc>
      </w:tr>
      <w:tr w:rsidR="005A6825" w:rsidRPr="008145A1" w:rsidTr="009B6594">
        <w:trPr>
          <w:trHeight w:val="323"/>
        </w:trPr>
        <w:tc>
          <w:tcPr>
            <w:tcW w:w="24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5A6825" w:rsidRPr="008145A1" w:rsidRDefault="005A6825" w:rsidP="009B6594">
            <w:pPr>
              <w:spacing w:after="0" w:line="276" w:lineRule="auto"/>
              <w:jc w:val="center"/>
              <w:rPr>
                <w:rFonts w:cs="Times New Roman"/>
                <w:szCs w:val="24"/>
              </w:rPr>
            </w:pPr>
            <w:r w:rsidRPr="008145A1">
              <w:rPr>
                <w:rFonts w:cs="Times New Roman"/>
                <w:b/>
                <w:bCs/>
                <w:szCs w:val="24"/>
              </w:rPr>
              <w:t>Yield (dry matter, kg/ha)</w:t>
            </w:r>
          </w:p>
        </w:tc>
        <w:tc>
          <w:tcPr>
            <w:tcW w:w="24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5A6825" w:rsidRPr="008145A1" w:rsidRDefault="005A6825" w:rsidP="009B6594">
            <w:pPr>
              <w:spacing w:after="0" w:line="276" w:lineRule="auto"/>
              <w:jc w:val="center"/>
              <w:rPr>
                <w:rFonts w:cs="Times New Roman"/>
                <w:szCs w:val="24"/>
              </w:rPr>
            </w:pPr>
            <w:r w:rsidRPr="008145A1">
              <w:rPr>
                <w:rFonts w:cs="Times New Roman"/>
                <w:b/>
                <w:bCs/>
                <w:szCs w:val="24"/>
              </w:rPr>
              <w:t>Vegetable garden</w:t>
            </w:r>
          </w:p>
        </w:tc>
        <w:tc>
          <w:tcPr>
            <w:tcW w:w="3960" w:type="dxa"/>
            <w:tcBorders>
              <w:top w:val="single" w:sz="8" w:space="0" w:color="000000"/>
              <w:left w:val="single" w:sz="8" w:space="0" w:color="000000"/>
              <w:bottom w:val="single" w:sz="8" w:space="0" w:color="FFFFFF"/>
              <w:right w:val="single" w:sz="8" w:space="0" w:color="000000"/>
            </w:tcBorders>
            <w:shd w:val="clear" w:color="auto" w:fill="FFFFFF"/>
            <w:tcMar>
              <w:top w:w="15" w:type="dxa"/>
              <w:left w:w="113" w:type="dxa"/>
              <w:bottom w:w="0" w:type="dxa"/>
              <w:right w:w="15" w:type="dxa"/>
            </w:tcMar>
            <w:vAlign w:val="center"/>
            <w:hideMark/>
          </w:tcPr>
          <w:p w:rsidR="005A6825" w:rsidRPr="008145A1" w:rsidRDefault="005A6825" w:rsidP="009B6594">
            <w:pPr>
              <w:spacing w:after="0" w:line="276" w:lineRule="auto"/>
              <w:jc w:val="center"/>
              <w:rPr>
                <w:rFonts w:cs="Times New Roman"/>
                <w:szCs w:val="24"/>
              </w:rPr>
            </w:pPr>
            <w:r w:rsidRPr="008145A1">
              <w:rPr>
                <w:rFonts w:cs="Times New Roman"/>
                <w:szCs w:val="24"/>
              </w:rPr>
              <w:t>Main produce</w:t>
            </w:r>
          </w:p>
        </w:tc>
        <w:tc>
          <w:tcPr>
            <w:tcW w:w="1920" w:type="dxa"/>
            <w:tcBorders>
              <w:top w:val="single" w:sz="8" w:space="0" w:color="000000"/>
              <w:left w:val="single" w:sz="8" w:space="0" w:color="000000"/>
              <w:bottom w:val="single" w:sz="8" w:space="0" w:color="FFFFFF"/>
              <w:right w:val="single" w:sz="8" w:space="0" w:color="000000"/>
            </w:tcBorders>
            <w:shd w:val="clear" w:color="auto" w:fill="FFFFFF"/>
            <w:tcMar>
              <w:top w:w="15" w:type="dxa"/>
              <w:left w:w="15" w:type="dxa"/>
              <w:bottom w:w="0" w:type="dxa"/>
              <w:right w:w="15" w:type="dxa"/>
            </w:tcMar>
            <w:vAlign w:val="center"/>
            <w:hideMark/>
          </w:tcPr>
          <w:p w:rsidR="005A6825" w:rsidRPr="008145A1" w:rsidRDefault="00CE2B4C" w:rsidP="009B6594">
            <w:pPr>
              <w:spacing w:after="0" w:line="276" w:lineRule="auto"/>
              <w:jc w:val="center"/>
              <w:rPr>
                <w:rFonts w:cs="Times New Roman"/>
                <w:szCs w:val="24"/>
              </w:rPr>
            </w:pPr>
            <w:r>
              <w:rPr>
                <w:rFonts w:cs="Times New Roman"/>
                <w:szCs w:val="24"/>
              </w:rPr>
              <w:t>825</w:t>
            </w:r>
          </w:p>
        </w:tc>
        <w:tc>
          <w:tcPr>
            <w:tcW w:w="1920" w:type="dxa"/>
            <w:tcBorders>
              <w:top w:val="single" w:sz="8" w:space="0" w:color="000000"/>
              <w:left w:val="single" w:sz="8" w:space="0" w:color="000000"/>
              <w:bottom w:val="single" w:sz="8" w:space="0" w:color="FFFFFF"/>
              <w:right w:val="single" w:sz="8" w:space="0" w:color="000000"/>
            </w:tcBorders>
            <w:shd w:val="clear" w:color="auto" w:fill="FFFFFF"/>
            <w:tcMar>
              <w:top w:w="15" w:type="dxa"/>
              <w:left w:w="15" w:type="dxa"/>
              <w:bottom w:w="0" w:type="dxa"/>
              <w:right w:w="15" w:type="dxa"/>
            </w:tcMar>
            <w:vAlign w:val="center"/>
            <w:hideMark/>
          </w:tcPr>
          <w:p w:rsidR="005A6825" w:rsidRPr="008145A1" w:rsidRDefault="00CE2B4C" w:rsidP="009B6594">
            <w:pPr>
              <w:spacing w:after="0" w:line="276" w:lineRule="auto"/>
              <w:jc w:val="center"/>
              <w:rPr>
                <w:rFonts w:cs="Times New Roman"/>
                <w:szCs w:val="24"/>
              </w:rPr>
            </w:pPr>
            <w:r>
              <w:rPr>
                <w:rFonts w:cs="Times New Roman"/>
                <w:szCs w:val="24"/>
              </w:rPr>
              <w:t>922</w:t>
            </w:r>
          </w:p>
        </w:tc>
        <w:tc>
          <w:tcPr>
            <w:tcW w:w="1920" w:type="dxa"/>
            <w:tcBorders>
              <w:top w:val="single" w:sz="8" w:space="0" w:color="000000"/>
              <w:left w:val="single" w:sz="8" w:space="0" w:color="000000"/>
              <w:bottom w:val="single" w:sz="8" w:space="0" w:color="FFFFFF"/>
              <w:right w:val="single" w:sz="8" w:space="0" w:color="000000"/>
            </w:tcBorders>
            <w:shd w:val="clear" w:color="auto" w:fill="FFFFFF"/>
            <w:tcMar>
              <w:top w:w="15" w:type="dxa"/>
              <w:left w:w="15" w:type="dxa"/>
              <w:bottom w:w="0" w:type="dxa"/>
              <w:right w:w="15" w:type="dxa"/>
            </w:tcMar>
            <w:vAlign w:val="center"/>
            <w:hideMark/>
          </w:tcPr>
          <w:p w:rsidR="005A6825" w:rsidRPr="008145A1" w:rsidRDefault="00CE2B4C" w:rsidP="009B6594">
            <w:pPr>
              <w:spacing w:after="0" w:line="276" w:lineRule="auto"/>
              <w:jc w:val="center"/>
              <w:rPr>
                <w:rFonts w:cs="Times New Roman"/>
                <w:szCs w:val="24"/>
              </w:rPr>
            </w:pPr>
            <w:r>
              <w:rPr>
                <w:rFonts w:cs="Times New Roman"/>
                <w:szCs w:val="24"/>
              </w:rPr>
              <w:t>3,873</w:t>
            </w:r>
          </w:p>
        </w:tc>
      </w:tr>
      <w:tr w:rsidR="005A6825" w:rsidRPr="008145A1" w:rsidTr="009B6594">
        <w:trPr>
          <w:trHeight w:val="32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A6825" w:rsidRPr="008145A1" w:rsidRDefault="005A6825" w:rsidP="009B6594">
            <w:pPr>
              <w:spacing w:after="0" w:line="276" w:lineRule="auto"/>
              <w:jc w:val="center"/>
              <w:rPr>
                <w:rFonts w:cs="Times New Roman"/>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A6825" w:rsidRPr="008145A1" w:rsidRDefault="005A6825" w:rsidP="009B6594">
            <w:pPr>
              <w:spacing w:after="0" w:line="276" w:lineRule="auto"/>
              <w:jc w:val="center"/>
              <w:rPr>
                <w:rFonts w:cs="Times New Roman"/>
                <w:szCs w:val="24"/>
              </w:rPr>
            </w:pPr>
          </w:p>
        </w:tc>
        <w:tc>
          <w:tcPr>
            <w:tcW w:w="3960" w:type="dxa"/>
            <w:tcBorders>
              <w:top w:val="single" w:sz="8" w:space="0" w:color="FFFFFF"/>
              <w:left w:val="single" w:sz="8" w:space="0" w:color="000000"/>
              <w:bottom w:val="single" w:sz="8" w:space="0" w:color="000000"/>
              <w:right w:val="single" w:sz="8" w:space="0" w:color="000000"/>
            </w:tcBorders>
            <w:shd w:val="clear" w:color="auto" w:fill="FFFFFF"/>
            <w:tcMar>
              <w:top w:w="15" w:type="dxa"/>
              <w:left w:w="113" w:type="dxa"/>
              <w:bottom w:w="0" w:type="dxa"/>
              <w:right w:w="15" w:type="dxa"/>
            </w:tcMar>
            <w:vAlign w:val="center"/>
            <w:hideMark/>
          </w:tcPr>
          <w:p w:rsidR="005A6825" w:rsidRPr="008145A1" w:rsidRDefault="005A6825" w:rsidP="009B6594">
            <w:pPr>
              <w:spacing w:after="0" w:line="276" w:lineRule="auto"/>
              <w:jc w:val="center"/>
              <w:rPr>
                <w:rFonts w:cs="Times New Roman"/>
                <w:szCs w:val="24"/>
              </w:rPr>
            </w:pPr>
            <w:r w:rsidRPr="008145A1">
              <w:rPr>
                <w:rFonts w:cs="Times New Roman"/>
                <w:szCs w:val="24"/>
              </w:rPr>
              <w:t>By-products</w:t>
            </w:r>
          </w:p>
        </w:tc>
        <w:tc>
          <w:tcPr>
            <w:tcW w:w="1920" w:type="dxa"/>
            <w:tcBorders>
              <w:top w:val="single" w:sz="8" w:space="0" w:color="FFFFFF"/>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5A6825" w:rsidRPr="008145A1" w:rsidRDefault="00CE2B4C" w:rsidP="009B6594">
            <w:pPr>
              <w:spacing w:after="0" w:line="276" w:lineRule="auto"/>
              <w:jc w:val="center"/>
              <w:rPr>
                <w:rFonts w:cs="Times New Roman"/>
                <w:szCs w:val="24"/>
              </w:rPr>
            </w:pPr>
            <w:r>
              <w:rPr>
                <w:rFonts w:cs="Times New Roman"/>
                <w:szCs w:val="24"/>
              </w:rPr>
              <w:t>1,006</w:t>
            </w:r>
          </w:p>
        </w:tc>
        <w:tc>
          <w:tcPr>
            <w:tcW w:w="1920" w:type="dxa"/>
            <w:tcBorders>
              <w:top w:val="single" w:sz="8" w:space="0" w:color="FFFFFF"/>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5A6825" w:rsidRPr="008145A1" w:rsidRDefault="00CE2B4C" w:rsidP="009B6594">
            <w:pPr>
              <w:spacing w:after="0" w:line="276" w:lineRule="auto"/>
              <w:jc w:val="center"/>
              <w:rPr>
                <w:rFonts w:cs="Times New Roman"/>
                <w:szCs w:val="24"/>
              </w:rPr>
            </w:pPr>
            <w:r>
              <w:rPr>
                <w:rFonts w:cs="Times New Roman"/>
                <w:szCs w:val="24"/>
              </w:rPr>
              <w:t>1,401</w:t>
            </w:r>
          </w:p>
        </w:tc>
        <w:tc>
          <w:tcPr>
            <w:tcW w:w="1920" w:type="dxa"/>
            <w:tcBorders>
              <w:top w:val="single" w:sz="8" w:space="0" w:color="FFFFFF"/>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5A6825" w:rsidRPr="008145A1" w:rsidRDefault="005A6825" w:rsidP="009B6594">
            <w:pPr>
              <w:spacing w:after="0" w:line="276" w:lineRule="auto"/>
              <w:jc w:val="center"/>
              <w:rPr>
                <w:rFonts w:cs="Times New Roman"/>
                <w:szCs w:val="24"/>
              </w:rPr>
            </w:pPr>
            <w:r w:rsidRPr="008145A1">
              <w:rPr>
                <w:rFonts w:cs="Times New Roman"/>
                <w:szCs w:val="24"/>
              </w:rPr>
              <w:t>3</w:t>
            </w:r>
            <w:r w:rsidR="00CE2B4C">
              <w:rPr>
                <w:rFonts w:cs="Times New Roman"/>
                <w:szCs w:val="24"/>
              </w:rPr>
              <w:t>,170</w:t>
            </w:r>
          </w:p>
        </w:tc>
      </w:tr>
      <w:tr w:rsidR="005A6825" w:rsidRPr="008145A1" w:rsidTr="009B6594">
        <w:trPr>
          <w:trHeight w:val="32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A6825" w:rsidRPr="008145A1" w:rsidRDefault="005A6825" w:rsidP="009B6594">
            <w:pPr>
              <w:spacing w:after="0" w:line="276" w:lineRule="auto"/>
              <w:jc w:val="center"/>
              <w:rPr>
                <w:rFonts w:cs="Times New Roman"/>
                <w:szCs w:val="24"/>
              </w:rPr>
            </w:pPr>
          </w:p>
        </w:tc>
        <w:tc>
          <w:tcPr>
            <w:tcW w:w="24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5A6825" w:rsidRPr="008145A1" w:rsidRDefault="005A6825" w:rsidP="009B6594">
            <w:pPr>
              <w:spacing w:after="0" w:line="276" w:lineRule="auto"/>
              <w:jc w:val="center"/>
              <w:rPr>
                <w:rFonts w:cs="Times New Roman"/>
                <w:szCs w:val="24"/>
              </w:rPr>
            </w:pPr>
            <w:r w:rsidRPr="008145A1">
              <w:rPr>
                <w:rFonts w:cs="Times New Roman"/>
                <w:b/>
                <w:bCs/>
                <w:szCs w:val="24"/>
              </w:rPr>
              <w:t>Wheat (irrigated)</w:t>
            </w:r>
          </w:p>
        </w:tc>
        <w:tc>
          <w:tcPr>
            <w:tcW w:w="3960" w:type="dxa"/>
            <w:tcBorders>
              <w:top w:val="single" w:sz="8" w:space="0" w:color="000000"/>
              <w:left w:val="single" w:sz="8" w:space="0" w:color="000000"/>
              <w:bottom w:val="single" w:sz="8" w:space="0" w:color="FFFFFF"/>
              <w:right w:val="single" w:sz="8" w:space="0" w:color="000000"/>
            </w:tcBorders>
            <w:shd w:val="clear" w:color="auto" w:fill="FFFFFF"/>
            <w:tcMar>
              <w:top w:w="15" w:type="dxa"/>
              <w:left w:w="113" w:type="dxa"/>
              <w:bottom w:w="0" w:type="dxa"/>
              <w:right w:w="15" w:type="dxa"/>
            </w:tcMar>
            <w:vAlign w:val="center"/>
            <w:hideMark/>
          </w:tcPr>
          <w:p w:rsidR="005A6825" w:rsidRPr="008145A1" w:rsidRDefault="005A6825" w:rsidP="009B6594">
            <w:pPr>
              <w:spacing w:after="0" w:line="276" w:lineRule="auto"/>
              <w:jc w:val="center"/>
              <w:rPr>
                <w:rFonts w:cs="Times New Roman"/>
                <w:szCs w:val="24"/>
              </w:rPr>
            </w:pPr>
            <w:r w:rsidRPr="008145A1">
              <w:rPr>
                <w:rFonts w:cs="Times New Roman"/>
                <w:szCs w:val="24"/>
              </w:rPr>
              <w:t>Main produce</w:t>
            </w:r>
          </w:p>
        </w:tc>
        <w:tc>
          <w:tcPr>
            <w:tcW w:w="1920" w:type="dxa"/>
            <w:tcBorders>
              <w:top w:val="single" w:sz="8" w:space="0" w:color="000000"/>
              <w:left w:val="single" w:sz="8" w:space="0" w:color="000000"/>
              <w:bottom w:val="single" w:sz="8" w:space="0" w:color="FFFFFF"/>
              <w:right w:val="single" w:sz="8" w:space="0" w:color="000000"/>
            </w:tcBorders>
            <w:shd w:val="clear" w:color="auto" w:fill="FFFFFF"/>
            <w:tcMar>
              <w:top w:w="15" w:type="dxa"/>
              <w:left w:w="15" w:type="dxa"/>
              <w:bottom w:w="0" w:type="dxa"/>
              <w:right w:w="15" w:type="dxa"/>
            </w:tcMar>
            <w:vAlign w:val="center"/>
            <w:hideMark/>
          </w:tcPr>
          <w:p w:rsidR="005A6825" w:rsidRPr="008145A1" w:rsidRDefault="005A6825" w:rsidP="009B6594">
            <w:pPr>
              <w:spacing w:after="0" w:line="276" w:lineRule="auto"/>
              <w:jc w:val="center"/>
              <w:rPr>
                <w:rFonts w:cs="Times New Roman"/>
                <w:szCs w:val="24"/>
              </w:rPr>
            </w:pPr>
            <w:r w:rsidRPr="008145A1">
              <w:rPr>
                <w:rFonts w:cs="Times New Roman"/>
                <w:szCs w:val="24"/>
              </w:rPr>
              <w:t> </w:t>
            </w:r>
          </w:p>
        </w:tc>
        <w:tc>
          <w:tcPr>
            <w:tcW w:w="1920" w:type="dxa"/>
            <w:tcBorders>
              <w:top w:val="single" w:sz="8" w:space="0" w:color="000000"/>
              <w:left w:val="single" w:sz="8" w:space="0" w:color="000000"/>
              <w:bottom w:val="single" w:sz="8" w:space="0" w:color="FFFFFF"/>
              <w:right w:val="single" w:sz="8" w:space="0" w:color="000000"/>
            </w:tcBorders>
            <w:shd w:val="clear" w:color="auto" w:fill="FFFFFF"/>
            <w:tcMar>
              <w:top w:w="15" w:type="dxa"/>
              <w:left w:w="15" w:type="dxa"/>
              <w:bottom w:w="0" w:type="dxa"/>
              <w:right w:w="15" w:type="dxa"/>
            </w:tcMar>
            <w:vAlign w:val="center"/>
            <w:hideMark/>
          </w:tcPr>
          <w:p w:rsidR="005A6825" w:rsidRPr="008145A1" w:rsidRDefault="00CE2B4C" w:rsidP="009B6594">
            <w:pPr>
              <w:spacing w:after="0" w:line="276" w:lineRule="auto"/>
              <w:jc w:val="center"/>
              <w:rPr>
                <w:rFonts w:cs="Times New Roman"/>
                <w:szCs w:val="24"/>
              </w:rPr>
            </w:pPr>
            <w:r>
              <w:rPr>
                <w:rFonts w:cs="Times New Roman"/>
                <w:szCs w:val="24"/>
              </w:rPr>
              <w:t>2,064</w:t>
            </w:r>
          </w:p>
        </w:tc>
        <w:tc>
          <w:tcPr>
            <w:tcW w:w="1920" w:type="dxa"/>
            <w:tcBorders>
              <w:top w:val="single" w:sz="8" w:space="0" w:color="000000"/>
              <w:left w:val="single" w:sz="8" w:space="0" w:color="000000"/>
              <w:bottom w:val="single" w:sz="8" w:space="0" w:color="FFFFFF"/>
              <w:right w:val="single" w:sz="8" w:space="0" w:color="000000"/>
            </w:tcBorders>
            <w:shd w:val="clear" w:color="auto" w:fill="FFFFFF"/>
            <w:tcMar>
              <w:top w:w="15" w:type="dxa"/>
              <w:left w:w="15" w:type="dxa"/>
              <w:bottom w:w="0" w:type="dxa"/>
              <w:right w:w="15" w:type="dxa"/>
            </w:tcMar>
            <w:vAlign w:val="center"/>
            <w:hideMark/>
          </w:tcPr>
          <w:p w:rsidR="005A6825" w:rsidRPr="008145A1" w:rsidRDefault="005A6825" w:rsidP="009B6594">
            <w:pPr>
              <w:spacing w:after="0" w:line="276" w:lineRule="auto"/>
              <w:jc w:val="center"/>
              <w:rPr>
                <w:rFonts w:cs="Times New Roman"/>
                <w:szCs w:val="24"/>
              </w:rPr>
            </w:pPr>
            <w:r w:rsidRPr="008145A1">
              <w:rPr>
                <w:rFonts w:cs="Times New Roman"/>
                <w:szCs w:val="24"/>
              </w:rPr>
              <w:t> </w:t>
            </w:r>
          </w:p>
        </w:tc>
      </w:tr>
      <w:tr w:rsidR="005A6825" w:rsidRPr="008145A1" w:rsidTr="009B6594">
        <w:trPr>
          <w:trHeight w:val="32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A6825" w:rsidRPr="008145A1" w:rsidRDefault="005A6825" w:rsidP="009B6594">
            <w:pPr>
              <w:spacing w:after="0" w:line="276" w:lineRule="auto"/>
              <w:jc w:val="center"/>
              <w:rPr>
                <w:rFonts w:cs="Times New Roman"/>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A6825" w:rsidRPr="008145A1" w:rsidRDefault="005A6825" w:rsidP="009B6594">
            <w:pPr>
              <w:spacing w:after="0" w:line="276" w:lineRule="auto"/>
              <w:jc w:val="center"/>
              <w:rPr>
                <w:rFonts w:cs="Times New Roman"/>
                <w:szCs w:val="24"/>
              </w:rPr>
            </w:pPr>
          </w:p>
        </w:tc>
        <w:tc>
          <w:tcPr>
            <w:tcW w:w="3960" w:type="dxa"/>
            <w:tcBorders>
              <w:top w:val="single" w:sz="8" w:space="0" w:color="FFFFFF"/>
              <w:left w:val="single" w:sz="8" w:space="0" w:color="000000"/>
              <w:bottom w:val="single" w:sz="8" w:space="0" w:color="000000"/>
              <w:right w:val="single" w:sz="8" w:space="0" w:color="000000"/>
            </w:tcBorders>
            <w:shd w:val="clear" w:color="auto" w:fill="FFFFFF"/>
            <w:tcMar>
              <w:top w:w="15" w:type="dxa"/>
              <w:left w:w="113" w:type="dxa"/>
              <w:bottom w:w="0" w:type="dxa"/>
              <w:right w:w="15" w:type="dxa"/>
            </w:tcMar>
            <w:vAlign w:val="center"/>
            <w:hideMark/>
          </w:tcPr>
          <w:p w:rsidR="005A6825" w:rsidRPr="008145A1" w:rsidRDefault="005A6825" w:rsidP="009B6594">
            <w:pPr>
              <w:spacing w:after="0" w:line="276" w:lineRule="auto"/>
              <w:jc w:val="center"/>
              <w:rPr>
                <w:rFonts w:cs="Times New Roman"/>
                <w:szCs w:val="24"/>
              </w:rPr>
            </w:pPr>
            <w:r w:rsidRPr="008145A1">
              <w:rPr>
                <w:rFonts w:cs="Times New Roman"/>
                <w:szCs w:val="24"/>
              </w:rPr>
              <w:t>By-products</w:t>
            </w:r>
          </w:p>
        </w:tc>
        <w:tc>
          <w:tcPr>
            <w:tcW w:w="1920" w:type="dxa"/>
            <w:tcBorders>
              <w:top w:val="single" w:sz="8" w:space="0" w:color="FFFFFF"/>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5A6825" w:rsidRPr="008145A1" w:rsidRDefault="005A6825" w:rsidP="009B6594">
            <w:pPr>
              <w:spacing w:after="0" w:line="276" w:lineRule="auto"/>
              <w:jc w:val="center"/>
              <w:rPr>
                <w:rFonts w:cs="Times New Roman"/>
                <w:szCs w:val="24"/>
              </w:rPr>
            </w:pPr>
            <w:r w:rsidRPr="008145A1">
              <w:rPr>
                <w:rFonts w:cs="Times New Roman"/>
                <w:szCs w:val="24"/>
              </w:rPr>
              <w:t> </w:t>
            </w:r>
          </w:p>
        </w:tc>
        <w:tc>
          <w:tcPr>
            <w:tcW w:w="1920" w:type="dxa"/>
            <w:tcBorders>
              <w:top w:val="single" w:sz="8" w:space="0" w:color="FFFFFF"/>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5A6825" w:rsidRPr="008145A1" w:rsidRDefault="00CE2B4C" w:rsidP="009B6594">
            <w:pPr>
              <w:spacing w:after="0" w:line="276" w:lineRule="auto"/>
              <w:jc w:val="center"/>
              <w:rPr>
                <w:rFonts w:cs="Times New Roman"/>
                <w:szCs w:val="24"/>
              </w:rPr>
            </w:pPr>
            <w:r>
              <w:rPr>
                <w:rFonts w:cs="Times New Roman"/>
                <w:szCs w:val="24"/>
              </w:rPr>
              <w:t>3,654</w:t>
            </w:r>
          </w:p>
        </w:tc>
        <w:tc>
          <w:tcPr>
            <w:tcW w:w="1920" w:type="dxa"/>
            <w:tcBorders>
              <w:top w:val="single" w:sz="8" w:space="0" w:color="FFFFFF"/>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5A6825" w:rsidRPr="008145A1" w:rsidRDefault="005A6825" w:rsidP="009B6594">
            <w:pPr>
              <w:spacing w:after="0" w:line="276" w:lineRule="auto"/>
              <w:jc w:val="center"/>
              <w:rPr>
                <w:rFonts w:cs="Times New Roman"/>
                <w:szCs w:val="24"/>
              </w:rPr>
            </w:pPr>
            <w:r w:rsidRPr="008145A1">
              <w:rPr>
                <w:rFonts w:cs="Times New Roman"/>
                <w:szCs w:val="24"/>
              </w:rPr>
              <w:t> </w:t>
            </w:r>
          </w:p>
        </w:tc>
      </w:tr>
      <w:tr w:rsidR="005A6825" w:rsidRPr="008145A1" w:rsidTr="009B6594">
        <w:trPr>
          <w:trHeight w:val="32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A6825" w:rsidRPr="008145A1" w:rsidRDefault="005A6825" w:rsidP="009B6594">
            <w:pPr>
              <w:spacing w:after="0" w:line="276" w:lineRule="auto"/>
              <w:jc w:val="center"/>
              <w:rPr>
                <w:rFonts w:cs="Times New Roman"/>
                <w:szCs w:val="24"/>
              </w:rPr>
            </w:pPr>
          </w:p>
        </w:tc>
        <w:tc>
          <w:tcPr>
            <w:tcW w:w="24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5A6825" w:rsidRPr="008145A1" w:rsidRDefault="005A6825" w:rsidP="009B6594">
            <w:pPr>
              <w:spacing w:after="0" w:line="276" w:lineRule="auto"/>
              <w:jc w:val="center"/>
              <w:rPr>
                <w:rFonts w:cs="Times New Roman"/>
                <w:szCs w:val="24"/>
              </w:rPr>
            </w:pPr>
            <w:r w:rsidRPr="008145A1">
              <w:rPr>
                <w:rFonts w:cs="Times New Roman"/>
                <w:b/>
                <w:bCs/>
                <w:szCs w:val="24"/>
              </w:rPr>
              <w:t>Wheat</w:t>
            </w:r>
          </w:p>
        </w:tc>
        <w:tc>
          <w:tcPr>
            <w:tcW w:w="3960" w:type="dxa"/>
            <w:tcBorders>
              <w:top w:val="single" w:sz="8" w:space="0" w:color="000000"/>
              <w:left w:val="single" w:sz="8" w:space="0" w:color="000000"/>
              <w:bottom w:val="single" w:sz="8" w:space="0" w:color="FFFFFF"/>
              <w:right w:val="single" w:sz="8" w:space="0" w:color="000000"/>
            </w:tcBorders>
            <w:shd w:val="clear" w:color="auto" w:fill="FFFFFF"/>
            <w:tcMar>
              <w:top w:w="15" w:type="dxa"/>
              <w:left w:w="113" w:type="dxa"/>
              <w:bottom w:w="0" w:type="dxa"/>
              <w:right w:w="15" w:type="dxa"/>
            </w:tcMar>
            <w:vAlign w:val="center"/>
            <w:hideMark/>
          </w:tcPr>
          <w:p w:rsidR="005A6825" w:rsidRPr="008145A1" w:rsidRDefault="005A6825" w:rsidP="009B6594">
            <w:pPr>
              <w:spacing w:after="0" w:line="276" w:lineRule="auto"/>
              <w:jc w:val="center"/>
              <w:rPr>
                <w:rFonts w:cs="Times New Roman"/>
                <w:szCs w:val="24"/>
              </w:rPr>
            </w:pPr>
            <w:r w:rsidRPr="008145A1">
              <w:rPr>
                <w:rFonts w:cs="Times New Roman"/>
                <w:szCs w:val="24"/>
              </w:rPr>
              <w:t>Main produce</w:t>
            </w:r>
          </w:p>
        </w:tc>
        <w:tc>
          <w:tcPr>
            <w:tcW w:w="1920" w:type="dxa"/>
            <w:tcBorders>
              <w:top w:val="single" w:sz="8" w:space="0" w:color="000000"/>
              <w:left w:val="single" w:sz="8" w:space="0" w:color="000000"/>
              <w:bottom w:val="single" w:sz="8" w:space="0" w:color="FFFFFF"/>
              <w:right w:val="single" w:sz="8" w:space="0" w:color="000000"/>
            </w:tcBorders>
            <w:shd w:val="clear" w:color="auto" w:fill="FFFFFF"/>
            <w:tcMar>
              <w:top w:w="15" w:type="dxa"/>
              <w:left w:w="15" w:type="dxa"/>
              <w:bottom w:w="0" w:type="dxa"/>
              <w:right w:w="15" w:type="dxa"/>
            </w:tcMar>
            <w:vAlign w:val="center"/>
            <w:hideMark/>
          </w:tcPr>
          <w:p w:rsidR="005A6825" w:rsidRPr="008145A1" w:rsidRDefault="00CE2B4C" w:rsidP="009B6594">
            <w:pPr>
              <w:spacing w:after="0" w:line="276" w:lineRule="auto"/>
              <w:jc w:val="center"/>
              <w:rPr>
                <w:rFonts w:cs="Times New Roman"/>
                <w:szCs w:val="24"/>
              </w:rPr>
            </w:pPr>
            <w:r>
              <w:rPr>
                <w:rFonts w:cs="Times New Roman"/>
                <w:szCs w:val="24"/>
              </w:rPr>
              <w:t>550</w:t>
            </w:r>
          </w:p>
        </w:tc>
        <w:tc>
          <w:tcPr>
            <w:tcW w:w="1920" w:type="dxa"/>
            <w:tcBorders>
              <w:top w:val="single" w:sz="8" w:space="0" w:color="000000"/>
              <w:left w:val="single" w:sz="8" w:space="0" w:color="000000"/>
              <w:bottom w:val="single" w:sz="8" w:space="0" w:color="FFFFFF"/>
              <w:right w:val="single" w:sz="8" w:space="0" w:color="000000"/>
            </w:tcBorders>
            <w:shd w:val="clear" w:color="auto" w:fill="FFFFFF"/>
            <w:tcMar>
              <w:top w:w="15" w:type="dxa"/>
              <w:left w:w="15" w:type="dxa"/>
              <w:bottom w:w="0" w:type="dxa"/>
              <w:right w:w="15" w:type="dxa"/>
            </w:tcMar>
            <w:vAlign w:val="center"/>
            <w:hideMark/>
          </w:tcPr>
          <w:p w:rsidR="005A6825" w:rsidRPr="008145A1" w:rsidRDefault="00CE2B4C" w:rsidP="009B6594">
            <w:pPr>
              <w:spacing w:after="0" w:line="276" w:lineRule="auto"/>
              <w:jc w:val="center"/>
              <w:rPr>
                <w:rFonts w:cs="Times New Roman"/>
                <w:szCs w:val="24"/>
              </w:rPr>
            </w:pPr>
            <w:r>
              <w:rPr>
                <w:rFonts w:cs="Times New Roman"/>
                <w:szCs w:val="24"/>
              </w:rPr>
              <w:t>1,032</w:t>
            </w:r>
          </w:p>
        </w:tc>
        <w:tc>
          <w:tcPr>
            <w:tcW w:w="1920" w:type="dxa"/>
            <w:tcBorders>
              <w:top w:val="single" w:sz="8" w:space="0" w:color="000000"/>
              <w:left w:val="single" w:sz="8" w:space="0" w:color="000000"/>
              <w:bottom w:val="single" w:sz="8" w:space="0" w:color="FFFFFF"/>
              <w:right w:val="single" w:sz="8" w:space="0" w:color="000000"/>
            </w:tcBorders>
            <w:shd w:val="clear" w:color="auto" w:fill="FFFFFF"/>
            <w:tcMar>
              <w:top w:w="15" w:type="dxa"/>
              <w:left w:w="15" w:type="dxa"/>
              <w:bottom w:w="0" w:type="dxa"/>
              <w:right w:w="15" w:type="dxa"/>
            </w:tcMar>
            <w:vAlign w:val="center"/>
            <w:hideMark/>
          </w:tcPr>
          <w:p w:rsidR="005A6825" w:rsidRPr="008145A1" w:rsidRDefault="00CE2B4C" w:rsidP="009B6594">
            <w:pPr>
              <w:spacing w:after="0" w:line="276" w:lineRule="auto"/>
              <w:jc w:val="center"/>
              <w:rPr>
                <w:rFonts w:cs="Times New Roman"/>
                <w:szCs w:val="24"/>
              </w:rPr>
            </w:pPr>
            <w:r>
              <w:rPr>
                <w:rFonts w:cs="Times New Roman"/>
                <w:szCs w:val="24"/>
              </w:rPr>
              <w:t>2,536</w:t>
            </w:r>
          </w:p>
        </w:tc>
      </w:tr>
      <w:tr w:rsidR="005A6825" w:rsidRPr="008145A1" w:rsidTr="009B6594">
        <w:trPr>
          <w:trHeight w:val="32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A6825" w:rsidRPr="008145A1" w:rsidRDefault="005A6825" w:rsidP="009B6594">
            <w:pPr>
              <w:spacing w:after="0" w:line="276" w:lineRule="auto"/>
              <w:jc w:val="center"/>
              <w:rPr>
                <w:rFonts w:cs="Times New Roman"/>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A6825" w:rsidRPr="008145A1" w:rsidRDefault="005A6825" w:rsidP="009B6594">
            <w:pPr>
              <w:spacing w:after="0" w:line="276" w:lineRule="auto"/>
              <w:jc w:val="center"/>
              <w:rPr>
                <w:rFonts w:cs="Times New Roman"/>
                <w:szCs w:val="24"/>
              </w:rPr>
            </w:pPr>
          </w:p>
        </w:tc>
        <w:tc>
          <w:tcPr>
            <w:tcW w:w="3960" w:type="dxa"/>
            <w:tcBorders>
              <w:top w:val="single" w:sz="8" w:space="0" w:color="FFFFFF"/>
              <w:left w:val="single" w:sz="8" w:space="0" w:color="000000"/>
              <w:bottom w:val="single" w:sz="8" w:space="0" w:color="000000"/>
              <w:right w:val="single" w:sz="8" w:space="0" w:color="000000"/>
            </w:tcBorders>
            <w:shd w:val="clear" w:color="auto" w:fill="FFFFFF"/>
            <w:tcMar>
              <w:top w:w="15" w:type="dxa"/>
              <w:left w:w="113" w:type="dxa"/>
              <w:bottom w:w="0" w:type="dxa"/>
              <w:right w:w="15" w:type="dxa"/>
            </w:tcMar>
            <w:vAlign w:val="center"/>
            <w:hideMark/>
          </w:tcPr>
          <w:p w:rsidR="005A6825" w:rsidRPr="008145A1" w:rsidRDefault="005A6825" w:rsidP="009B6594">
            <w:pPr>
              <w:spacing w:after="0" w:line="276" w:lineRule="auto"/>
              <w:jc w:val="center"/>
              <w:rPr>
                <w:rFonts w:cs="Times New Roman"/>
                <w:szCs w:val="24"/>
              </w:rPr>
            </w:pPr>
            <w:r w:rsidRPr="008145A1">
              <w:rPr>
                <w:rFonts w:cs="Times New Roman"/>
                <w:szCs w:val="24"/>
              </w:rPr>
              <w:t>By-products</w:t>
            </w:r>
          </w:p>
        </w:tc>
        <w:tc>
          <w:tcPr>
            <w:tcW w:w="1920" w:type="dxa"/>
            <w:tcBorders>
              <w:top w:val="single" w:sz="8" w:space="0" w:color="FFFFFF"/>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5A6825" w:rsidRPr="008145A1" w:rsidRDefault="00CE2B4C" w:rsidP="009B6594">
            <w:pPr>
              <w:spacing w:after="0" w:line="276" w:lineRule="auto"/>
              <w:jc w:val="center"/>
              <w:rPr>
                <w:rFonts w:cs="Times New Roman"/>
                <w:szCs w:val="24"/>
              </w:rPr>
            </w:pPr>
            <w:r>
              <w:rPr>
                <w:rFonts w:cs="Times New Roman"/>
                <w:szCs w:val="24"/>
              </w:rPr>
              <w:t>1,145</w:t>
            </w:r>
          </w:p>
        </w:tc>
        <w:tc>
          <w:tcPr>
            <w:tcW w:w="1920" w:type="dxa"/>
            <w:tcBorders>
              <w:top w:val="single" w:sz="8" w:space="0" w:color="FFFFFF"/>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5A6825" w:rsidRPr="008145A1" w:rsidRDefault="00CE2B4C" w:rsidP="009B6594">
            <w:pPr>
              <w:spacing w:after="0" w:line="276" w:lineRule="auto"/>
              <w:jc w:val="center"/>
              <w:rPr>
                <w:rFonts w:cs="Times New Roman"/>
                <w:szCs w:val="24"/>
              </w:rPr>
            </w:pPr>
            <w:r>
              <w:rPr>
                <w:rFonts w:cs="Times New Roman"/>
                <w:szCs w:val="24"/>
              </w:rPr>
              <w:t>1,939</w:t>
            </w:r>
          </w:p>
        </w:tc>
        <w:tc>
          <w:tcPr>
            <w:tcW w:w="1920" w:type="dxa"/>
            <w:tcBorders>
              <w:top w:val="single" w:sz="8" w:space="0" w:color="FFFFFF"/>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5A6825" w:rsidRPr="008145A1" w:rsidRDefault="00CE2B4C" w:rsidP="009B6594">
            <w:pPr>
              <w:spacing w:after="0" w:line="276" w:lineRule="auto"/>
              <w:jc w:val="center"/>
              <w:rPr>
                <w:rFonts w:cs="Times New Roman"/>
                <w:szCs w:val="24"/>
              </w:rPr>
            </w:pPr>
            <w:r>
              <w:rPr>
                <w:rFonts w:cs="Times New Roman"/>
                <w:szCs w:val="24"/>
              </w:rPr>
              <w:t>2,593</w:t>
            </w:r>
          </w:p>
        </w:tc>
      </w:tr>
      <w:tr w:rsidR="005A6825" w:rsidRPr="008145A1" w:rsidTr="009B6594">
        <w:trPr>
          <w:trHeight w:val="32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A6825" w:rsidRPr="008145A1" w:rsidRDefault="005A6825" w:rsidP="009B6594">
            <w:pPr>
              <w:spacing w:after="0" w:line="276" w:lineRule="auto"/>
              <w:jc w:val="center"/>
              <w:rPr>
                <w:rFonts w:cs="Times New Roman"/>
                <w:szCs w:val="24"/>
              </w:rPr>
            </w:pPr>
          </w:p>
        </w:tc>
        <w:tc>
          <w:tcPr>
            <w:tcW w:w="24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5A6825" w:rsidRPr="008145A1" w:rsidRDefault="005A6825" w:rsidP="009B6594">
            <w:pPr>
              <w:spacing w:after="0" w:line="276" w:lineRule="auto"/>
              <w:jc w:val="center"/>
              <w:rPr>
                <w:rFonts w:cs="Times New Roman"/>
                <w:szCs w:val="24"/>
              </w:rPr>
            </w:pPr>
            <w:r w:rsidRPr="008145A1">
              <w:rPr>
                <w:rFonts w:cs="Times New Roman"/>
                <w:b/>
                <w:bCs/>
                <w:szCs w:val="24"/>
              </w:rPr>
              <w:t>Barley</w:t>
            </w:r>
          </w:p>
        </w:tc>
        <w:tc>
          <w:tcPr>
            <w:tcW w:w="3960" w:type="dxa"/>
            <w:tcBorders>
              <w:top w:val="single" w:sz="8" w:space="0" w:color="000000"/>
              <w:left w:val="single" w:sz="8" w:space="0" w:color="000000"/>
              <w:bottom w:val="single" w:sz="8" w:space="0" w:color="FFFFFF"/>
              <w:right w:val="single" w:sz="8" w:space="0" w:color="000000"/>
            </w:tcBorders>
            <w:shd w:val="clear" w:color="auto" w:fill="FFFFFF"/>
            <w:tcMar>
              <w:top w:w="15" w:type="dxa"/>
              <w:left w:w="113" w:type="dxa"/>
              <w:bottom w:w="0" w:type="dxa"/>
              <w:right w:w="15" w:type="dxa"/>
            </w:tcMar>
            <w:vAlign w:val="center"/>
            <w:hideMark/>
          </w:tcPr>
          <w:p w:rsidR="005A6825" w:rsidRPr="008145A1" w:rsidRDefault="005A6825" w:rsidP="009B6594">
            <w:pPr>
              <w:spacing w:after="0" w:line="276" w:lineRule="auto"/>
              <w:jc w:val="center"/>
              <w:rPr>
                <w:rFonts w:cs="Times New Roman"/>
                <w:szCs w:val="24"/>
              </w:rPr>
            </w:pPr>
            <w:r w:rsidRPr="008145A1">
              <w:rPr>
                <w:rFonts w:cs="Times New Roman"/>
                <w:szCs w:val="24"/>
              </w:rPr>
              <w:t>Main produce</w:t>
            </w:r>
          </w:p>
        </w:tc>
        <w:tc>
          <w:tcPr>
            <w:tcW w:w="1920" w:type="dxa"/>
            <w:tcBorders>
              <w:top w:val="single" w:sz="8" w:space="0" w:color="000000"/>
              <w:left w:val="single" w:sz="8" w:space="0" w:color="000000"/>
              <w:bottom w:val="single" w:sz="8" w:space="0" w:color="FFFFFF"/>
              <w:right w:val="single" w:sz="8" w:space="0" w:color="000000"/>
            </w:tcBorders>
            <w:shd w:val="clear" w:color="auto" w:fill="FFFFFF"/>
            <w:tcMar>
              <w:top w:w="15" w:type="dxa"/>
              <w:left w:w="15" w:type="dxa"/>
              <w:bottom w:w="0" w:type="dxa"/>
              <w:right w:w="15" w:type="dxa"/>
            </w:tcMar>
            <w:vAlign w:val="center"/>
            <w:hideMark/>
          </w:tcPr>
          <w:p w:rsidR="005A6825" w:rsidRPr="008145A1" w:rsidRDefault="00CE2B4C" w:rsidP="009B6594">
            <w:pPr>
              <w:spacing w:after="0" w:line="276" w:lineRule="auto"/>
              <w:jc w:val="center"/>
              <w:rPr>
                <w:rFonts w:cs="Times New Roman"/>
                <w:szCs w:val="24"/>
              </w:rPr>
            </w:pPr>
            <w:r>
              <w:rPr>
                <w:rFonts w:cs="Times New Roman"/>
                <w:szCs w:val="24"/>
              </w:rPr>
              <w:t>770</w:t>
            </w:r>
          </w:p>
        </w:tc>
        <w:tc>
          <w:tcPr>
            <w:tcW w:w="1920" w:type="dxa"/>
            <w:tcBorders>
              <w:top w:val="single" w:sz="8" w:space="0" w:color="000000"/>
              <w:left w:val="single" w:sz="8" w:space="0" w:color="000000"/>
              <w:bottom w:val="single" w:sz="8" w:space="0" w:color="FFFFFF"/>
              <w:right w:val="single" w:sz="8" w:space="0" w:color="000000"/>
            </w:tcBorders>
            <w:shd w:val="clear" w:color="auto" w:fill="FFFFFF"/>
            <w:tcMar>
              <w:top w:w="15" w:type="dxa"/>
              <w:left w:w="15" w:type="dxa"/>
              <w:bottom w:w="0" w:type="dxa"/>
              <w:right w:w="15" w:type="dxa"/>
            </w:tcMar>
            <w:vAlign w:val="center"/>
            <w:hideMark/>
          </w:tcPr>
          <w:p w:rsidR="005A6825" w:rsidRPr="008145A1" w:rsidRDefault="00CE2B4C" w:rsidP="009B6594">
            <w:pPr>
              <w:spacing w:after="0" w:line="276" w:lineRule="auto"/>
              <w:jc w:val="center"/>
              <w:rPr>
                <w:rFonts w:cs="Times New Roman"/>
                <w:szCs w:val="24"/>
              </w:rPr>
            </w:pPr>
            <w:r>
              <w:rPr>
                <w:rFonts w:cs="Times New Roman"/>
                <w:szCs w:val="24"/>
              </w:rPr>
              <w:t>1,720</w:t>
            </w:r>
          </w:p>
        </w:tc>
        <w:tc>
          <w:tcPr>
            <w:tcW w:w="1920" w:type="dxa"/>
            <w:tcBorders>
              <w:top w:val="single" w:sz="8" w:space="0" w:color="000000"/>
              <w:left w:val="single" w:sz="8" w:space="0" w:color="000000"/>
              <w:bottom w:val="single" w:sz="8" w:space="0" w:color="FFFFFF"/>
              <w:right w:val="single" w:sz="8" w:space="0" w:color="000000"/>
            </w:tcBorders>
            <w:shd w:val="clear" w:color="auto" w:fill="FFFFFF"/>
            <w:tcMar>
              <w:top w:w="15" w:type="dxa"/>
              <w:left w:w="15" w:type="dxa"/>
              <w:bottom w:w="0" w:type="dxa"/>
              <w:right w:w="15" w:type="dxa"/>
            </w:tcMar>
            <w:vAlign w:val="center"/>
            <w:hideMark/>
          </w:tcPr>
          <w:p w:rsidR="005A6825" w:rsidRPr="008145A1" w:rsidRDefault="00CE2B4C" w:rsidP="009B6594">
            <w:pPr>
              <w:spacing w:after="0" w:line="276" w:lineRule="auto"/>
              <w:jc w:val="center"/>
              <w:rPr>
                <w:rFonts w:cs="Times New Roman"/>
                <w:szCs w:val="24"/>
              </w:rPr>
            </w:pPr>
            <w:r>
              <w:rPr>
                <w:rFonts w:cs="Times New Roman"/>
                <w:szCs w:val="24"/>
              </w:rPr>
              <w:t>2,690</w:t>
            </w:r>
          </w:p>
        </w:tc>
      </w:tr>
      <w:tr w:rsidR="005A6825" w:rsidRPr="008145A1" w:rsidTr="009B6594">
        <w:trPr>
          <w:trHeight w:val="32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A6825" w:rsidRPr="008145A1" w:rsidRDefault="005A6825" w:rsidP="009B6594">
            <w:pPr>
              <w:spacing w:after="0" w:line="276" w:lineRule="auto"/>
              <w:jc w:val="center"/>
              <w:rPr>
                <w:rFonts w:cs="Times New Roman"/>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A6825" w:rsidRPr="008145A1" w:rsidRDefault="005A6825" w:rsidP="009B6594">
            <w:pPr>
              <w:spacing w:after="0" w:line="276" w:lineRule="auto"/>
              <w:jc w:val="center"/>
              <w:rPr>
                <w:rFonts w:cs="Times New Roman"/>
                <w:szCs w:val="24"/>
              </w:rPr>
            </w:pPr>
          </w:p>
        </w:tc>
        <w:tc>
          <w:tcPr>
            <w:tcW w:w="3960" w:type="dxa"/>
            <w:tcBorders>
              <w:top w:val="single" w:sz="8" w:space="0" w:color="FFFFFF"/>
              <w:left w:val="single" w:sz="8" w:space="0" w:color="000000"/>
              <w:bottom w:val="single" w:sz="8" w:space="0" w:color="000000"/>
              <w:right w:val="single" w:sz="8" w:space="0" w:color="000000"/>
            </w:tcBorders>
            <w:shd w:val="clear" w:color="auto" w:fill="FFFFFF"/>
            <w:tcMar>
              <w:top w:w="15" w:type="dxa"/>
              <w:left w:w="113" w:type="dxa"/>
              <w:bottom w:w="0" w:type="dxa"/>
              <w:right w:w="15" w:type="dxa"/>
            </w:tcMar>
            <w:vAlign w:val="center"/>
            <w:hideMark/>
          </w:tcPr>
          <w:p w:rsidR="005A6825" w:rsidRPr="008145A1" w:rsidRDefault="005A6825" w:rsidP="009B6594">
            <w:pPr>
              <w:spacing w:after="0" w:line="276" w:lineRule="auto"/>
              <w:jc w:val="center"/>
              <w:rPr>
                <w:rFonts w:cs="Times New Roman"/>
                <w:szCs w:val="24"/>
              </w:rPr>
            </w:pPr>
            <w:r w:rsidRPr="008145A1">
              <w:rPr>
                <w:rFonts w:cs="Times New Roman"/>
                <w:szCs w:val="24"/>
              </w:rPr>
              <w:t>By-products</w:t>
            </w:r>
          </w:p>
        </w:tc>
        <w:tc>
          <w:tcPr>
            <w:tcW w:w="1920" w:type="dxa"/>
            <w:tcBorders>
              <w:top w:val="single" w:sz="8" w:space="0" w:color="FFFFFF"/>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5A6825" w:rsidRPr="008145A1" w:rsidRDefault="00CE2B4C" w:rsidP="009B6594">
            <w:pPr>
              <w:spacing w:after="0" w:line="276" w:lineRule="auto"/>
              <w:jc w:val="center"/>
              <w:rPr>
                <w:rFonts w:cs="Times New Roman"/>
                <w:szCs w:val="24"/>
              </w:rPr>
            </w:pPr>
            <w:r>
              <w:rPr>
                <w:rFonts w:cs="Times New Roman"/>
                <w:szCs w:val="24"/>
              </w:rPr>
              <w:t>1,603</w:t>
            </w:r>
          </w:p>
        </w:tc>
        <w:tc>
          <w:tcPr>
            <w:tcW w:w="1920" w:type="dxa"/>
            <w:tcBorders>
              <w:top w:val="single" w:sz="8" w:space="0" w:color="FFFFFF"/>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5A6825" w:rsidRPr="008145A1" w:rsidRDefault="00CE2B4C" w:rsidP="009B6594">
            <w:pPr>
              <w:spacing w:after="0" w:line="276" w:lineRule="auto"/>
              <w:jc w:val="center"/>
              <w:rPr>
                <w:rFonts w:cs="Times New Roman"/>
                <w:szCs w:val="24"/>
              </w:rPr>
            </w:pPr>
            <w:r>
              <w:rPr>
                <w:rFonts w:cs="Times New Roman"/>
                <w:szCs w:val="24"/>
              </w:rPr>
              <w:t>3,220</w:t>
            </w:r>
          </w:p>
        </w:tc>
        <w:tc>
          <w:tcPr>
            <w:tcW w:w="1920" w:type="dxa"/>
            <w:tcBorders>
              <w:top w:val="single" w:sz="8" w:space="0" w:color="FFFFFF"/>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5A6825" w:rsidRPr="008145A1" w:rsidRDefault="00CE2B4C" w:rsidP="009B6594">
            <w:pPr>
              <w:spacing w:after="0" w:line="276" w:lineRule="auto"/>
              <w:jc w:val="center"/>
              <w:rPr>
                <w:rFonts w:cs="Times New Roman"/>
                <w:szCs w:val="24"/>
              </w:rPr>
            </w:pPr>
            <w:r>
              <w:rPr>
                <w:rFonts w:cs="Times New Roman"/>
                <w:szCs w:val="24"/>
              </w:rPr>
              <w:t>2,804</w:t>
            </w:r>
          </w:p>
        </w:tc>
      </w:tr>
      <w:tr w:rsidR="005A6825" w:rsidRPr="008145A1" w:rsidTr="009B6594">
        <w:trPr>
          <w:trHeight w:val="32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A6825" w:rsidRPr="008145A1" w:rsidRDefault="005A6825" w:rsidP="009B6594">
            <w:pPr>
              <w:spacing w:after="0" w:line="276" w:lineRule="auto"/>
              <w:jc w:val="center"/>
              <w:rPr>
                <w:rFonts w:cs="Times New Roman"/>
                <w:szCs w:val="24"/>
              </w:rPr>
            </w:pPr>
          </w:p>
        </w:tc>
        <w:tc>
          <w:tcPr>
            <w:tcW w:w="24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5A6825" w:rsidRPr="008145A1" w:rsidRDefault="005A6825" w:rsidP="009B6594">
            <w:pPr>
              <w:spacing w:after="0" w:line="276" w:lineRule="auto"/>
              <w:jc w:val="center"/>
              <w:rPr>
                <w:rFonts w:cs="Times New Roman"/>
                <w:szCs w:val="24"/>
              </w:rPr>
            </w:pPr>
            <w:r w:rsidRPr="008145A1">
              <w:rPr>
                <w:rFonts w:cs="Times New Roman"/>
                <w:b/>
                <w:bCs/>
                <w:szCs w:val="24"/>
              </w:rPr>
              <w:t>Rye</w:t>
            </w:r>
          </w:p>
        </w:tc>
        <w:tc>
          <w:tcPr>
            <w:tcW w:w="3960" w:type="dxa"/>
            <w:tcBorders>
              <w:top w:val="single" w:sz="8" w:space="0" w:color="000000"/>
              <w:left w:val="single" w:sz="8" w:space="0" w:color="000000"/>
              <w:bottom w:val="single" w:sz="8" w:space="0" w:color="FFFFFF"/>
              <w:right w:val="single" w:sz="8" w:space="0" w:color="000000"/>
            </w:tcBorders>
            <w:shd w:val="clear" w:color="auto" w:fill="FFFFFF"/>
            <w:tcMar>
              <w:top w:w="15" w:type="dxa"/>
              <w:left w:w="113" w:type="dxa"/>
              <w:bottom w:w="0" w:type="dxa"/>
              <w:right w:w="15" w:type="dxa"/>
            </w:tcMar>
            <w:vAlign w:val="center"/>
            <w:hideMark/>
          </w:tcPr>
          <w:p w:rsidR="005A6825" w:rsidRPr="008145A1" w:rsidRDefault="005A6825" w:rsidP="009B6594">
            <w:pPr>
              <w:spacing w:after="0" w:line="276" w:lineRule="auto"/>
              <w:jc w:val="center"/>
              <w:rPr>
                <w:rFonts w:cs="Times New Roman"/>
                <w:szCs w:val="24"/>
              </w:rPr>
            </w:pPr>
            <w:r w:rsidRPr="008145A1">
              <w:rPr>
                <w:rFonts w:cs="Times New Roman"/>
                <w:szCs w:val="24"/>
              </w:rPr>
              <w:t>Main produce</w:t>
            </w:r>
          </w:p>
        </w:tc>
        <w:tc>
          <w:tcPr>
            <w:tcW w:w="1920" w:type="dxa"/>
            <w:tcBorders>
              <w:top w:val="single" w:sz="8" w:space="0" w:color="000000"/>
              <w:left w:val="single" w:sz="8" w:space="0" w:color="000000"/>
              <w:bottom w:val="single" w:sz="8" w:space="0" w:color="FFFFFF"/>
              <w:right w:val="single" w:sz="8" w:space="0" w:color="000000"/>
            </w:tcBorders>
            <w:shd w:val="clear" w:color="auto" w:fill="FFFFFF"/>
            <w:tcMar>
              <w:top w:w="15" w:type="dxa"/>
              <w:left w:w="15" w:type="dxa"/>
              <w:bottom w:w="0" w:type="dxa"/>
              <w:right w:w="15" w:type="dxa"/>
            </w:tcMar>
            <w:vAlign w:val="center"/>
            <w:hideMark/>
          </w:tcPr>
          <w:p w:rsidR="005A6825" w:rsidRPr="008145A1" w:rsidRDefault="00CE2B4C" w:rsidP="009B6594">
            <w:pPr>
              <w:spacing w:after="0" w:line="276" w:lineRule="auto"/>
              <w:jc w:val="center"/>
              <w:rPr>
                <w:rFonts w:cs="Times New Roman"/>
                <w:szCs w:val="24"/>
              </w:rPr>
            </w:pPr>
            <w:r>
              <w:rPr>
                <w:rFonts w:cs="Times New Roman"/>
                <w:szCs w:val="24"/>
              </w:rPr>
              <w:t>467</w:t>
            </w:r>
          </w:p>
        </w:tc>
        <w:tc>
          <w:tcPr>
            <w:tcW w:w="1920" w:type="dxa"/>
            <w:tcBorders>
              <w:top w:val="single" w:sz="8" w:space="0" w:color="000000"/>
              <w:left w:val="single" w:sz="8" w:space="0" w:color="000000"/>
              <w:bottom w:val="single" w:sz="8" w:space="0" w:color="FFFFFF"/>
              <w:right w:val="single" w:sz="8" w:space="0" w:color="000000"/>
            </w:tcBorders>
            <w:shd w:val="clear" w:color="auto" w:fill="FFFFFF"/>
            <w:tcMar>
              <w:top w:w="15" w:type="dxa"/>
              <w:left w:w="15" w:type="dxa"/>
              <w:bottom w:w="0" w:type="dxa"/>
              <w:right w:w="15" w:type="dxa"/>
            </w:tcMar>
            <w:vAlign w:val="center"/>
            <w:hideMark/>
          </w:tcPr>
          <w:p w:rsidR="005A6825" w:rsidRPr="008145A1" w:rsidRDefault="005A6825" w:rsidP="009B6594">
            <w:pPr>
              <w:spacing w:after="0" w:line="276" w:lineRule="auto"/>
              <w:jc w:val="center"/>
              <w:rPr>
                <w:rFonts w:cs="Times New Roman"/>
                <w:szCs w:val="24"/>
              </w:rPr>
            </w:pPr>
            <w:r w:rsidRPr="008145A1">
              <w:rPr>
                <w:rFonts w:cs="Times New Roman"/>
                <w:szCs w:val="24"/>
              </w:rPr>
              <w:t> </w:t>
            </w:r>
          </w:p>
        </w:tc>
        <w:tc>
          <w:tcPr>
            <w:tcW w:w="1920" w:type="dxa"/>
            <w:tcBorders>
              <w:top w:val="single" w:sz="8" w:space="0" w:color="000000"/>
              <w:left w:val="single" w:sz="8" w:space="0" w:color="000000"/>
              <w:bottom w:val="single" w:sz="8" w:space="0" w:color="FFFFFF"/>
              <w:right w:val="single" w:sz="8" w:space="0" w:color="000000"/>
            </w:tcBorders>
            <w:shd w:val="clear" w:color="auto" w:fill="FFFFFF"/>
            <w:tcMar>
              <w:top w:w="15" w:type="dxa"/>
              <w:left w:w="15" w:type="dxa"/>
              <w:bottom w:w="0" w:type="dxa"/>
              <w:right w:w="15" w:type="dxa"/>
            </w:tcMar>
            <w:vAlign w:val="center"/>
            <w:hideMark/>
          </w:tcPr>
          <w:p w:rsidR="005A6825" w:rsidRPr="008145A1" w:rsidRDefault="005A6825" w:rsidP="009B6594">
            <w:pPr>
              <w:spacing w:after="0" w:line="276" w:lineRule="auto"/>
              <w:jc w:val="center"/>
              <w:rPr>
                <w:rFonts w:cs="Times New Roman"/>
                <w:szCs w:val="24"/>
              </w:rPr>
            </w:pPr>
            <w:r w:rsidRPr="008145A1">
              <w:rPr>
                <w:rFonts w:cs="Times New Roman"/>
                <w:szCs w:val="24"/>
              </w:rPr>
              <w:t> </w:t>
            </w:r>
          </w:p>
        </w:tc>
      </w:tr>
      <w:tr w:rsidR="005A6825" w:rsidRPr="008145A1" w:rsidTr="009B6594">
        <w:trPr>
          <w:trHeight w:val="32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A6825" w:rsidRPr="008145A1" w:rsidRDefault="005A6825" w:rsidP="009B6594">
            <w:pPr>
              <w:spacing w:after="0" w:line="276" w:lineRule="auto"/>
              <w:jc w:val="center"/>
              <w:rPr>
                <w:rFonts w:cs="Times New Roman"/>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A6825" w:rsidRPr="008145A1" w:rsidRDefault="005A6825" w:rsidP="009B6594">
            <w:pPr>
              <w:spacing w:after="0" w:line="276" w:lineRule="auto"/>
              <w:jc w:val="center"/>
              <w:rPr>
                <w:rFonts w:cs="Times New Roman"/>
                <w:szCs w:val="24"/>
              </w:rPr>
            </w:pPr>
          </w:p>
        </w:tc>
        <w:tc>
          <w:tcPr>
            <w:tcW w:w="3960" w:type="dxa"/>
            <w:tcBorders>
              <w:top w:val="single" w:sz="8" w:space="0" w:color="FFFFFF"/>
              <w:left w:val="single" w:sz="8" w:space="0" w:color="000000"/>
              <w:bottom w:val="single" w:sz="8" w:space="0" w:color="000000"/>
              <w:right w:val="single" w:sz="8" w:space="0" w:color="000000"/>
            </w:tcBorders>
            <w:shd w:val="clear" w:color="auto" w:fill="FFFFFF"/>
            <w:tcMar>
              <w:top w:w="15" w:type="dxa"/>
              <w:left w:w="113" w:type="dxa"/>
              <w:bottom w:w="0" w:type="dxa"/>
              <w:right w:w="15" w:type="dxa"/>
            </w:tcMar>
            <w:vAlign w:val="center"/>
            <w:hideMark/>
          </w:tcPr>
          <w:p w:rsidR="005A6825" w:rsidRPr="008145A1" w:rsidRDefault="005A6825" w:rsidP="009B6594">
            <w:pPr>
              <w:spacing w:after="0" w:line="276" w:lineRule="auto"/>
              <w:jc w:val="center"/>
              <w:rPr>
                <w:rFonts w:cs="Times New Roman"/>
                <w:szCs w:val="24"/>
              </w:rPr>
            </w:pPr>
            <w:r w:rsidRPr="008145A1">
              <w:rPr>
                <w:rFonts w:cs="Times New Roman"/>
                <w:szCs w:val="24"/>
              </w:rPr>
              <w:t>By-products</w:t>
            </w:r>
          </w:p>
        </w:tc>
        <w:tc>
          <w:tcPr>
            <w:tcW w:w="1920" w:type="dxa"/>
            <w:tcBorders>
              <w:top w:val="single" w:sz="8" w:space="0" w:color="FFFFFF"/>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5A6825" w:rsidRPr="008145A1" w:rsidRDefault="00CE2B4C" w:rsidP="009B6594">
            <w:pPr>
              <w:spacing w:after="0" w:line="276" w:lineRule="auto"/>
              <w:jc w:val="center"/>
              <w:rPr>
                <w:rFonts w:cs="Times New Roman"/>
                <w:szCs w:val="24"/>
              </w:rPr>
            </w:pPr>
            <w:r>
              <w:rPr>
                <w:rFonts w:cs="Times New Roman"/>
                <w:szCs w:val="24"/>
              </w:rPr>
              <w:t>973</w:t>
            </w:r>
          </w:p>
        </w:tc>
        <w:tc>
          <w:tcPr>
            <w:tcW w:w="1920" w:type="dxa"/>
            <w:tcBorders>
              <w:top w:val="single" w:sz="8" w:space="0" w:color="FFFFFF"/>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5A6825" w:rsidRPr="008145A1" w:rsidRDefault="005A6825" w:rsidP="009B6594">
            <w:pPr>
              <w:spacing w:after="0" w:line="276" w:lineRule="auto"/>
              <w:jc w:val="center"/>
              <w:rPr>
                <w:rFonts w:cs="Times New Roman"/>
                <w:szCs w:val="24"/>
              </w:rPr>
            </w:pPr>
            <w:r w:rsidRPr="008145A1">
              <w:rPr>
                <w:rFonts w:cs="Times New Roman"/>
                <w:szCs w:val="24"/>
              </w:rPr>
              <w:t> </w:t>
            </w:r>
          </w:p>
        </w:tc>
        <w:tc>
          <w:tcPr>
            <w:tcW w:w="1920" w:type="dxa"/>
            <w:tcBorders>
              <w:top w:val="single" w:sz="8" w:space="0" w:color="FFFFFF"/>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5A6825" w:rsidRPr="008145A1" w:rsidRDefault="005A6825" w:rsidP="009B6594">
            <w:pPr>
              <w:spacing w:after="0" w:line="276" w:lineRule="auto"/>
              <w:jc w:val="center"/>
              <w:rPr>
                <w:rFonts w:cs="Times New Roman"/>
                <w:szCs w:val="24"/>
              </w:rPr>
            </w:pPr>
            <w:r w:rsidRPr="008145A1">
              <w:rPr>
                <w:rFonts w:cs="Times New Roman"/>
                <w:szCs w:val="24"/>
              </w:rPr>
              <w:t> </w:t>
            </w:r>
          </w:p>
        </w:tc>
      </w:tr>
      <w:tr w:rsidR="005A6825" w:rsidRPr="008145A1" w:rsidTr="009B6594">
        <w:trPr>
          <w:trHeight w:val="32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A6825" w:rsidRPr="008145A1" w:rsidRDefault="005A6825" w:rsidP="009B6594">
            <w:pPr>
              <w:spacing w:after="0" w:line="276" w:lineRule="auto"/>
              <w:jc w:val="center"/>
              <w:rPr>
                <w:rFonts w:cs="Times New Roman"/>
                <w:szCs w:val="24"/>
              </w:rPr>
            </w:pPr>
          </w:p>
        </w:tc>
        <w:tc>
          <w:tcPr>
            <w:tcW w:w="24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5A6825" w:rsidRPr="008145A1" w:rsidRDefault="005A6825" w:rsidP="009B6594">
            <w:pPr>
              <w:spacing w:after="0" w:line="276" w:lineRule="auto"/>
              <w:jc w:val="center"/>
              <w:rPr>
                <w:rFonts w:cs="Times New Roman"/>
                <w:szCs w:val="24"/>
              </w:rPr>
            </w:pPr>
            <w:r w:rsidRPr="008145A1">
              <w:rPr>
                <w:rFonts w:cs="Times New Roman"/>
                <w:b/>
                <w:bCs/>
                <w:szCs w:val="24"/>
              </w:rPr>
              <w:t>Oat</w:t>
            </w:r>
          </w:p>
        </w:tc>
        <w:tc>
          <w:tcPr>
            <w:tcW w:w="3960" w:type="dxa"/>
            <w:tcBorders>
              <w:top w:val="single" w:sz="8" w:space="0" w:color="000000"/>
              <w:left w:val="single" w:sz="8" w:space="0" w:color="000000"/>
              <w:bottom w:val="single" w:sz="8" w:space="0" w:color="FFFFFF"/>
              <w:right w:val="single" w:sz="8" w:space="0" w:color="000000"/>
            </w:tcBorders>
            <w:shd w:val="clear" w:color="auto" w:fill="FFFFFF"/>
            <w:tcMar>
              <w:top w:w="15" w:type="dxa"/>
              <w:left w:w="113" w:type="dxa"/>
              <w:bottom w:w="0" w:type="dxa"/>
              <w:right w:w="15" w:type="dxa"/>
            </w:tcMar>
            <w:vAlign w:val="center"/>
            <w:hideMark/>
          </w:tcPr>
          <w:p w:rsidR="005A6825" w:rsidRPr="008145A1" w:rsidRDefault="005A6825" w:rsidP="009B6594">
            <w:pPr>
              <w:spacing w:after="0" w:line="276" w:lineRule="auto"/>
              <w:jc w:val="center"/>
              <w:rPr>
                <w:rFonts w:cs="Times New Roman"/>
                <w:szCs w:val="24"/>
              </w:rPr>
            </w:pPr>
            <w:r w:rsidRPr="008145A1">
              <w:rPr>
                <w:rFonts w:cs="Times New Roman"/>
                <w:szCs w:val="24"/>
              </w:rPr>
              <w:t>Main produce</w:t>
            </w:r>
          </w:p>
        </w:tc>
        <w:tc>
          <w:tcPr>
            <w:tcW w:w="1920" w:type="dxa"/>
            <w:tcBorders>
              <w:top w:val="single" w:sz="8" w:space="0" w:color="000000"/>
              <w:left w:val="single" w:sz="8" w:space="0" w:color="000000"/>
              <w:bottom w:val="single" w:sz="8" w:space="0" w:color="FFFFFF"/>
              <w:right w:val="single" w:sz="8" w:space="0" w:color="000000"/>
            </w:tcBorders>
            <w:shd w:val="clear" w:color="auto" w:fill="FFFFFF"/>
            <w:tcMar>
              <w:top w:w="15" w:type="dxa"/>
              <w:left w:w="15" w:type="dxa"/>
              <w:bottom w:w="0" w:type="dxa"/>
              <w:right w:w="15" w:type="dxa"/>
            </w:tcMar>
            <w:vAlign w:val="center"/>
            <w:hideMark/>
          </w:tcPr>
          <w:p w:rsidR="005A6825" w:rsidRPr="008145A1" w:rsidRDefault="005A6825" w:rsidP="009B6594">
            <w:pPr>
              <w:spacing w:after="0" w:line="276" w:lineRule="auto"/>
              <w:jc w:val="center"/>
              <w:rPr>
                <w:rFonts w:cs="Times New Roman"/>
                <w:szCs w:val="24"/>
              </w:rPr>
            </w:pPr>
            <w:r w:rsidRPr="008145A1">
              <w:rPr>
                <w:rFonts w:cs="Times New Roman"/>
                <w:szCs w:val="24"/>
              </w:rPr>
              <w:t> </w:t>
            </w:r>
          </w:p>
        </w:tc>
        <w:tc>
          <w:tcPr>
            <w:tcW w:w="1920" w:type="dxa"/>
            <w:tcBorders>
              <w:top w:val="single" w:sz="8" w:space="0" w:color="000000"/>
              <w:left w:val="single" w:sz="8" w:space="0" w:color="000000"/>
              <w:bottom w:val="single" w:sz="8" w:space="0" w:color="FFFFFF"/>
              <w:right w:val="single" w:sz="8" w:space="0" w:color="000000"/>
            </w:tcBorders>
            <w:shd w:val="clear" w:color="auto" w:fill="FFFFFF"/>
            <w:tcMar>
              <w:top w:w="15" w:type="dxa"/>
              <w:left w:w="15" w:type="dxa"/>
              <w:bottom w:w="0" w:type="dxa"/>
              <w:right w:w="15" w:type="dxa"/>
            </w:tcMar>
            <w:vAlign w:val="center"/>
            <w:hideMark/>
          </w:tcPr>
          <w:p w:rsidR="005A6825" w:rsidRPr="008145A1" w:rsidRDefault="00CE2B4C" w:rsidP="009B6594">
            <w:pPr>
              <w:spacing w:after="0" w:line="276" w:lineRule="auto"/>
              <w:jc w:val="center"/>
              <w:rPr>
                <w:rFonts w:cs="Times New Roman"/>
                <w:szCs w:val="24"/>
              </w:rPr>
            </w:pPr>
            <w:r>
              <w:rPr>
                <w:rFonts w:cs="Times New Roman"/>
                <w:szCs w:val="24"/>
              </w:rPr>
              <w:t>1,290</w:t>
            </w:r>
          </w:p>
        </w:tc>
        <w:tc>
          <w:tcPr>
            <w:tcW w:w="1920" w:type="dxa"/>
            <w:tcBorders>
              <w:top w:val="single" w:sz="8" w:space="0" w:color="000000"/>
              <w:left w:val="single" w:sz="8" w:space="0" w:color="000000"/>
              <w:bottom w:val="single" w:sz="8" w:space="0" w:color="FFFFFF"/>
              <w:right w:val="single" w:sz="8" w:space="0" w:color="000000"/>
            </w:tcBorders>
            <w:shd w:val="clear" w:color="auto" w:fill="FFFFFF"/>
            <w:tcMar>
              <w:top w:w="15" w:type="dxa"/>
              <w:left w:w="15" w:type="dxa"/>
              <w:bottom w:w="0" w:type="dxa"/>
              <w:right w:w="15" w:type="dxa"/>
            </w:tcMar>
            <w:vAlign w:val="center"/>
            <w:hideMark/>
          </w:tcPr>
          <w:p w:rsidR="005A6825" w:rsidRPr="008145A1" w:rsidRDefault="005A6825" w:rsidP="009B6594">
            <w:pPr>
              <w:spacing w:after="0" w:line="276" w:lineRule="auto"/>
              <w:jc w:val="center"/>
              <w:rPr>
                <w:rFonts w:cs="Times New Roman"/>
                <w:szCs w:val="24"/>
              </w:rPr>
            </w:pPr>
            <w:r w:rsidRPr="008145A1">
              <w:rPr>
                <w:rFonts w:cs="Times New Roman"/>
                <w:szCs w:val="24"/>
              </w:rPr>
              <w:t> </w:t>
            </w:r>
          </w:p>
        </w:tc>
      </w:tr>
      <w:tr w:rsidR="005A6825" w:rsidRPr="008145A1" w:rsidTr="009B6594">
        <w:trPr>
          <w:trHeight w:val="32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A6825" w:rsidRPr="008145A1" w:rsidRDefault="005A6825" w:rsidP="009B6594">
            <w:pPr>
              <w:spacing w:after="0" w:line="276" w:lineRule="auto"/>
              <w:jc w:val="center"/>
              <w:rPr>
                <w:rFonts w:cs="Times New Roman"/>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A6825" w:rsidRPr="008145A1" w:rsidRDefault="005A6825" w:rsidP="009B6594">
            <w:pPr>
              <w:spacing w:after="0" w:line="276" w:lineRule="auto"/>
              <w:jc w:val="center"/>
              <w:rPr>
                <w:rFonts w:cs="Times New Roman"/>
                <w:szCs w:val="24"/>
              </w:rPr>
            </w:pPr>
          </w:p>
        </w:tc>
        <w:tc>
          <w:tcPr>
            <w:tcW w:w="3960" w:type="dxa"/>
            <w:tcBorders>
              <w:top w:val="single" w:sz="8" w:space="0" w:color="FFFFFF"/>
              <w:left w:val="single" w:sz="8" w:space="0" w:color="000000"/>
              <w:bottom w:val="single" w:sz="8" w:space="0" w:color="000000"/>
              <w:right w:val="single" w:sz="8" w:space="0" w:color="000000"/>
            </w:tcBorders>
            <w:shd w:val="clear" w:color="auto" w:fill="FFFFFF"/>
            <w:tcMar>
              <w:top w:w="15" w:type="dxa"/>
              <w:left w:w="113" w:type="dxa"/>
              <w:bottom w:w="0" w:type="dxa"/>
              <w:right w:w="15" w:type="dxa"/>
            </w:tcMar>
            <w:vAlign w:val="center"/>
            <w:hideMark/>
          </w:tcPr>
          <w:p w:rsidR="005A6825" w:rsidRPr="008145A1" w:rsidRDefault="005A6825" w:rsidP="009B6594">
            <w:pPr>
              <w:spacing w:after="0" w:line="276" w:lineRule="auto"/>
              <w:jc w:val="center"/>
              <w:rPr>
                <w:rFonts w:cs="Times New Roman"/>
                <w:szCs w:val="24"/>
              </w:rPr>
            </w:pPr>
            <w:r w:rsidRPr="008145A1">
              <w:rPr>
                <w:rFonts w:cs="Times New Roman"/>
                <w:szCs w:val="24"/>
              </w:rPr>
              <w:t>By-products</w:t>
            </w:r>
          </w:p>
        </w:tc>
        <w:tc>
          <w:tcPr>
            <w:tcW w:w="1920" w:type="dxa"/>
            <w:tcBorders>
              <w:top w:val="single" w:sz="8" w:space="0" w:color="FFFFFF"/>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5A6825" w:rsidRPr="008145A1" w:rsidRDefault="005A6825" w:rsidP="009B6594">
            <w:pPr>
              <w:spacing w:after="0" w:line="276" w:lineRule="auto"/>
              <w:jc w:val="center"/>
              <w:rPr>
                <w:rFonts w:cs="Times New Roman"/>
                <w:szCs w:val="24"/>
              </w:rPr>
            </w:pPr>
            <w:r w:rsidRPr="008145A1">
              <w:rPr>
                <w:rFonts w:cs="Times New Roman"/>
                <w:szCs w:val="24"/>
              </w:rPr>
              <w:t> </w:t>
            </w:r>
          </w:p>
        </w:tc>
        <w:tc>
          <w:tcPr>
            <w:tcW w:w="1920" w:type="dxa"/>
            <w:tcBorders>
              <w:top w:val="single" w:sz="8" w:space="0" w:color="FFFFFF"/>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5A6825" w:rsidRPr="008145A1" w:rsidRDefault="00CE2B4C" w:rsidP="009B6594">
            <w:pPr>
              <w:spacing w:after="0" w:line="276" w:lineRule="auto"/>
              <w:jc w:val="center"/>
              <w:rPr>
                <w:rFonts w:cs="Times New Roman"/>
                <w:szCs w:val="24"/>
              </w:rPr>
            </w:pPr>
            <w:r>
              <w:rPr>
                <w:rFonts w:cs="Times New Roman"/>
                <w:szCs w:val="24"/>
              </w:rPr>
              <w:t>2,524</w:t>
            </w:r>
          </w:p>
        </w:tc>
        <w:tc>
          <w:tcPr>
            <w:tcW w:w="1920" w:type="dxa"/>
            <w:tcBorders>
              <w:top w:val="single" w:sz="8" w:space="0" w:color="FFFFFF"/>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5A6825" w:rsidRPr="008145A1" w:rsidRDefault="005A6825" w:rsidP="009B6594">
            <w:pPr>
              <w:spacing w:after="0" w:line="276" w:lineRule="auto"/>
              <w:jc w:val="center"/>
              <w:rPr>
                <w:rFonts w:cs="Times New Roman"/>
                <w:szCs w:val="24"/>
              </w:rPr>
            </w:pPr>
            <w:r w:rsidRPr="008145A1">
              <w:rPr>
                <w:rFonts w:cs="Times New Roman"/>
                <w:szCs w:val="24"/>
              </w:rPr>
              <w:t> </w:t>
            </w:r>
          </w:p>
        </w:tc>
      </w:tr>
      <w:tr w:rsidR="005A6825" w:rsidRPr="008145A1" w:rsidTr="009B6594">
        <w:trPr>
          <w:trHeight w:val="32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A6825" w:rsidRPr="008145A1" w:rsidRDefault="005A6825" w:rsidP="009B6594">
            <w:pPr>
              <w:spacing w:after="0" w:line="276" w:lineRule="auto"/>
              <w:jc w:val="center"/>
              <w:rPr>
                <w:rFonts w:cs="Times New Roman"/>
                <w:szCs w:val="24"/>
              </w:rPr>
            </w:pPr>
          </w:p>
        </w:tc>
        <w:tc>
          <w:tcPr>
            <w:tcW w:w="24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5A6825" w:rsidRPr="008145A1" w:rsidRDefault="005A6825" w:rsidP="009B6594">
            <w:pPr>
              <w:spacing w:after="0" w:line="276" w:lineRule="auto"/>
              <w:jc w:val="center"/>
              <w:rPr>
                <w:rFonts w:cs="Times New Roman"/>
                <w:szCs w:val="24"/>
              </w:rPr>
            </w:pPr>
            <w:r w:rsidRPr="008145A1">
              <w:rPr>
                <w:rFonts w:cs="Times New Roman"/>
                <w:b/>
                <w:bCs/>
                <w:szCs w:val="24"/>
              </w:rPr>
              <w:t>Fodder</w:t>
            </w:r>
          </w:p>
        </w:tc>
        <w:tc>
          <w:tcPr>
            <w:tcW w:w="3960" w:type="dxa"/>
            <w:tcBorders>
              <w:top w:val="single" w:sz="8" w:space="0" w:color="000000"/>
              <w:left w:val="single" w:sz="8" w:space="0" w:color="000000"/>
              <w:bottom w:val="single" w:sz="8" w:space="0" w:color="FFFFFF"/>
              <w:right w:val="single" w:sz="8" w:space="0" w:color="000000"/>
            </w:tcBorders>
            <w:shd w:val="clear" w:color="auto" w:fill="FFFFFF"/>
            <w:tcMar>
              <w:top w:w="15" w:type="dxa"/>
              <w:left w:w="113" w:type="dxa"/>
              <w:bottom w:w="0" w:type="dxa"/>
              <w:right w:w="15" w:type="dxa"/>
            </w:tcMar>
            <w:vAlign w:val="center"/>
            <w:hideMark/>
          </w:tcPr>
          <w:p w:rsidR="005A6825" w:rsidRPr="008145A1" w:rsidRDefault="005A6825" w:rsidP="009B6594">
            <w:pPr>
              <w:spacing w:after="0" w:line="276" w:lineRule="auto"/>
              <w:jc w:val="center"/>
              <w:rPr>
                <w:rFonts w:cs="Times New Roman"/>
                <w:szCs w:val="24"/>
              </w:rPr>
            </w:pPr>
            <w:r w:rsidRPr="008145A1">
              <w:rPr>
                <w:rFonts w:cs="Times New Roman"/>
                <w:szCs w:val="24"/>
              </w:rPr>
              <w:t>Main produce</w:t>
            </w:r>
          </w:p>
        </w:tc>
        <w:tc>
          <w:tcPr>
            <w:tcW w:w="1920" w:type="dxa"/>
            <w:tcBorders>
              <w:top w:val="single" w:sz="8" w:space="0" w:color="000000"/>
              <w:left w:val="single" w:sz="8" w:space="0" w:color="000000"/>
              <w:bottom w:val="single" w:sz="8" w:space="0" w:color="FFFFFF"/>
              <w:right w:val="single" w:sz="8" w:space="0" w:color="000000"/>
            </w:tcBorders>
            <w:shd w:val="clear" w:color="auto" w:fill="FFFFFF"/>
            <w:tcMar>
              <w:top w:w="15" w:type="dxa"/>
              <w:left w:w="15" w:type="dxa"/>
              <w:bottom w:w="0" w:type="dxa"/>
              <w:right w:w="15" w:type="dxa"/>
            </w:tcMar>
            <w:vAlign w:val="center"/>
            <w:hideMark/>
          </w:tcPr>
          <w:p w:rsidR="005A6825" w:rsidRPr="008145A1" w:rsidRDefault="005A6825" w:rsidP="009B6594">
            <w:pPr>
              <w:spacing w:after="0" w:line="276" w:lineRule="auto"/>
              <w:jc w:val="center"/>
              <w:rPr>
                <w:rFonts w:cs="Times New Roman"/>
                <w:szCs w:val="24"/>
              </w:rPr>
            </w:pPr>
            <w:r w:rsidRPr="008145A1">
              <w:rPr>
                <w:rFonts w:cs="Times New Roman"/>
                <w:szCs w:val="24"/>
              </w:rPr>
              <w:t> </w:t>
            </w:r>
          </w:p>
        </w:tc>
        <w:tc>
          <w:tcPr>
            <w:tcW w:w="1920" w:type="dxa"/>
            <w:tcBorders>
              <w:top w:val="single" w:sz="8" w:space="0" w:color="000000"/>
              <w:left w:val="single" w:sz="8" w:space="0" w:color="000000"/>
              <w:bottom w:val="single" w:sz="8" w:space="0" w:color="FFFFFF"/>
              <w:right w:val="single" w:sz="8" w:space="0" w:color="000000"/>
            </w:tcBorders>
            <w:shd w:val="clear" w:color="auto" w:fill="FFFFFF"/>
            <w:tcMar>
              <w:top w:w="15" w:type="dxa"/>
              <w:left w:w="15" w:type="dxa"/>
              <w:bottom w:w="0" w:type="dxa"/>
              <w:right w:w="15" w:type="dxa"/>
            </w:tcMar>
            <w:vAlign w:val="center"/>
            <w:hideMark/>
          </w:tcPr>
          <w:p w:rsidR="005A6825" w:rsidRPr="008145A1" w:rsidRDefault="005A6825" w:rsidP="009B6594">
            <w:pPr>
              <w:spacing w:after="0" w:line="276" w:lineRule="auto"/>
              <w:jc w:val="center"/>
              <w:rPr>
                <w:rFonts w:cs="Times New Roman"/>
                <w:szCs w:val="24"/>
              </w:rPr>
            </w:pPr>
          </w:p>
        </w:tc>
        <w:tc>
          <w:tcPr>
            <w:tcW w:w="1920" w:type="dxa"/>
            <w:tcBorders>
              <w:top w:val="single" w:sz="8" w:space="0" w:color="000000"/>
              <w:left w:val="single" w:sz="8" w:space="0" w:color="000000"/>
              <w:bottom w:val="single" w:sz="8" w:space="0" w:color="FFFFFF"/>
              <w:right w:val="single" w:sz="8" w:space="0" w:color="000000"/>
            </w:tcBorders>
            <w:shd w:val="clear" w:color="auto" w:fill="FFFFFF"/>
            <w:tcMar>
              <w:top w:w="15" w:type="dxa"/>
              <w:left w:w="15" w:type="dxa"/>
              <w:bottom w:w="0" w:type="dxa"/>
              <w:right w:w="15" w:type="dxa"/>
            </w:tcMar>
            <w:vAlign w:val="center"/>
            <w:hideMark/>
          </w:tcPr>
          <w:p w:rsidR="005A6825" w:rsidRPr="008145A1" w:rsidRDefault="00CE2B4C" w:rsidP="009B6594">
            <w:pPr>
              <w:spacing w:after="0" w:line="276" w:lineRule="auto"/>
              <w:jc w:val="center"/>
              <w:rPr>
                <w:rFonts w:cs="Times New Roman"/>
                <w:szCs w:val="24"/>
              </w:rPr>
            </w:pPr>
            <w:r>
              <w:rPr>
                <w:rFonts w:cs="Times New Roman"/>
                <w:szCs w:val="24"/>
              </w:rPr>
              <w:t>20,350</w:t>
            </w:r>
          </w:p>
        </w:tc>
      </w:tr>
      <w:tr w:rsidR="005A6825" w:rsidRPr="008145A1" w:rsidTr="009B6594">
        <w:trPr>
          <w:trHeight w:val="32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A6825" w:rsidRPr="008145A1" w:rsidRDefault="005A6825" w:rsidP="009B6594">
            <w:pPr>
              <w:spacing w:after="0" w:line="276" w:lineRule="auto"/>
              <w:jc w:val="center"/>
              <w:rPr>
                <w:rFonts w:cs="Times New Roman"/>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A6825" w:rsidRPr="008145A1" w:rsidRDefault="005A6825" w:rsidP="009B6594">
            <w:pPr>
              <w:spacing w:after="0" w:line="276" w:lineRule="auto"/>
              <w:jc w:val="center"/>
              <w:rPr>
                <w:rFonts w:cs="Times New Roman"/>
                <w:szCs w:val="24"/>
              </w:rPr>
            </w:pPr>
          </w:p>
        </w:tc>
        <w:tc>
          <w:tcPr>
            <w:tcW w:w="3960" w:type="dxa"/>
            <w:tcBorders>
              <w:top w:val="single" w:sz="8" w:space="0" w:color="FFFFFF"/>
              <w:left w:val="single" w:sz="8" w:space="0" w:color="000000"/>
              <w:bottom w:val="single" w:sz="8" w:space="0" w:color="000000"/>
              <w:right w:val="single" w:sz="8" w:space="0" w:color="000000"/>
            </w:tcBorders>
            <w:shd w:val="clear" w:color="auto" w:fill="FFFFFF"/>
            <w:tcMar>
              <w:top w:w="15" w:type="dxa"/>
              <w:left w:w="113" w:type="dxa"/>
              <w:bottom w:w="0" w:type="dxa"/>
              <w:right w:w="15" w:type="dxa"/>
            </w:tcMar>
            <w:vAlign w:val="center"/>
            <w:hideMark/>
          </w:tcPr>
          <w:p w:rsidR="005A6825" w:rsidRPr="008145A1" w:rsidRDefault="005A6825" w:rsidP="009B6594">
            <w:pPr>
              <w:spacing w:after="0" w:line="276" w:lineRule="auto"/>
              <w:jc w:val="center"/>
              <w:rPr>
                <w:rFonts w:cs="Times New Roman"/>
                <w:szCs w:val="24"/>
              </w:rPr>
            </w:pPr>
            <w:r w:rsidRPr="008145A1">
              <w:rPr>
                <w:rFonts w:cs="Times New Roman"/>
                <w:szCs w:val="24"/>
              </w:rPr>
              <w:t>By-products</w:t>
            </w:r>
          </w:p>
        </w:tc>
        <w:tc>
          <w:tcPr>
            <w:tcW w:w="1920" w:type="dxa"/>
            <w:tcBorders>
              <w:top w:val="single" w:sz="8" w:space="0" w:color="FFFFFF"/>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5A6825" w:rsidRPr="008145A1" w:rsidRDefault="005A6825" w:rsidP="009B6594">
            <w:pPr>
              <w:spacing w:after="0" w:line="276" w:lineRule="auto"/>
              <w:jc w:val="center"/>
              <w:rPr>
                <w:rFonts w:cs="Times New Roman"/>
                <w:szCs w:val="24"/>
              </w:rPr>
            </w:pPr>
            <w:r w:rsidRPr="008145A1">
              <w:rPr>
                <w:rFonts w:cs="Times New Roman"/>
                <w:szCs w:val="24"/>
              </w:rPr>
              <w:t> </w:t>
            </w:r>
          </w:p>
        </w:tc>
        <w:tc>
          <w:tcPr>
            <w:tcW w:w="1920" w:type="dxa"/>
            <w:tcBorders>
              <w:top w:val="single" w:sz="8" w:space="0" w:color="FFFFFF"/>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5A6825" w:rsidRPr="008145A1" w:rsidRDefault="005A6825" w:rsidP="009B6594">
            <w:pPr>
              <w:spacing w:after="0" w:line="276" w:lineRule="auto"/>
              <w:jc w:val="center"/>
              <w:rPr>
                <w:rFonts w:cs="Times New Roman"/>
                <w:szCs w:val="24"/>
              </w:rPr>
            </w:pPr>
            <w:r w:rsidRPr="008145A1">
              <w:rPr>
                <w:rFonts w:cs="Times New Roman"/>
                <w:szCs w:val="24"/>
              </w:rPr>
              <w:t> </w:t>
            </w:r>
          </w:p>
        </w:tc>
        <w:tc>
          <w:tcPr>
            <w:tcW w:w="1920" w:type="dxa"/>
            <w:tcBorders>
              <w:top w:val="single" w:sz="8" w:space="0" w:color="FFFFFF"/>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5A6825" w:rsidRPr="008145A1" w:rsidRDefault="005A6825" w:rsidP="009B6594">
            <w:pPr>
              <w:spacing w:after="0" w:line="276" w:lineRule="auto"/>
              <w:jc w:val="center"/>
              <w:rPr>
                <w:rFonts w:cs="Times New Roman"/>
                <w:szCs w:val="24"/>
              </w:rPr>
            </w:pPr>
            <w:r w:rsidRPr="008145A1">
              <w:rPr>
                <w:rFonts w:cs="Times New Roman"/>
                <w:szCs w:val="24"/>
              </w:rPr>
              <w:t> </w:t>
            </w:r>
          </w:p>
        </w:tc>
      </w:tr>
      <w:tr w:rsidR="005A6825" w:rsidRPr="008145A1" w:rsidTr="009B6594">
        <w:trPr>
          <w:trHeight w:val="32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A6825" w:rsidRPr="008145A1" w:rsidRDefault="005A6825" w:rsidP="009B6594">
            <w:pPr>
              <w:spacing w:after="0" w:line="276" w:lineRule="auto"/>
              <w:jc w:val="center"/>
              <w:rPr>
                <w:rFonts w:cs="Times New Roman"/>
                <w:szCs w:val="24"/>
              </w:rPr>
            </w:pPr>
          </w:p>
        </w:tc>
        <w:tc>
          <w:tcPr>
            <w:tcW w:w="24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5A6825" w:rsidRPr="008145A1" w:rsidRDefault="005A6825" w:rsidP="009B6594">
            <w:pPr>
              <w:spacing w:after="0" w:line="276" w:lineRule="auto"/>
              <w:jc w:val="center"/>
              <w:rPr>
                <w:rFonts w:cs="Times New Roman"/>
                <w:szCs w:val="24"/>
              </w:rPr>
            </w:pPr>
            <w:r w:rsidRPr="008145A1">
              <w:rPr>
                <w:rFonts w:cs="Times New Roman"/>
                <w:b/>
                <w:bCs/>
                <w:szCs w:val="24"/>
              </w:rPr>
              <w:t>Vine</w:t>
            </w:r>
          </w:p>
        </w:tc>
        <w:tc>
          <w:tcPr>
            <w:tcW w:w="3960" w:type="dxa"/>
            <w:tcBorders>
              <w:top w:val="single" w:sz="8" w:space="0" w:color="000000"/>
              <w:left w:val="single" w:sz="8" w:space="0" w:color="000000"/>
              <w:bottom w:val="single" w:sz="8" w:space="0" w:color="FFFFFF"/>
              <w:right w:val="single" w:sz="8" w:space="0" w:color="000000"/>
            </w:tcBorders>
            <w:shd w:val="clear" w:color="auto" w:fill="FFFFFF"/>
            <w:tcMar>
              <w:top w:w="15" w:type="dxa"/>
              <w:left w:w="113" w:type="dxa"/>
              <w:bottom w:w="0" w:type="dxa"/>
              <w:right w:w="15" w:type="dxa"/>
            </w:tcMar>
            <w:vAlign w:val="center"/>
            <w:hideMark/>
          </w:tcPr>
          <w:p w:rsidR="005A6825" w:rsidRPr="008145A1" w:rsidRDefault="005A6825" w:rsidP="009B6594">
            <w:pPr>
              <w:spacing w:after="0" w:line="276" w:lineRule="auto"/>
              <w:jc w:val="center"/>
              <w:rPr>
                <w:rFonts w:cs="Times New Roman"/>
                <w:szCs w:val="24"/>
              </w:rPr>
            </w:pPr>
            <w:r w:rsidRPr="008145A1">
              <w:rPr>
                <w:rFonts w:cs="Times New Roman"/>
                <w:szCs w:val="24"/>
              </w:rPr>
              <w:t>Main produce</w:t>
            </w:r>
          </w:p>
        </w:tc>
        <w:tc>
          <w:tcPr>
            <w:tcW w:w="1920" w:type="dxa"/>
            <w:tcBorders>
              <w:top w:val="single" w:sz="8" w:space="0" w:color="000000"/>
              <w:left w:val="single" w:sz="8" w:space="0" w:color="000000"/>
              <w:bottom w:val="single" w:sz="8" w:space="0" w:color="FFFFFF"/>
              <w:right w:val="single" w:sz="8" w:space="0" w:color="000000"/>
            </w:tcBorders>
            <w:shd w:val="clear" w:color="auto" w:fill="FFFFFF"/>
            <w:tcMar>
              <w:top w:w="15" w:type="dxa"/>
              <w:left w:w="15" w:type="dxa"/>
              <w:bottom w:w="0" w:type="dxa"/>
              <w:right w:w="15" w:type="dxa"/>
            </w:tcMar>
            <w:vAlign w:val="center"/>
            <w:hideMark/>
          </w:tcPr>
          <w:p w:rsidR="005A6825" w:rsidRPr="008145A1" w:rsidRDefault="00CE2B4C" w:rsidP="009B6594">
            <w:pPr>
              <w:spacing w:after="0" w:line="276" w:lineRule="auto"/>
              <w:jc w:val="center"/>
              <w:rPr>
                <w:rFonts w:cs="Times New Roman"/>
                <w:szCs w:val="24"/>
              </w:rPr>
            </w:pPr>
            <w:r>
              <w:rPr>
                <w:rFonts w:cs="Times New Roman"/>
                <w:szCs w:val="24"/>
              </w:rPr>
              <w:t>98</w:t>
            </w:r>
          </w:p>
        </w:tc>
        <w:tc>
          <w:tcPr>
            <w:tcW w:w="1920" w:type="dxa"/>
            <w:tcBorders>
              <w:top w:val="single" w:sz="8" w:space="0" w:color="000000"/>
              <w:left w:val="single" w:sz="8" w:space="0" w:color="000000"/>
              <w:bottom w:val="single" w:sz="8" w:space="0" w:color="FFFFFF"/>
              <w:right w:val="single" w:sz="8" w:space="0" w:color="000000"/>
            </w:tcBorders>
            <w:shd w:val="clear" w:color="auto" w:fill="FFFFFF"/>
            <w:tcMar>
              <w:top w:w="15" w:type="dxa"/>
              <w:left w:w="15" w:type="dxa"/>
              <w:bottom w:w="0" w:type="dxa"/>
              <w:right w:w="15" w:type="dxa"/>
            </w:tcMar>
            <w:vAlign w:val="center"/>
            <w:hideMark/>
          </w:tcPr>
          <w:p w:rsidR="005A6825" w:rsidRPr="008145A1" w:rsidRDefault="00CE2B4C" w:rsidP="009B6594">
            <w:pPr>
              <w:spacing w:after="0" w:line="276" w:lineRule="auto"/>
              <w:jc w:val="center"/>
              <w:rPr>
                <w:rFonts w:cs="Times New Roman"/>
                <w:szCs w:val="24"/>
              </w:rPr>
            </w:pPr>
            <w:r>
              <w:rPr>
                <w:rFonts w:cs="Times New Roman"/>
                <w:szCs w:val="24"/>
              </w:rPr>
              <w:t>132</w:t>
            </w:r>
          </w:p>
        </w:tc>
        <w:tc>
          <w:tcPr>
            <w:tcW w:w="1920" w:type="dxa"/>
            <w:tcBorders>
              <w:top w:val="single" w:sz="8" w:space="0" w:color="000000"/>
              <w:left w:val="single" w:sz="8" w:space="0" w:color="000000"/>
              <w:bottom w:val="single" w:sz="8" w:space="0" w:color="FFFFFF"/>
              <w:right w:val="single" w:sz="8" w:space="0" w:color="000000"/>
            </w:tcBorders>
            <w:shd w:val="clear" w:color="auto" w:fill="FFFFFF"/>
            <w:tcMar>
              <w:top w:w="15" w:type="dxa"/>
              <w:left w:w="15" w:type="dxa"/>
              <w:bottom w:w="0" w:type="dxa"/>
              <w:right w:w="15" w:type="dxa"/>
            </w:tcMar>
            <w:vAlign w:val="center"/>
            <w:hideMark/>
          </w:tcPr>
          <w:p w:rsidR="005A6825" w:rsidRPr="008145A1" w:rsidRDefault="005A6825" w:rsidP="009B6594">
            <w:pPr>
              <w:spacing w:after="0" w:line="276" w:lineRule="auto"/>
              <w:jc w:val="center"/>
              <w:rPr>
                <w:rFonts w:cs="Times New Roman"/>
                <w:szCs w:val="24"/>
              </w:rPr>
            </w:pPr>
            <w:r w:rsidRPr="008145A1">
              <w:rPr>
                <w:rFonts w:cs="Times New Roman"/>
                <w:szCs w:val="24"/>
              </w:rPr>
              <w:t> </w:t>
            </w:r>
          </w:p>
        </w:tc>
      </w:tr>
      <w:tr w:rsidR="005A6825" w:rsidRPr="008145A1" w:rsidTr="009B6594">
        <w:trPr>
          <w:trHeight w:val="32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A6825" w:rsidRPr="008145A1" w:rsidRDefault="005A6825" w:rsidP="009B6594">
            <w:pPr>
              <w:spacing w:after="0" w:line="276" w:lineRule="auto"/>
              <w:jc w:val="center"/>
              <w:rPr>
                <w:rFonts w:cs="Times New Roman"/>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A6825" w:rsidRPr="008145A1" w:rsidRDefault="005A6825" w:rsidP="009B6594">
            <w:pPr>
              <w:spacing w:after="0" w:line="276" w:lineRule="auto"/>
              <w:jc w:val="center"/>
              <w:rPr>
                <w:rFonts w:cs="Times New Roman"/>
                <w:szCs w:val="24"/>
              </w:rPr>
            </w:pPr>
          </w:p>
        </w:tc>
        <w:tc>
          <w:tcPr>
            <w:tcW w:w="3960" w:type="dxa"/>
            <w:tcBorders>
              <w:top w:val="single" w:sz="8" w:space="0" w:color="FFFFFF"/>
              <w:left w:val="single" w:sz="8" w:space="0" w:color="000000"/>
              <w:bottom w:val="single" w:sz="8" w:space="0" w:color="000000"/>
              <w:right w:val="single" w:sz="8" w:space="0" w:color="000000"/>
            </w:tcBorders>
            <w:shd w:val="clear" w:color="auto" w:fill="FFFFFF"/>
            <w:tcMar>
              <w:top w:w="15" w:type="dxa"/>
              <w:left w:w="113" w:type="dxa"/>
              <w:bottom w:w="0" w:type="dxa"/>
              <w:right w:w="15" w:type="dxa"/>
            </w:tcMar>
            <w:vAlign w:val="center"/>
            <w:hideMark/>
          </w:tcPr>
          <w:p w:rsidR="005A6825" w:rsidRPr="008145A1" w:rsidRDefault="005A6825" w:rsidP="009B6594">
            <w:pPr>
              <w:spacing w:after="0" w:line="276" w:lineRule="auto"/>
              <w:jc w:val="center"/>
              <w:rPr>
                <w:rFonts w:cs="Times New Roman"/>
                <w:szCs w:val="24"/>
              </w:rPr>
            </w:pPr>
            <w:r w:rsidRPr="008145A1">
              <w:rPr>
                <w:rFonts w:cs="Times New Roman"/>
                <w:szCs w:val="24"/>
              </w:rPr>
              <w:t>By-products</w:t>
            </w:r>
          </w:p>
        </w:tc>
        <w:tc>
          <w:tcPr>
            <w:tcW w:w="1920" w:type="dxa"/>
            <w:tcBorders>
              <w:top w:val="single" w:sz="8" w:space="0" w:color="FFFFFF"/>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5A6825" w:rsidRPr="008145A1" w:rsidRDefault="00CE2B4C" w:rsidP="009B6594">
            <w:pPr>
              <w:spacing w:after="0" w:line="276" w:lineRule="auto"/>
              <w:jc w:val="center"/>
              <w:rPr>
                <w:rFonts w:cs="Times New Roman"/>
                <w:szCs w:val="24"/>
              </w:rPr>
            </w:pPr>
            <w:r>
              <w:rPr>
                <w:rFonts w:cs="Times New Roman"/>
                <w:szCs w:val="24"/>
              </w:rPr>
              <w:t>1,285</w:t>
            </w:r>
          </w:p>
        </w:tc>
        <w:tc>
          <w:tcPr>
            <w:tcW w:w="1920" w:type="dxa"/>
            <w:tcBorders>
              <w:top w:val="single" w:sz="8" w:space="0" w:color="FFFFFF"/>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5A6825" w:rsidRPr="008145A1" w:rsidRDefault="00CE2B4C" w:rsidP="009B6594">
            <w:pPr>
              <w:spacing w:after="0" w:line="276" w:lineRule="auto"/>
              <w:jc w:val="center"/>
              <w:rPr>
                <w:rFonts w:cs="Times New Roman"/>
                <w:szCs w:val="24"/>
              </w:rPr>
            </w:pPr>
            <w:r>
              <w:rPr>
                <w:rFonts w:cs="Times New Roman"/>
                <w:szCs w:val="24"/>
              </w:rPr>
              <w:t>1,697</w:t>
            </w:r>
          </w:p>
        </w:tc>
        <w:tc>
          <w:tcPr>
            <w:tcW w:w="1920" w:type="dxa"/>
            <w:tcBorders>
              <w:top w:val="single" w:sz="8" w:space="0" w:color="FFFFFF"/>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5A6825" w:rsidRPr="008145A1" w:rsidRDefault="005A6825" w:rsidP="009B6594">
            <w:pPr>
              <w:spacing w:after="0" w:line="276" w:lineRule="auto"/>
              <w:jc w:val="center"/>
              <w:rPr>
                <w:rFonts w:cs="Times New Roman"/>
                <w:szCs w:val="24"/>
              </w:rPr>
            </w:pPr>
            <w:r w:rsidRPr="008145A1">
              <w:rPr>
                <w:rFonts w:cs="Times New Roman"/>
                <w:szCs w:val="24"/>
              </w:rPr>
              <w:t> </w:t>
            </w:r>
          </w:p>
        </w:tc>
      </w:tr>
      <w:tr w:rsidR="005A6825" w:rsidRPr="008145A1" w:rsidTr="009B6594">
        <w:trPr>
          <w:trHeight w:val="32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A6825" w:rsidRPr="008145A1" w:rsidRDefault="005A6825" w:rsidP="009B6594">
            <w:pPr>
              <w:spacing w:after="0" w:line="276" w:lineRule="auto"/>
              <w:jc w:val="center"/>
              <w:rPr>
                <w:rFonts w:cs="Times New Roman"/>
                <w:szCs w:val="24"/>
              </w:rPr>
            </w:pPr>
          </w:p>
        </w:tc>
        <w:tc>
          <w:tcPr>
            <w:tcW w:w="24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5A6825" w:rsidRPr="008145A1" w:rsidRDefault="005A6825" w:rsidP="009B6594">
            <w:pPr>
              <w:spacing w:after="0" w:line="276" w:lineRule="auto"/>
              <w:jc w:val="center"/>
              <w:rPr>
                <w:rFonts w:cs="Times New Roman"/>
                <w:szCs w:val="24"/>
              </w:rPr>
            </w:pPr>
            <w:r w:rsidRPr="008145A1">
              <w:rPr>
                <w:rFonts w:cs="Times New Roman"/>
                <w:b/>
                <w:bCs/>
                <w:szCs w:val="24"/>
              </w:rPr>
              <w:t xml:space="preserve">Olive </w:t>
            </w:r>
          </w:p>
        </w:tc>
        <w:tc>
          <w:tcPr>
            <w:tcW w:w="3960" w:type="dxa"/>
            <w:tcBorders>
              <w:top w:val="single" w:sz="8" w:space="0" w:color="000000"/>
              <w:left w:val="single" w:sz="8" w:space="0" w:color="000000"/>
              <w:bottom w:val="single" w:sz="8" w:space="0" w:color="FFFFFF"/>
              <w:right w:val="single" w:sz="8" w:space="0" w:color="000000"/>
            </w:tcBorders>
            <w:shd w:val="clear" w:color="auto" w:fill="FFFFFF"/>
            <w:tcMar>
              <w:top w:w="15" w:type="dxa"/>
              <w:left w:w="113" w:type="dxa"/>
              <w:bottom w:w="0" w:type="dxa"/>
              <w:right w:w="15" w:type="dxa"/>
            </w:tcMar>
            <w:vAlign w:val="center"/>
            <w:hideMark/>
          </w:tcPr>
          <w:p w:rsidR="005A6825" w:rsidRPr="008145A1" w:rsidRDefault="005A6825" w:rsidP="009B6594">
            <w:pPr>
              <w:spacing w:after="0" w:line="276" w:lineRule="auto"/>
              <w:jc w:val="center"/>
              <w:rPr>
                <w:rFonts w:cs="Times New Roman"/>
                <w:szCs w:val="24"/>
              </w:rPr>
            </w:pPr>
            <w:r w:rsidRPr="008145A1">
              <w:rPr>
                <w:rFonts w:cs="Times New Roman"/>
                <w:szCs w:val="24"/>
              </w:rPr>
              <w:t>Main produce</w:t>
            </w:r>
          </w:p>
        </w:tc>
        <w:tc>
          <w:tcPr>
            <w:tcW w:w="1920" w:type="dxa"/>
            <w:tcBorders>
              <w:top w:val="single" w:sz="8" w:space="0" w:color="000000"/>
              <w:left w:val="single" w:sz="8" w:space="0" w:color="000000"/>
              <w:bottom w:val="single" w:sz="8" w:space="0" w:color="FFFFFF"/>
              <w:right w:val="single" w:sz="8" w:space="0" w:color="000000"/>
            </w:tcBorders>
            <w:shd w:val="clear" w:color="auto" w:fill="FFFFFF"/>
            <w:tcMar>
              <w:top w:w="15" w:type="dxa"/>
              <w:left w:w="15" w:type="dxa"/>
              <w:bottom w:w="0" w:type="dxa"/>
              <w:right w:w="15" w:type="dxa"/>
            </w:tcMar>
            <w:vAlign w:val="center"/>
            <w:hideMark/>
          </w:tcPr>
          <w:p w:rsidR="005A6825" w:rsidRPr="008145A1" w:rsidRDefault="00CE2B4C" w:rsidP="009B6594">
            <w:pPr>
              <w:spacing w:after="0" w:line="276" w:lineRule="auto"/>
              <w:jc w:val="center"/>
              <w:rPr>
                <w:rFonts w:cs="Times New Roman"/>
                <w:szCs w:val="24"/>
              </w:rPr>
            </w:pPr>
            <w:r>
              <w:rPr>
                <w:rFonts w:cs="Times New Roman"/>
                <w:szCs w:val="24"/>
              </w:rPr>
              <w:t>77</w:t>
            </w:r>
          </w:p>
        </w:tc>
        <w:tc>
          <w:tcPr>
            <w:tcW w:w="1920" w:type="dxa"/>
            <w:tcBorders>
              <w:top w:val="single" w:sz="8" w:space="0" w:color="000000"/>
              <w:left w:val="single" w:sz="8" w:space="0" w:color="000000"/>
              <w:bottom w:val="single" w:sz="8" w:space="0" w:color="FFFFFF"/>
              <w:right w:val="single" w:sz="8" w:space="0" w:color="000000"/>
            </w:tcBorders>
            <w:shd w:val="clear" w:color="auto" w:fill="FFFFFF"/>
            <w:tcMar>
              <w:top w:w="15" w:type="dxa"/>
              <w:left w:w="15" w:type="dxa"/>
              <w:bottom w:w="0" w:type="dxa"/>
              <w:right w:w="15" w:type="dxa"/>
            </w:tcMar>
            <w:vAlign w:val="center"/>
            <w:hideMark/>
          </w:tcPr>
          <w:p w:rsidR="005A6825" w:rsidRPr="008145A1" w:rsidRDefault="00CE2B4C" w:rsidP="009B6594">
            <w:pPr>
              <w:spacing w:after="0" w:line="276" w:lineRule="auto"/>
              <w:jc w:val="center"/>
              <w:rPr>
                <w:rFonts w:cs="Times New Roman"/>
                <w:szCs w:val="24"/>
              </w:rPr>
            </w:pPr>
            <w:r>
              <w:rPr>
                <w:rFonts w:cs="Times New Roman"/>
                <w:szCs w:val="24"/>
              </w:rPr>
              <w:t>320</w:t>
            </w:r>
          </w:p>
        </w:tc>
        <w:tc>
          <w:tcPr>
            <w:tcW w:w="1920" w:type="dxa"/>
            <w:tcBorders>
              <w:top w:val="single" w:sz="8" w:space="0" w:color="000000"/>
              <w:left w:val="single" w:sz="8" w:space="0" w:color="000000"/>
              <w:bottom w:val="single" w:sz="8" w:space="0" w:color="FFFFFF"/>
              <w:right w:val="single" w:sz="8" w:space="0" w:color="000000"/>
            </w:tcBorders>
            <w:shd w:val="clear" w:color="auto" w:fill="FFFFFF"/>
            <w:tcMar>
              <w:top w:w="15" w:type="dxa"/>
              <w:left w:w="15" w:type="dxa"/>
              <w:bottom w:w="0" w:type="dxa"/>
              <w:right w:w="15" w:type="dxa"/>
            </w:tcMar>
            <w:vAlign w:val="center"/>
            <w:hideMark/>
          </w:tcPr>
          <w:p w:rsidR="005A6825" w:rsidRPr="008145A1" w:rsidRDefault="00CE2B4C" w:rsidP="009B6594">
            <w:pPr>
              <w:spacing w:after="0" w:line="276" w:lineRule="auto"/>
              <w:jc w:val="center"/>
              <w:rPr>
                <w:rFonts w:cs="Times New Roman"/>
                <w:szCs w:val="24"/>
              </w:rPr>
            </w:pPr>
            <w:r>
              <w:rPr>
                <w:rFonts w:cs="Times New Roman"/>
                <w:szCs w:val="24"/>
              </w:rPr>
              <w:t>1,167</w:t>
            </w:r>
          </w:p>
        </w:tc>
      </w:tr>
      <w:tr w:rsidR="005A6825" w:rsidRPr="008145A1" w:rsidTr="009B6594">
        <w:trPr>
          <w:trHeight w:val="32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A6825" w:rsidRPr="008145A1" w:rsidRDefault="005A6825" w:rsidP="009B6594">
            <w:pPr>
              <w:spacing w:after="0" w:line="276" w:lineRule="auto"/>
              <w:jc w:val="center"/>
              <w:rPr>
                <w:rFonts w:cs="Times New Roman"/>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A6825" w:rsidRPr="008145A1" w:rsidRDefault="005A6825" w:rsidP="009B6594">
            <w:pPr>
              <w:spacing w:after="0" w:line="276" w:lineRule="auto"/>
              <w:jc w:val="center"/>
              <w:rPr>
                <w:rFonts w:cs="Times New Roman"/>
                <w:szCs w:val="24"/>
              </w:rPr>
            </w:pPr>
          </w:p>
        </w:tc>
        <w:tc>
          <w:tcPr>
            <w:tcW w:w="3960" w:type="dxa"/>
            <w:tcBorders>
              <w:top w:val="single" w:sz="8" w:space="0" w:color="FFFFFF"/>
              <w:left w:val="single" w:sz="8" w:space="0" w:color="000000"/>
              <w:bottom w:val="single" w:sz="8" w:space="0" w:color="000000"/>
              <w:right w:val="single" w:sz="8" w:space="0" w:color="000000"/>
            </w:tcBorders>
            <w:shd w:val="clear" w:color="auto" w:fill="FFFFFF"/>
            <w:tcMar>
              <w:top w:w="15" w:type="dxa"/>
              <w:left w:w="113" w:type="dxa"/>
              <w:bottom w:w="0" w:type="dxa"/>
              <w:right w:w="15" w:type="dxa"/>
            </w:tcMar>
            <w:vAlign w:val="center"/>
            <w:hideMark/>
          </w:tcPr>
          <w:p w:rsidR="005A6825" w:rsidRPr="008145A1" w:rsidRDefault="005A6825" w:rsidP="009B6594">
            <w:pPr>
              <w:spacing w:after="0" w:line="276" w:lineRule="auto"/>
              <w:jc w:val="center"/>
              <w:rPr>
                <w:rFonts w:cs="Times New Roman"/>
                <w:szCs w:val="24"/>
              </w:rPr>
            </w:pPr>
            <w:r w:rsidRPr="008145A1">
              <w:rPr>
                <w:rFonts w:cs="Times New Roman"/>
                <w:szCs w:val="24"/>
              </w:rPr>
              <w:t>By-products</w:t>
            </w:r>
          </w:p>
        </w:tc>
        <w:tc>
          <w:tcPr>
            <w:tcW w:w="1920" w:type="dxa"/>
            <w:tcBorders>
              <w:top w:val="single" w:sz="8" w:space="0" w:color="FFFFFF"/>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5A6825" w:rsidRPr="008145A1" w:rsidRDefault="00CE2B4C" w:rsidP="009B6594">
            <w:pPr>
              <w:spacing w:after="0" w:line="276" w:lineRule="auto"/>
              <w:jc w:val="center"/>
              <w:rPr>
                <w:rFonts w:cs="Times New Roman"/>
                <w:szCs w:val="24"/>
              </w:rPr>
            </w:pPr>
            <w:r>
              <w:rPr>
                <w:rFonts w:cs="Times New Roman"/>
                <w:szCs w:val="24"/>
              </w:rPr>
              <w:t>1,027</w:t>
            </w:r>
          </w:p>
        </w:tc>
        <w:tc>
          <w:tcPr>
            <w:tcW w:w="1920" w:type="dxa"/>
            <w:tcBorders>
              <w:top w:val="single" w:sz="8" w:space="0" w:color="FFFFFF"/>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5A6825" w:rsidRPr="008145A1" w:rsidRDefault="00CE2B4C" w:rsidP="009B6594">
            <w:pPr>
              <w:spacing w:after="0" w:line="276" w:lineRule="auto"/>
              <w:jc w:val="center"/>
              <w:rPr>
                <w:rFonts w:cs="Times New Roman"/>
                <w:szCs w:val="24"/>
              </w:rPr>
            </w:pPr>
            <w:r>
              <w:rPr>
                <w:rFonts w:cs="Times New Roman"/>
                <w:szCs w:val="24"/>
              </w:rPr>
              <w:t>3,189</w:t>
            </w:r>
          </w:p>
        </w:tc>
        <w:tc>
          <w:tcPr>
            <w:tcW w:w="1920" w:type="dxa"/>
            <w:tcBorders>
              <w:top w:val="single" w:sz="8" w:space="0" w:color="FFFFFF"/>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5A6825" w:rsidRPr="008145A1" w:rsidRDefault="00CE2B4C" w:rsidP="009B6594">
            <w:pPr>
              <w:spacing w:after="0" w:line="276" w:lineRule="auto"/>
              <w:jc w:val="center"/>
              <w:rPr>
                <w:rFonts w:cs="Times New Roman"/>
                <w:szCs w:val="24"/>
              </w:rPr>
            </w:pPr>
            <w:r>
              <w:rPr>
                <w:rFonts w:cs="Times New Roman"/>
                <w:szCs w:val="24"/>
              </w:rPr>
              <w:t>13,824</w:t>
            </w:r>
          </w:p>
        </w:tc>
      </w:tr>
      <w:tr w:rsidR="005A6825" w:rsidRPr="008145A1" w:rsidTr="009B6594">
        <w:trPr>
          <w:trHeight w:val="32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A6825" w:rsidRPr="008145A1" w:rsidRDefault="005A6825" w:rsidP="009B6594">
            <w:pPr>
              <w:spacing w:after="0" w:line="276" w:lineRule="auto"/>
              <w:jc w:val="center"/>
              <w:rPr>
                <w:rFonts w:cs="Times New Roman"/>
                <w:szCs w:val="24"/>
              </w:rPr>
            </w:pPr>
          </w:p>
        </w:tc>
        <w:tc>
          <w:tcPr>
            <w:tcW w:w="24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5A6825" w:rsidRPr="008145A1" w:rsidRDefault="005A6825" w:rsidP="009B6594">
            <w:pPr>
              <w:spacing w:after="0" w:line="276" w:lineRule="auto"/>
              <w:jc w:val="center"/>
              <w:rPr>
                <w:rFonts w:cs="Times New Roman"/>
                <w:szCs w:val="24"/>
              </w:rPr>
            </w:pPr>
            <w:r w:rsidRPr="008145A1">
              <w:rPr>
                <w:rFonts w:cs="Times New Roman"/>
                <w:b/>
                <w:bCs/>
                <w:szCs w:val="24"/>
              </w:rPr>
              <w:t>Almond</w:t>
            </w:r>
          </w:p>
        </w:tc>
        <w:tc>
          <w:tcPr>
            <w:tcW w:w="3960" w:type="dxa"/>
            <w:tcBorders>
              <w:top w:val="single" w:sz="8" w:space="0" w:color="000000"/>
              <w:left w:val="single" w:sz="8" w:space="0" w:color="000000"/>
              <w:bottom w:val="single" w:sz="8" w:space="0" w:color="FFFFFF"/>
              <w:right w:val="single" w:sz="8" w:space="0" w:color="000000"/>
            </w:tcBorders>
            <w:shd w:val="clear" w:color="auto" w:fill="FFFFFF"/>
            <w:tcMar>
              <w:top w:w="15" w:type="dxa"/>
              <w:left w:w="113" w:type="dxa"/>
              <w:bottom w:w="0" w:type="dxa"/>
              <w:right w:w="15" w:type="dxa"/>
            </w:tcMar>
            <w:vAlign w:val="center"/>
            <w:hideMark/>
          </w:tcPr>
          <w:p w:rsidR="005A6825" w:rsidRPr="008145A1" w:rsidRDefault="005A6825" w:rsidP="009B6594">
            <w:pPr>
              <w:spacing w:after="0" w:line="276" w:lineRule="auto"/>
              <w:jc w:val="center"/>
              <w:rPr>
                <w:rFonts w:cs="Times New Roman"/>
                <w:szCs w:val="24"/>
              </w:rPr>
            </w:pPr>
            <w:r w:rsidRPr="008145A1">
              <w:rPr>
                <w:rFonts w:cs="Times New Roman"/>
                <w:szCs w:val="24"/>
              </w:rPr>
              <w:t>Main produce</w:t>
            </w:r>
          </w:p>
        </w:tc>
        <w:tc>
          <w:tcPr>
            <w:tcW w:w="1920" w:type="dxa"/>
            <w:tcBorders>
              <w:top w:val="single" w:sz="8" w:space="0" w:color="000000"/>
              <w:left w:val="single" w:sz="8" w:space="0" w:color="000000"/>
              <w:bottom w:val="single" w:sz="8" w:space="0" w:color="FFFFFF"/>
              <w:right w:val="single" w:sz="8" w:space="0" w:color="000000"/>
            </w:tcBorders>
            <w:shd w:val="clear" w:color="auto" w:fill="FFFFFF"/>
            <w:tcMar>
              <w:top w:w="15" w:type="dxa"/>
              <w:left w:w="15" w:type="dxa"/>
              <w:bottom w:w="0" w:type="dxa"/>
              <w:right w:w="15" w:type="dxa"/>
            </w:tcMar>
            <w:vAlign w:val="center"/>
            <w:hideMark/>
          </w:tcPr>
          <w:p w:rsidR="005A6825" w:rsidRPr="008145A1" w:rsidRDefault="005A6825" w:rsidP="009B6594">
            <w:pPr>
              <w:spacing w:after="0" w:line="276" w:lineRule="auto"/>
              <w:jc w:val="center"/>
              <w:rPr>
                <w:rFonts w:cs="Times New Roman"/>
                <w:szCs w:val="24"/>
              </w:rPr>
            </w:pPr>
            <w:r w:rsidRPr="008145A1">
              <w:rPr>
                <w:rFonts w:cs="Times New Roman"/>
                <w:szCs w:val="24"/>
              </w:rPr>
              <w:t> </w:t>
            </w:r>
          </w:p>
        </w:tc>
        <w:tc>
          <w:tcPr>
            <w:tcW w:w="1920" w:type="dxa"/>
            <w:tcBorders>
              <w:top w:val="single" w:sz="8" w:space="0" w:color="000000"/>
              <w:left w:val="single" w:sz="8" w:space="0" w:color="000000"/>
              <w:bottom w:val="single" w:sz="8" w:space="0" w:color="FFFFFF"/>
              <w:right w:val="single" w:sz="8" w:space="0" w:color="000000"/>
            </w:tcBorders>
            <w:shd w:val="clear" w:color="auto" w:fill="FFFFFF"/>
            <w:tcMar>
              <w:top w:w="15" w:type="dxa"/>
              <w:left w:w="15" w:type="dxa"/>
              <w:bottom w:w="0" w:type="dxa"/>
              <w:right w:w="15" w:type="dxa"/>
            </w:tcMar>
            <w:vAlign w:val="center"/>
            <w:hideMark/>
          </w:tcPr>
          <w:p w:rsidR="005A6825" w:rsidRPr="008145A1" w:rsidRDefault="00CE2B4C" w:rsidP="009B6594">
            <w:pPr>
              <w:spacing w:after="0" w:line="276" w:lineRule="auto"/>
              <w:jc w:val="center"/>
              <w:rPr>
                <w:rFonts w:cs="Times New Roman"/>
                <w:szCs w:val="24"/>
              </w:rPr>
            </w:pPr>
            <w:r>
              <w:rPr>
                <w:rFonts w:cs="Times New Roman"/>
                <w:szCs w:val="24"/>
              </w:rPr>
              <w:t>574</w:t>
            </w:r>
          </w:p>
        </w:tc>
        <w:tc>
          <w:tcPr>
            <w:tcW w:w="1920" w:type="dxa"/>
            <w:tcBorders>
              <w:top w:val="single" w:sz="8" w:space="0" w:color="000000"/>
              <w:left w:val="single" w:sz="8" w:space="0" w:color="000000"/>
              <w:bottom w:val="single" w:sz="8" w:space="0" w:color="FFFFFF"/>
              <w:right w:val="single" w:sz="8" w:space="0" w:color="000000"/>
            </w:tcBorders>
            <w:shd w:val="clear" w:color="auto" w:fill="FFFFFF"/>
            <w:tcMar>
              <w:top w:w="15" w:type="dxa"/>
              <w:left w:w="15" w:type="dxa"/>
              <w:bottom w:w="0" w:type="dxa"/>
              <w:right w:w="15" w:type="dxa"/>
            </w:tcMar>
            <w:vAlign w:val="center"/>
            <w:hideMark/>
          </w:tcPr>
          <w:p w:rsidR="005A6825" w:rsidRPr="008145A1" w:rsidRDefault="005A6825" w:rsidP="009B6594">
            <w:pPr>
              <w:spacing w:after="0" w:line="276" w:lineRule="auto"/>
              <w:jc w:val="center"/>
              <w:rPr>
                <w:rFonts w:cs="Times New Roman"/>
                <w:szCs w:val="24"/>
              </w:rPr>
            </w:pPr>
            <w:r w:rsidRPr="008145A1">
              <w:rPr>
                <w:rFonts w:cs="Times New Roman"/>
                <w:szCs w:val="24"/>
              </w:rPr>
              <w:t> </w:t>
            </w:r>
          </w:p>
        </w:tc>
      </w:tr>
      <w:tr w:rsidR="005A6825" w:rsidRPr="008145A1" w:rsidTr="009B6594">
        <w:trPr>
          <w:trHeight w:val="33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A6825" w:rsidRPr="008145A1" w:rsidRDefault="005A6825" w:rsidP="009B6594">
            <w:pPr>
              <w:spacing w:after="0" w:line="276" w:lineRule="auto"/>
              <w:jc w:val="center"/>
              <w:rPr>
                <w:rFonts w:cs="Times New Roman"/>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A6825" w:rsidRPr="008145A1" w:rsidRDefault="005A6825" w:rsidP="009B6594">
            <w:pPr>
              <w:spacing w:after="0" w:line="276" w:lineRule="auto"/>
              <w:jc w:val="center"/>
              <w:rPr>
                <w:rFonts w:cs="Times New Roman"/>
                <w:szCs w:val="24"/>
              </w:rPr>
            </w:pPr>
          </w:p>
        </w:tc>
        <w:tc>
          <w:tcPr>
            <w:tcW w:w="3960" w:type="dxa"/>
            <w:tcBorders>
              <w:top w:val="single" w:sz="8" w:space="0" w:color="FFFFFF"/>
              <w:left w:val="single" w:sz="8" w:space="0" w:color="000000"/>
              <w:bottom w:val="single" w:sz="8" w:space="0" w:color="000000"/>
              <w:right w:val="single" w:sz="8" w:space="0" w:color="000000"/>
            </w:tcBorders>
            <w:shd w:val="clear" w:color="auto" w:fill="FFFFFF"/>
            <w:tcMar>
              <w:top w:w="15" w:type="dxa"/>
              <w:left w:w="113" w:type="dxa"/>
              <w:bottom w:w="0" w:type="dxa"/>
              <w:right w:w="15" w:type="dxa"/>
            </w:tcMar>
            <w:vAlign w:val="center"/>
            <w:hideMark/>
          </w:tcPr>
          <w:p w:rsidR="005A6825" w:rsidRPr="008145A1" w:rsidRDefault="005A6825" w:rsidP="009B6594">
            <w:pPr>
              <w:spacing w:after="0" w:line="276" w:lineRule="auto"/>
              <w:jc w:val="center"/>
              <w:rPr>
                <w:rFonts w:cs="Times New Roman"/>
                <w:szCs w:val="24"/>
              </w:rPr>
            </w:pPr>
            <w:r w:rsidRPr="008145A1">
              <w:rPr>
                <w:rFonts w:cs="Times New Roman"/>
                <w:szCs w:val="24"/>
              </w:rPr>
              <w:t>By-products</w:t>
            </w:r>
          </w:p>
        </w:tc>
        <w:tc>
          <w:tcPr>
            <w:tcW w:w="1920" w:type="dxa"/>
            <w:tcBorders>
              <w:top w:val="single" w:sz="8" w:space="0" w:color="FFFFFF"/>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5A6825" w:rsidRPr="008145A1" w:rsidRDefault="005A6825" w:rsidP="009B6594">
            <w:pPr>
              <w:spacing w:after="0" w:line="276" w:lineRule="auto"/>
              <w:jc w:val="center"/>
              <w:rPr>
                <w:rFonts w:cs="Times New Roman"/>
                <w:szCs w:val="24"/>
              </w:rPr>
            </w:pPr>
            <w:r w:rsidRPr="008145A1">
              <w:rPr>
                <w:rFonts w:cs="Times New Roman"/>
                <w:szCs w:val="24"/>
              </w:rPr>
              <w:t> </w:t>
            </w:r>
          </w:p>
        </w:tc>
        <w:tc>
          <w:tcPr>
            <w:tcW w:w="1920" w:type="dxa"/>
            <w:tcBorders>
              <w:top w:val="single" w:sz="8" w:space="0" w:color="FFFFFF"/>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5A6825" w:rsidRPr="008145A1" w:rsidRDefault="00CE2B4C" w:rsidP="009B6594">
            <w:pPr>
              <w:spacing w:after="0" w:line="276" w:lineRule="auto"/>
              <w:jc w:val="center"/>
              <w:rPr>
                <w:rFonts w:cs="Times New Roman"/>
                <w:szCs w:val="24"/>
              </w:rPr>
            </w:pPr>
            <w:r>
              <w:rPr>
                <w:rFonts w:cs="Times New Roman"/>
                <w:szCs w:val="24"/>
              </w:rPr>
              <w:t>1,532</w:t>
            </w:r>
          </w:p>
        </w:tc>
        <w:tc>
          <w:tcPr>
            <w:tcW w:w="1920" w:type="dxa"/>
            <w:tcBorders>
              <w:top w:val="single" w:sz="8" w:space="0" w:color="FFFFFF"/>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5A6825" w:rsidRPr="008145A1" w:rsidRDefault="005A6825" w:rsidP="009B6594">
            <w:pPr>
              <w:spacing w:after="0" w:line="276" w:lineRule="auto"/>
              <w:jc w:val="center"/>
              <w:rPr>
                <w:rFonts w:cs="Times New Roman"/>
                <w:szCs w:val="24"/>
              </w:rPr>
            </w:pPr>
            <w:r w:rsidRPr="008145A1">
              <w:rPr>
                <w:rFonts w:cs="Times New Roman"/>
                <w:szCs w:val="24"/>
              </w:rPr>
              <w:t> </w:t>
            </w:r>
          </w:p>
        </w:tc>
      </w:tr>
      <w:tr w:rsidR="005A6825" w:rsidRPr="008145A1" w:rsidTr="009B6594">
        <w:trPr>
          <w:trHeight w:val="323"/>
        </w:trPr>
        <w:tc>
          <w:tcPr>
            <w:tcW w:w="4960"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5A6825" w:rsidRPr="008145A1" w:rsidRDefault="005A6825" w:rsidP="009B6594">
            <w:pPr>
              <w:spacing w:after="0" w:line="276" w:lineRule="auto"/>
              <w:jc w:val="center"/>
              <w:rPr>
                <w:rFonts w:cs="Times New Roman"/>
                <w:szCs w:val="24"/>
              </w:rPr>
            </w:pPr>
            <w:r w:rsidRPr="008145A1">
              <w:rPr>
                <w:rFonts w:cs="Times New Roman"/>
                <w:b/>
                <w:bCs/>
                <w:szCs w:val="24"/>
              </w:rPr>
              <w:t>Woodland, schrubland &amp; pastureland</w:t>
            </w:r>
          </w:p>
          <w:p w:rsidR="005A6825" w:rsidRPr="008145A1" w:rsidRDefault="005A6825" w:rsidP="009B6594">
            <w:pPr>
              <w:spacing w:after="0" w:line="276" w:lineRule="auto"/>
              <w:jc w:val="center"/>
              <w:rPr>
                <w:rFonts w:cs="Times New Roman"/>
                <w:szCs w:val="24"/>
              </w:rPr>
            </w:pPr>
            <w:r w:rsidRPr="008145A1">
              <w:rPr>
                <w:rFonts w:cs="Times New Roman"/>
                <w:b/>
                <w:bCs/>
                <w:szCs w:val="24"/>
              </w:rPr>
              <w:t xml:space="preserve"> (dry matter, kg/ha)</w:t>
            </w:r>
          </w:p>
        </w:tc>
        <w:tc>
          <w:tcPr>
            <w:tcW w:w="3960" w:type="dxa"/>
            <w:tcBorders>
              <w:top w:val="single" w:sz="8" w:space="0" w:color="000000"/>
              <w:left w:val="single" w:sz="8" w:space="0" w:color="000000"/>
              <w:bottom w:val="single" w:sz="8" w:space="0" w:color="FFFFFF"/>
              <w:right w:val="single" w:sz="8" w:space="0" w:color="000000"/>
            </w:tcBorders>
            <w:shd w:val="clear" w:color="auto" w:fill="FFFFFF"/>
            <w:tcMar>
              <w:top w:w="15" w:type="dxa"/>
              <w:left w:w="113" w:type="dxa"/>
              <w:bottom w:w="0" w:type="dxa"/>
              <w:right w:w="15" w:type="dxa"/>
            </w:tcMar>
            <w:vAlign w:val="center"/>
            <w:hideMark/>
          </w:tcPr>
          <w:p w:rsidR="005A6825" w:rsidRPr="008145A1" w:rsidRDefault="005A6825" w:rsidP="009B6594">
            <w:pPr>
              <w:spacing w:after="0" w:line="276" w:lineRule="auto"/>
              <w:jc w:val="center"/>
              <w:rPr>
                <w:rFonts w:cs="Times New Roman"/>
                <w:szCs w:val="24"/>
              </w:rPr>
            </w:pPr>
            <w:r w:rsidRPr="008145A1">
              <w:rPr>
                <w:rFonts w:cs="Times New Roman"/>
                <w:szCs w:val="24"/>
              </w:rPr>
              <w:t>Woodland - timber &amp; firewood</w:t>
            </w:r>
          </w:p>
        </w:tc>
        <w:tc>
          <w:tcPr>
            <w:tcW w:w="1920" w:type="dxa"/>
            <w:tcBorders>
              <w:top w:val="single" w:sz="8" w:space="0" w:color="000000"/>
              <w:left w:val="single" w:sz="8" w:space="0" w:color="000000"/>
              <w:bottom w:val="single" w:sz="8" w:space="0" w:color="FFFFFF"/>
              <w:right w:val="single" w:sz="8" w:space="0" w:color="000000"/>
            </w:tcBorders>
            <w:shd w:val="clear" w:color="auto" w:fill="FFFFFF"/>
            <w:tcMar>
              <w:top w:w="15" w:type="dxa"/>
              <w:left w:w="15" w:type="dxa"/>
              <w:bottom w:w="0" w:type="dxa"/>
              <w:right w:w="15" w:type="dxa"/>
            </w:tcMar>
            <w:vAlign w:val="center"/>
            <w:hideMark/>
          </w:tcPr>
          <w:p w:rsidR="005A6825" w:rsidRPr="008145A1" w:rsidRDefault="00CE2B4C" w:rsidP="009B6594">
            <w:pPr>
              <w:spacing w:after="0" w:line="276" w:lineRule="auto"/>
              <w:jc w:val="center"/>
              <w:rPr>
                <w:rFonts w:cs="Times New Roman"/>
                <w:szCs w:val="24"/>
              </w:rPr>
            </w:pPr>
            <w:r>
              <w:rPr>
                <w:rFonts w:cs="Times New Roman"/>
                <w:szCs w:val="24"/>
              </w:rPr>
              <w:t>1,579</w:t>
            </w:r>
          </w:p>
        </w:tc>
        <w:tc>
          <w:tcPr>
            <w:tcW w:w="1920" w:type="dxa"/>
            <w:tcBorders>
              <w:top w:val="single" w:sz="8" w:space="0" w:color="000000"/>
              <w:left w:val="single" w:sz="8" w:space="0" w:color="000000"/>
              <w:bottom w:val="single" w:sz="8" w:space="0" w:color="FFFFFF"/>
              <w:right w:val="single" w:sz="8" w:space="0" w:color="000000"/>
            </w:tcBorders>
            <w:shd w:val="clear" w:color="auto" w:fill="FFFFFF"/>
            <w:tcMar>
              <w:top w:w="15" w:type="dxa"/>
              <w:left w:w="15" w:type="dxa"/>
              <w:bottom w:w="0" w:type="dxa"/>
              <w:right w:w="15" w:type="dxa"/>
            </w:tcMar>
            <w:vAlign w:val="center"/>
            <w:hideMark/>
          </w:tcPr>
          <w:p w:rsidR="005A6825" w:rsidRPr="008145A1" w:rsidRDefault="00CE2B4C" w:rsidP="009B6594">
            <w:pPr>
              <w:spacing w:after="0" w:line="276" w:lineRule="auto"/>
              <w:jc w:val="center"/>
              <w:rPr>
                <w:rFonts w:cs="Times New Roman"/>
                <w:szCs w:val="24"/>
              </w:rPr>
            </w:pPr>
            <w:r>
              <w:rPr>
                <w:rFonts w:cs="Times New Roman"/>
                <w:szCs w:val="24"/>
              </w:rPr>
              <w:t>813</w:t>
            </w:r>
          </w:p>
        </w:tc>
        <w:tc>
          <w:tcPr>
            <w:tcW w:w="1920" w:type="dxa"/>
            <w:tcBorders>
              <w:top w:val="single" w:sz="8" w:space="0" w:color="000000"/>
              <w:left w:val="single" w:sz="8" w:space="0" w:color="000000"/>
              <w:bottom w:val="single" w:sz="8" w:space="0" w:color="FFFFFF"/>
              <w:right w:val="single" w:sz="8" w:space="0" w:color="000000"/>
            </w:tcBorders>
            <w:shd w:val="clear" w:color="auto" w:fill="FFFFFF"/>
            <w:tcMar>
              <w:top w:w="15" w:type="dxa"/>
              <w:left w:w="15" w:type="dxa"/>
              <w:bottom w:w="0" w:type="dxa"/>
              <w:right w:w="15" w:type="dxa"/>
            </w:tcMar>
            <w:vAlign w:val="center"/>
            <w:hideMark/>
          </w:tcPr>
          <w:p w:rsidR="005A6825" w:rsidRPr="008145A1" w:rsidRDefault="00CE2B4C" w:rsidP="009B6594">
            <w:pPr>
              <w:spacing w:after="0" w:line="276" w:lineRule="auto"/>
              <w:jc w:val="center"/>
              <w:rPr>
                <w:rFonts w:cs="Times New Roman"/>
                <w:szCs w:val="24"/>
              </w:rPr>
            </w:pPr>
            <w:r>
              <w:rPr>
                <w:rFonts w:cs="Times New Roman"/>
                <w:szCs w:val="24"/>
              </w:rPr>
              <w:t>813</w:t>
            </w:r>
          </w:p>
        </w:tc>
      </w:tr>
      <w:tr w:rsidR="005A6825" w:rsidRPr="008145A1" w:rsidTr="009B6594">
        <w:trPr>
          <w:trHeight w:val="323"/>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5A6825" w:rsidRPr="008145A1" w:rsidRDefault="005A6825" w:rsidP="009B6594">
            <w:pPr>
              <w:spacing w:after="0" w:line="276" w:lineRule="auto"/>
              <w:jc w:val="center"/>
              <w:rPr>
                <w:rFonts w:cs="Times New Roman"/>
                <w:szCs w:val="24"/>
              </w:rPr>
            </w:pPr>
          </w:p>
        </w:tc>
        <w:tc>
          <w:tcPr>
            <w:tcW w:w="3960" w:type="dxa"/>
            <w:tcBorders>
              <w:top w:val="single" w:sz="8" w:space="0" w:color="FFFFFF"/>
              <w:left w:val="single" w:sz="8" w:space="0" w:color="000000"/>
              <w:bottom w:val="single" w:sz="8" w:space="0" w:color="FFFFFF"/>
              <w:right w:val="single" w:sz="8" w:space="0" w:color="000000"/>
            </w:tcBorders>
            <w:shd w:val="clear" w:color="auto" w:fill="FFFFFF"/>
            <w:tcMar>
              <w:top w:w="15" w:type="dxa"/>
              <w:left w:w="113" w:type="dxa"/>
              <w:bottom w:w="0" w:type="dxa"/>
              <w:right w:w="15" w:type="dxa"/>
            </w:tcMar>
            <w:vAlign w:val="center"/>
            <w:hideMark/>
          </w:tcPr>
          <w:p w:rsidR="005A6825" w:rsidRPr="008145A1" w:rsidRDefault="005A6825" w:rsidP="009B6594">
            <w:pPr>
              <w:spacing w:after="0" w:line="276" w:lineRule="auto"/>
              <w:jc w:val="center"/>
              <w:rPr>
                <w:rFonts w:cs="Times New Roman"/>
                <w:szCs w:val="24"/>
              </w:rPr>
            </w:pPr>
            <w:r w:rsidRPr="008145A1">
              <w:rPr>
                <w:rFonts w:cs="Times New Roman"/>
                <w:szCs w:val="24"/>
              </w:rPr>
              <w:t>Grass</w:t>
            </w:r>
          </w:p>
        </w:tc>
        <w:tc>
          <w:tcPr>
            <w:tcW w:w="1920" w:type="dxa"/>
            <w:tcBorders>
              <w:top w:val="single" w:sz="8" w:space="0" w:color="FFFFFF"/>
              <w:left w:val="single" w:sz="8" w:space="0" w:color="000000"/>
              <w:bottom w:val="single" w:sz="8" w:space="0" w:color="FFFFFF"/>
              <w:right w:val="single" w:sz="8" w:space="0" w:color="000000"/>
            </w:tcBorders>
            <w:shd w:val="clear" w:color="auto" w:fill="FFFFFF"/>
            <w:tcMar>
              <w:top w:w="15" w:type="dxa"/>
              <w:left w:w="15" w:type="dxa"/>
              <w:bottom w:w="0" w:type="dxa"/>
              <w:right w:w="15" w:type="dxa"/>
            </w:tcMar>
            <w:vAlign w:val="center"/>
            <w:hideMark/>
          </w:tcPr>
          <w:p w:rsidR="005A6825" w:rsidRPr="008145A1" w:rsidRDefault="00CE2B4C" w:rsidP="009B6594">
            <w:pPr>
              <w:spacing w:after="0" w:line="276" w:lineRule="auto"/>
              <w:jc w:val="center"/>
              <w:rPr>
                <w:rFonts w:cs="Times New Roman"/>
                <w:szCs w:val="24"/>
              </w:rPr>
            </w:pPr>
            <w:r>
              <w:rPr>
                <w:rFonts w:cs="Times New Roman"/>
                <w:szCs w:val="24"/>
              </w:rPr>
              <w:t>1,002</w:t>
            </w:r>
          </w:p>
        </w:tc>
        <w:tc>
          <w:tcPr>
            <w:tcW w:w="1920" w:type="dxa"/>
            <w:tcBorders>
              <w:top w:val="single" w:sz="8" w:space="0" w:color="FFFFFF"/>
              <w:left w:val="single" w:sz="8" w:space="0" w:color="000000"/>
              <w:bottom w:val="single" w:sz="8" w:space="0" w:color="FFFFFF"/>
              <w:right w:val="single" w:sz="8" w:space="0" w:color="000000"/>
            </w:tcBorders>
            <w:shd w:val="clear" w:color="auto" w:fill="FFFFFF"/>
            <w:tcMar>
              <w:top w:w="15" w:type="dxa"/>
              <w:left w:w="15" w:type="dxa"/>
              <w:bottom w:w="0" w:type="dxa"/>
              <w:right w:w="15" w:type="dxa"/>
            </w:tcMar>
            <w:vAlign w:val="center"/>
            <w:hideMark/>
          </w:tcPr>
          <w:p w:rsidR="005A6825" w:rsidRPr="008145A1" w:rsidRDefault="00CE2B4C" w:rsidP="009B6594">
            <w:pPr>
              <w:spacing w:after="0" w:line="276" w:lineRule="auto"/>
              <w:jc w:val="center"/>
              <w:rPr>
                <w:rFonts w:cs="Times New Roman"/>
                <w:szCs w:val="24"/>
              </w:rPr>
            </w:pPr>
            <w:r>
              <w:rPr>
                <w:rFonts w:cs="Times New Roman"/>
                <w:szCs w:val="24"/>
              </w:rPr>
              <w:t>1,002</w:t>
            </w:r>
          </w:p>
        </w:tc>
        <w:tc>
          <w:tcPr>
            <w:tcW w:w="1920" w:type="dxa"/>
            <w:tcBorders>
              <w:top w:val="single" w:sz="8" w:space="0" w:color="FFFFFF"/>
              <w:left w:val="single" w:sz="8" w:space="0" w:color="000000"/>
              <w:bottom w:val="single" w:sz="8" w:space="0" w:color="FFFFFF"/>
              <w:right w:val="single" w:sz="8" w:space="0" w:color="000000"/>
            </w:tcBorders>
            <w:shd w:val="clear" w:color="auto" w:fill="FFFFFF"/>
            <w:tcMar>
              <w:top w:w="15" w:type="dxa"/>
              <w:left w:w="15" w:type="dxa"/>
              <w:bottom w:w="0" w:type="dxa"/>
              <w:right w:w="15" w:type="dxa"/>
            </w:tcMar>
            <w:vAlign w:val="center"/>
            <w:hideMark/>
          </w:tcPr>
          <w:p w:rsidR="005A6825" w:rsidRPr="008145A1" w:rsidRDefault="00CE2B4C" w:rsidP="009B6594">
            <w:pPr>
              <w:spacing w:after="0" w:line="276" w:lineRule="auto"/>
              <w:jc w:val="center"/>
              <w:rPr>
                <w:rFonts w:cs="Times New Roman"/>
                <w:szCs w:val="24"/>
              </w:rPr>
            </w:pPr>
            <w:r>
              <w:rPr>
                <w:rFonts w:cs="Times New Roman"/>
                <w:szCs w:val="24"/>
              </w:rPr>
              <w:t>1,002</w:t>
            </w:r>
          </w:p>
        </w:tc>
      </w:tr>
      <w:tr w:rsidR="005A6825" w:rsidRPr="008145A1" w:rsidTr="009B6594">
        <w:trPr>
          <w:trHeight w:val="323"/>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5A6825" w:rsidRPr="008145A1" w:rsidRDefault="005A6825" w:rsidP="009B6594">
            <w:pPr>
              <w:spacing w:after="0" w:line="276" w:lineRule="auto"/>
              <w:jc w:val="center"/>
              <w:rPr>
                <w:rFonts w:cs="Times New Roman"/>
                <w:szCs w:val="24"/>
              </w:rPr>
            </w:pPr>
          </w:p>
        </w:tc>
        <w:tc>
          <w:tcPr>
            <w:tcW w:w="3960" w:type="dxa"/>
            <w:tcBorders>
              <w:top w:val="single" w:sz="8" w:space="0" w:color="FFFFFF"/>
              <w:left w:val="single" w:sz="8" w:space="0" w:color="000000"/>
              <w:bottom w:val="single" w:sz="8" w:space="0" w:color="FFFFFF"/>
              <w:right w:val="single" w:sz="8" w:space="0" w:color="000000"/>
            </w:tcBorders>
            <w:shd w:val="clear" w:color="auto" w:fill="FFFFFF"/>
            <w:tcMar>
              <w:top w:w="15" w:type="dxa"/>
              <w:left w:w="113" w:type="dxa"/>
              <w:bottom w:w="0" w:type="dxa"/>
              <w:right w:w="15" w:type="dxa"/>
            </w:tcMar>
            <w:vAlign w:val="center"/>
            <w:hideMark/>
          </w:tcPr>
          <w:p w:rsidR="005A6825" w:rsidRPr="008145A1" w:rsidRDefault="005A6825" w:rsidP="009B6594">
            <w:pPr>
              <w:spacing w:after="0" w:line="276" w:lineRule="auto"/>
              <w:jc w:val="center"/>
              <w:rPr>
                <w:rFonts w:cs="Times New Roman"/>
                <w:szCs w:val="24"/>
              </w:rPr>
            </w:pPr>
            <w:r w:rsidRPr="008145A1">
              <w:rPr>
                <w:rFonts w:cs="Times New Roman"/>
                <w:szCs w:val="24"/>
              </w:rPr>
              <w:t>Acornds, mulch &amp; others</w:t>
            </w:r>
          </w:p>
        </w:tc>
        <w:tc>
          <w:tcPr>
            <w:tcW w:w="1920" w:type="dxa"/>
            <w:tcBorders>
              <w:top w:val="single" w:sz="8" w:space="0" w:color="FFFFFF"/>
              <w:left w:val="single" w:sz="8" w:space="0" w:color="000000"/>
              <w:bottom w:val="single" w:sz="8" w:space="0" w:color="FFFFFF"/>
              <w:right w:val="single" w:sz="8" w:space="0" w:color="000000"/>
            </w:tcBorders>
            <w:shd w:val="clear" w:color="auto" w:fill="FFFFFF"/>
            <w:tcMar>
              <w:top w:w="15" w:type="dxa"/>
              <w:left w:w="15" w:type="dxa"/>
              <w:bottom w:w="0" w:type="dxa"/>
              <w:right w:w="15" w:type="dxa"/>
            </w:tcMar>
            <w:vAlign w:val="center"/>
            <w:hideMark/>
          </w:tcPr>
          <w:p w:rsidR="005A6825" w:rsidRPr="008145A1" w:rsidRDefault="00CE2B4C" w:rsidP="009B6594">
            <w:pPr>
              <w:spacing w:after="0" w:line="276" w:lineRule="auto"/>
              <w:jc w:val="center"/>
              <w:rPr>
                <w:rFonts w:cs="Times New Roman"/>
                <w:szCs w:val="24"/>
              </w:rPr>
            </w:pPr>
            <w:r>
              <w:rPr>
                <w:rFonts w:cs="Times New Roman"/>
                <w:szCs w:val="24"/>
              </w:rPr>
              <w:t>73</w:t>
            </w:r>
          </w:p>
        </w:tc>
        <w:tc>
          <w:tcPr>
            <w:tcW w:w="1920" w:type="dxa"/>
            <w:tcBorders>
              <w:top w:val="single" w:sz="8" w:space="0" w:color="FFFFFF"/>
              <w:left w:val="single" w:sz="8" w:space="0" w:color="000000"/>
              <w:bottom w:val="single" w:sz="8" w:space="0" w:color="FFFFFF"/>
              <w:right w:val="single" w:sz="8" w:space="0" w:color="000000"/>
            </w:tcBorders>
            <w:shd w:val="clear" w:color="auto" w:fill="FFFFFF"/>
            <w:tcMar>
              <w:top w:w="15" w:type="dxa"/>
              <w:left w:w="15" w:type="dxa"/>
              <w:bottom w:w="0" w:type="dxa"/>
              <w:right w:w="15" w:type="dxa"/>
            </w:tcMar>
            <w:vAlign w:val="center"/>
            <w:hideMark/>
          </w:tcPr>
          <w:p w:rsidR="005A6825" w:rsidRPr="008145A1" w:rsidRDefault="00CE2B4C" w:rsidP="009B6594">
            <w:pPr>
              <w:spacing w:after="0" w:line="276" w:lineRule="auto"/>
              <w:jc w:val="center"/>
              <w:rPr>
                <w:rFonts w:cs="Times New Roman"/>
                <w:szCs w:val="24"/>
              </w:rPr>
            </w:pPr>
            <w:r>
              <w:rPr>
                <w:rFonts w:cs="Times New Roman"/>
                <w:szCs w:val="24"/>
              </w:rPr>
              <w:t>73</w:t>
            </w:r>
          </w:p>
        </w:tc>
        <w:tc>
          <w:tcPr>
            <w:tcW w:w="1920" w:type="dxa"/>
            <w:tcBorders>
              <w:top w:val="single" w:sz="8" w:space="0" w:color="FFFFFF"/>
              <w:left w:val="single" w:sz="8" w:space="0" w:color="000000"/>
              <w:bottom w:val="single" w:sz="8" w:space="0" w:color="FFFFFF"/>
              <w:right w:val="single" w:sz="8" w:space="0" w:color="000000"/>
            </w:tcBorders>
            <w:shd w:val="clear" w:color="auto" w:fill="FFFFFF"/>
            <w:tcMar>
              <w:top w:w="15" w:type="dxa"/>
              <w:left w:w="15" w:type="dxa"/>
              <w:bottom w:w="0" w:type="dxa"/>
              <w:right w:w="15" w:type="dxa"/>
            </w:tcMar>
            <w:vAlign w:val="center"/>
            <w:hideMark/>
          </w:tcPr>
          <w:p w:rsidR="005A6825" w:rsidRPr="008145A1" w:rsidRDefault="005A6825" w:rsidP="009B6594">
            <w:pPr>
              <w:spacing w:after="0" w:line="276" w:lineRule="auto"/>
              <w:jc w:val="center"/>
              <w:rPr>
                <w:rFonts w:cs="Times New Roman"/>
                <w:szCs w:val="24"/>
              </w:rPr>
            </w:pPr>
            <w:r w:rsidRPr="008145A1">
              <w:rPr>
                <w:rFonts w:cs="Times New Roman"/>
                <w:szCs w:val="24"/>
              </w:rPr>
              <w:t> </w:t>
            </w:r>
          </w:p>
        </w:tc>
      </w:tr>
      <w:tr w:rsidR="005A6825" w:rsidRPr="008145A1" w:rsidTr="009B6594">
        <w:trPr>
          <w:trHeight w:val="323"/>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5A6825" w:rsidRPr="008145A1" w:rsidRDefault="005A6825" w:rsidP="009B6594">
            <w:pPr>
              <w:spacing w:after="0" w:line="276" w:lineRule="auto"/>
              <w:jc w:val="center"/>
              <w:rPr>
                <w:rFonts w:cs="Times New Roman"/>
                <w:szCs w:val="24"/>
              </w:rPr>
            </w:pPr>
          </w:p>
        </w:tc>
        <w:tc>
          <w:tcPr>
            <w:tcW w:w="3960" w:type="dxa"/>
            <w:tcBorders>
              <w:top w:val="single" w:sz="8" w:space="0" w:color="FFFFFF"/>
              <w:left w:val="single" w:sz="8" w:space="0" w:color="000000"/>
              <w:bottom w:val="single" w:sz="8" w:space="0" w:color="FFFFFF"/>
              <w:right w:val="single" w:sz="8" w:space="0" w:color="000000"/>
            </w:tcBorders>
            <w:shd w:val="clear" w:color="auto" w:fill="FFFFFF"/>
            <w:tcMar>
              <w:top w:w="15" w:type="dxa"/>
              <w:left w:w="113" w:type="dxa"/>
              <w:bottom w:w="0" w:type="dxa"/>
              <w:right w:w="15" w:type="dxa"/>
            </w:tcMar>
            <w:vAlign w:val="center"/>
            <w:hideMark/>
          </w:tcPr>
          <w:p w:rsidR="005A6825" w:rsidRPr="008145A1" w:rsidRDefault="005A6825" w:rsidP="009B6594">
            <w:pPr>
              <w:spacing w:after="0" w:line="276" w:lineRule="auto"/>
              <w:jc w:val="center"/>
              <w:rPr>
                <w:rFonts w:cs="Times New Roman"/>
                <w:szCs w:val="24"/>
              </w:rPr>
            </w:pPr>
            <w:r w:rsidRPr="008145A1">
              <w:rPr>
                <w:rFonts w:cs="Times New Roman"/>
                <w:szCs w:val="24"/>
              </w:rPr>
              <w:t>Pinewood - timber &amp; firewood</w:t>
            </w:r>
          </w:p>
        </w:tc>
        <w:tc>
          <w:tcPr>
            <w:tcW w:w="1920" w:type="dxa"/>
            <w:tcBorders>
              <w:top w:val="single" w:sz="8" w:space="0" w:color="FFFFFF"/>
              <w:left w:val="single" w:sz="8" w:space="0" w:color="000000"/>
              <w:bottom w:val="single" w:sz="8" w:space="0" w:color="FFFFFF"/>
              <w:right w:val="single" w:sz="8" w:space="0" w:color="000000"/>
            </w:tcBorders>
            <w:shd w:val="clear" w:color="auto" w:fill="FFFFFF"/>
            <w:tcMar>
              <w:top w:w="15" w:type="dxa"/>
              <w:left w:w="15" w:type="dxa"/>
              <w:bottom w:w="0" w:type="dxa"/>
              <w:right w:w="15" w:type="dxa"/>
            </w:tcMar>
            <w:vAlign w:val="center"/>
            <w:hideMark/>
          </w:tcPr>
          <w:p w:rsidR="005A6825" w:rsidRPr="008145A1" w:rsidRDefault="005A6825" w:rsidP="009B6594">
            <w:pPr>
              <w:spacing w:after="0" w:line="276" w:lineRule="auto"/>
              <w:jc w:val="center"/>
              <w:rPr>
                <w:rFonts w:cs="Times New Roman"/>
                <w:szCs w:val="24"/>
              </w:rPr>
            </w:pPr>
            <w:r w:rsidRPr="008145A1">
              <w:rPr>
                <w:rFonts w:cs="Times New Roman"/>
                <w:szCs w:val="24"/>
              </w:rPr>
              <w:t> </w:t>
            </w:r>
          </w:p>
        </w:tc>
        <w:tc>
          <w:tcPr>
            <w:tcW w:w="1920" w:type="dxa"/>
            <w:tcBorders>
              <w:top w:val="single" w:sz="8" w:space="0" w:color="FFFFFF"/>
              <w:left w:val="single" w:sz="8" w:space="0" w:color="000000"/>
              <w:bottom w:val="single" w:sz="8" w:space="0" w:color="FFFFFF"/>
              <w:right w:val="single" w:sz="8" w:space="0" w:color="000000"/>
            </w:tcBorders>
            <w:shd w:val="clear" w:color="auto" w:fill="FFFFFF"/>
            <w:tcMar>
              <w:top w:w="15" w:type="dxa"/>
              <w:left w:w="15" w:type="dxa"/>
              <w:bottom w:w="0" w:type="dxa"/>
              <w:right w:w="15" w:type="dxa"/>
            </w:tcMar>
            <w:vAlign w:val="center"/>
            <w:hideMark/>
          </w:tcPr>
          <w:p w:rsidR="005A6825" w:rsidRPr="008145A1" w:rsidRDefault="00CE2B4C" w:rsidP="009B6594">
            <w:pPr>
              <w:spacing w:after="0" w:line="276" w:lineRule="auto"/>
              <w:jc w:val="center"/>
              <w:rPr>
                <w:rFonts w:cs="Times New Roman"/>
                <w:szCs w:val="24"/>
              </w:rPr>
            </w:pPr>
            <w:r>
              <w:rPr>
                <w:rFonts w:cs="Times New Roman"/>
                <w:szCs w:val="24"/>
              </w:rPr>
              <w:t>875</w:t>
            </w:r>
          </w:p>
        </w:tc>
        <w:tc>
          <w:tcPr>
            <w:tcW w:w="1920" w:type="dxa"/>
            <w:tcBorders>
              <w:top w:val="single" w:sz="8" w:space="0" w:color="FFFFFF"/>
              <w:left w:val="single" w:sz="8" w:space="0" w:color="000000"/>
              <w:bottom w:val="single" w:sz="8" w:space="0" w:color="FFFFFF"/>
              <w:right w:val="single" w:sz="8" w:space="0" w:color="000000"/>
            </w:tcBorders>
            <w:shd w:val="clear" w:color="auto" w:fill="FFFFFF"/>
            <w:tcMar>
              <w:top w:w="15" w:type="dxa"/>
              <w:left w:w="15" w:type="dxa"/>
              <w:bottom w:w="0" w:type="dxa"/>
              <w:right w:w="15" w:type="dxa"/>
            </w:tcMar>
            <w:vAlign w:val="center"/>
            <w:hideMark/>
          </w:tcPr>
          <w:p w:rsidR="005A6825" w:rsidRPr="008145A1" w:rsidRDefault="005A6825" w:rsidP="009B6594">
            <w:pPr>
              <w:spacing w:after="0" w:line="276" w:lineRule="auto"/>
              <w:jc w:val="center"/>
              <w:rPr>
                <w:rFonts w:cs="Times New Roman"/>
                <w:szCs w:val="24"/>
              </w:rPr>
            </w:pPr>
            <w:r w:rsidRPr="008145A1">
              <w:rPr>
                <w:rFonts w:cs="Times New Roman"/>
                <w:szCs w:val="24"/>
              </w:rPr>
              <w:t> </w:t>
            </w:r>
          </w:p>
        </w:tc>
      </w:tr>
      <w:tr w:rsidR="005A6825" w:rsidRPr="008145A1" w:rsidTr="009B6594">
        <w:trPr>
          <w:trHeight w:val="339"/>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5A6825" w:rsidRPr="008145A1" w:rsidRDefault="005A6825" w:rsidP="009B6594">
            <w:pPr>
              <w:spacing w:after="0" w:line="276" w:lineRule="auto"/>
              <w:jc w:val="center"/>
              <w:rPr>
                <w:rFonts w:cs="Times New Roman"/>
                <w:szCs w:val="24"/>
              </w:rPr>
            </w:pPr>
          </w:p>
        </w:tc>
        <w:tc>
          <w:tcPr>
            <w:tcW w:w="3960" w:type="dxa"/>
            <w:tcBorders>
              <w:top w:val="single" w:sz="8" w:space="0" w:color="FFFFFF"/>
              <w:left w:val="single" w:sz="8" w:space="0" w:color="000000"/>
              <w:bottom w:val="single" w:sz="8" w:space="0" w:color="000000"/>
              <w:right w:val="single" w:sz="8" w:space="0" w:color="000000"/>
            </w:tcBorders>
            <w:shd w:val="clear" w:color="auto" w:fill="FFFFFF"/>
            <w:tcMar>
              <w:top w:w="15" w:type="dxa"/>
              <w:left w:w="113" w:type="dxa"/>
              <w:bottom w:w="0" w:type="dxa"/>
              <w:right w:w="15" w:type="dxa"/>
            </w:tcMar>
            <w:vAlign w:val="center"/>
            <w:hideMark/>
          </w:tcPr>
          <w:p w:rsidR="005A6825" w:rsidRPr="008145A1" w:rsidRDefault="005A6825" w:rsidP="009B6594">
            <w:pPr>
              <w:spacing w:after="0" w:line="276" w:lineRule="auto"/>
              <w:jc w:val="center"/>
              <w:rPr>
                <w:rFonts w:cs="Times New Roman"/>
                <w:szCs w:val="24"/>
              </w:rPr>
            </w:pPr>
            <w:r w:rsidRPr="008145A1">
              <w:rPr>
                <w:rFonts w:cs="Times New Roman"/>
                <w:szCs w:val="24"/>
              </w:rPr>
              <w:t>Riparian woods - timber &amp;firewood</w:t>
            </w:r>
          </w:p>
        </w:tc>
        <w:tc>
          <w:tcPr>
            <w:tcW w:w="1920" w:type="dxa"/>
            <w:tcBorders>
              <w:top w:val="single" w:sz="8" w:space="0" w:color="FFFFFF"/>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5A6825" w:rsidRPr="008145A1" w:rsidRDefault="005A6825" w:rsidP="009B6594">
            <w:pPr>
              <w:spacing w:after="0" w:line="276" w:lineRule="auto"/>
              <w:jc w:val="center"/>
              <w:rPr>
                <w:rFonts w:cs="Times New Roman"/>
                <w:szCs w:val="24"/>
              </w:rPr>
            </w:pPr>
            <w:r w:rsidRPr="008145A1">
              <w:rPr>
                <w:rFonts w:cs="Times New Roman"/>
                <w:szCs w:val="24"/>
              </w:rPr>
              <w:t> </w:t>
            </w:r>
          </w:p>
        </w:tc>
        <w:tc>
          <w:tcPr>
            <w:tcW w:w="1920" w:type="dxa"/>
            <w:tcBorders>
              <w:top w:val="single" w:sz="8" w:space="0" w:color="FFFFFF"/>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5A6825" w:rsidRPr="008145A1" w:rsidRDefault="00CE2B4C" w:rsidP="009B6594">
            <w:pPr>
              <w:spacing w:after="0" w:line="276" w:lineRule="auto"/>
              <w:jc w:val="center"/>
              <w:rPr>
                <w:rFonts w:cs="Times New Roman"/>
                <w:szCs w:val="24"/>
              </w:rPr>
            </w:pPr>
            <w:r>
              <w:rPr>
                <w:rFonts w:cs="Times New Roman"/>
                <w:szCs w:val="24"/>
              </w:rPr>
              <w:t>162</w:t>
            </w:r>
          </w:p>
        </w:tc>
        <w:tc>
          <w:tcPr>
            <w:tcW w:w="1920" w:type="dxa"/>
            <w:tcBorders>
              <w:top w:val="single" w:sz="8" w:space="0" w:color="FFFFFF"/>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5A6825" w:rsidRPr="008145A1" w:rsidRDefault="005A6825" w:rsidP="009B6594">
            <w:pPr>
              <w:spacing w:after="0" w:line="276" w:lineRule="auto"/>
              <w:jc w:val="center"/>
              <w:rPr>
                <w:rFonts w:cs="Times New Roman"/>
                <w:szCs w:val="24"/>
              </w:rPr>
            </w:pPr>
            <w:r w:rsidRPr="008145A1">
              <w:rPr>
                <w:rFonts w:cs="Times New Roman"/>
                <w:szCs w:val="24"/>
              </w:rPr>
              <w:t> </w:t>
            </w:r>
          </w:p>
        </w:tc>
      </w:tr>
    </w:tbl>
    <w:p w:rsidR="005A6825" w:rsidRDefault="005A6825" w:rsidP="00657EBA">
      <w:pPr>
        <w:spacing w:line="360" w:lineRule="auto"/>
      </w:pPr>
    </w:p>
    <w:p w:rsidR="00A9146C" w:rsidRDefault="00A9146C" w:rsidP="00281D70">
      <w:pPr>
        <w:spacing w:line="360" w:lineRule="auto"/>
        <w:jc w:val="center"/>
      </w:pPr>
    </w:p>
    <w:p w:rsidR="00225983" w:rsidRDefault="00A9146C" w:rsidP="00657EBA">
      <w:pPr>
        <w:spacing w:line="360" w:lineRule="auto"/>
      </w:pPr>
      <w:r>
        <w:t>The first adjustment we had to do in order to reflect the local specificities of Les Oluges involves the estimation of fallow land</w:t>
      </w:r>
      <w:r w:rsidR="004A1370">
        <w:t xml:space="preserve">, </w:t>
      </w:r>
      <w:r>
        <w:t>which</w:t>
      </w:r>
      <w:r w:rsidR="004A1370">
        <w:t xml:space="preserve"> was traditionally widespread in Les Oluges. The historical records consulted, such as the </w:t>
      </w:r>
      <w:r w:rsidR="004A1370">
        <w:rPr>
          <w:i/>
        </w:rPr>
        <w:t>cartilla evaluatoria</w:t>
      </w:r>
      <w:r w:rsidR="004A1370">
        <w:t>, state that cropland sown with cereal was left uncultivated every other yea</w:t>
      </w:r>
      <w:r w:rsidR="00060E1B">
        <w:t xml:space="preserve">r. Therefore, we maintained </w:t>
      </w:r>
      <w:r w:rsidR="004A1370">
        <w:t>half of the cereal cropland</w:t>
      </w:r>
      <w:r w:rsidR="00657EBA">
        <w:t xml:space="preserve"> (for monoculture and associated</w:t>
      </w:r>
      <w:r w:rsidR="004A1370">
        <w:t xml:space="preserve"> </w:t>
      </w:r>
      <w:r w:rsidR="00657EBA">
        <w:t>crops) as</w:t>
      </w:r>
      <w:r w:rsidR="004A1370">
        <w:t xml:space="preserve"> fallow in our model for 1860. For 1959 we </w:t>
      </w:r>
      <w:r w:rsidR="00DA45C8">
        <w:t xml:space="preserve">obtained local information by inquiry. Fallow was practiced every other year in most of the cereal cropland, except for the plots closer to the river, which were left fallow once every five years. </w:t>
      </w:r>
    </w:p>
    <w:p w:rsidR="00657EBA" w:rsidRDefault="00A9146C" w:rsidP="00657EBA">
      <w:pPr>
        <w:spacing w:line="360" w:lineRule="auto"/>
      </w:pPr>
      <w:r>
        <w:t>Secondly we had to estimate</w:t>
      </w:r>
      <w:r w:rsidR="00657EBA">
        <w:t xml:space="preserve"> the amount and size of </w:t>
      </w:r>
      <w:r w:rsidR="00657EBA">
        <w:rPr>
          <w:i/>
        </w:rPr>
        <w:t>formiguers</w:t>
      </w:r>
      <w:r w:rsidR="00657EBA">
        <w:t xml:space="preserve"> used</w:t>
      </w:r>
      <w:r>
        <w:t xml:space="preserve"> in Les Oluges in 1860</w:t>
      </w:r>
      <w:r w:rsidR="00657EBA">
        <w:t>. We took as</w:t>
      </w:r>
      <w:r>
        <w:t xml:space="preserve"> a</w:t>
      </w:r>
      <w:r w:rsidR="00657EBA">
        <w:t xml:space="preserve"> reference the data available for a nearby village, Balaguer, </w:t>
      </w:r>
      <w:r w:rsidR="00FD1849">
        <w:t xml:space="preserve">and obtained a mean of 209 </w:t>
      </w:r>
      <w:r w:rsidR="00FD1849">
        <w:rPr>
          <w:i/>
        </w:rPr>
        <w:t>formiguers</w:t>
      </w:r>
      <w:r w:rsidR="00FD1849">
        <w:t xml:space="preserve"> per hectare used in vegetable gardens and 102 </w:t>
      </w:r>
      <w:r w:rsidR="00FD1849">
        <w:rPr>
          <w:i/>
        </w:rPr>
        <w:t>formiguers</w:t>
      </w:r>
      <w:r w:rsidR="00FD1849">
        <w:t xml:space="preserve"> per hectare in cereal cropland. Each </w:t>
      </w:r>
      <w:r w:rsidR="00FD1849" w:rsidRPr="00FD1849">
        <w:rPr>
          <w:i/>
        </w:rPr>
        <w:t>formiguer</w:t>
      </w:r>
      <w:r>
        <w:t xml:space="preserve"> would have been</w:t>
      </w:r>
      <w:r w:rsidR="00FD1849">
        <w:t xml:space="preserve"> built with 20</w:t>
      </w:r>
      <w:r w:rsidR="00666CB2">
        <w:t xml:space="preserve"> </w:t>
      </w:r>
      <w:r w:rsidR="00FD1849">
        <w:lastRenderedPageBreak/>
        <w:t xml:space="preserve">kg of wood from woodland. </w:t>
      </w:r>
      <w:r w:rsidR="00FD1849" w:rsidRPr="00FD1849">
        <w:t>According</w:t>
      </w:r>
      <w:r w:rsidR="00FD1849">
        <w:t xml:space="preserve"> to the </w:t>
      </w:r>
      <w:r w:rsidR="00FD1849">
        <w:rPr>
          <w:i/>
        </w:rPr>
        <w:t>cartilla evaluatoria</w:t>
      </w:r>
      <w:r w:rsidR="00FD1849">
        <w:t xml:space="preserve"> of Les Oluges, these were the only lands w</w:t>
      </w:r>
      <w:r>
        <w:t>h</w:t>
      </w:r>
      <w:r w:rsidR="00FD1849">
        <w:t xml:space="preserve">ere </w:t>
      </w:r>
      <w:r w:rsidR="00FD1849">
        <w:rPr>
          <w:i/>
        </w:rPr>
        <w:t>formiguers</w:t>
      </w:r>
      <w:r w:rsidR="00FD1849">
        <w:t xml:space="preserve"> were built. However, </w:t>
      </w:r>
      <w:r w:rsidR="009913B3">
        <w:t xml:space="preserve">given the scarcity of manure </w:t>
      </w:r>
      <w:r w:rsidR="00E53985">
        <w:t>that the historical records a</w:t>
      </w:r>
      <w:r>
        <w:t>cknowledge for</w:t>
      </w:r>
      <w:r w:rsidR="00E53985">
        <w:t xml:space="preserve"> </w:t>
      </w:r>
      <w:r w:rsidR="00A40FB9">
        <w:t xml:space="preserve">the </w:t>
      </w:r>
      <w:r w:rsidR="00E53985">
        <w:t>Segarra County</w:t>
      </w:r>
      <w:r>
        <w:t>,</w:t>
      </w:r>
      <w:r w:rsidR="00E53985">
        <w:t xml:space="preserve"> </w:t>
      </w:r>
      <w:r w:rsidR="009913B3">
        <w:t>and that in vin</w:t>
      </w:r>
      <w:r w:rsidR="00E53985">
        <w:t>eyard areas</w:t>
      </w:r>
      <w:r w:rsidR="00FD1849">
        <w:t xml:space="preserve"> </w:t>
      </w:r>
      <w:r w:rsidR="00E53985">
        <w:t xml:space="preserve">it was common to build </w:t>
      </w:r>
      <w:r w:rsidR="00E53985" w:rsidRPr="00E53985">
        <w:rPr>
          <w:i/>
        </w:rPr>
        <w:t>formiguers</w:t>
      </w:r>
      <w:r w:rsidR="00E53985">
        <w:t xml:space="preserve"> with the prun</w:t>
      </w:r>
      <w:r>
        <w:t>ed branches</w:t>
      </w:r>
      <w:r w:rsidR="00281D70">
        <w:t xml:space="preserve"> from the vines</w:t>
      </w:r>
      <w:r w:rsidR="00E53985">
        <w:t xml:space="preserve">, we also added </w:t>
      </w:r>
      <w:r w:rsidR="00FD1849">
        <w:rPr>
          <w:i/>
        </w:rPr>
        <w:t>formiguers</w:t>
      </w:r>
      <w:r w:rsidR="00FD1849">
        <w:t xml:space="preserve"> </w:t>
      </w:r>
      <w:r w:rsidR="00281D70">
        <w:t>to</w:t>
      </w:r>
      <w:r w:rsidR="00E53985">
        <w:t xml:space="preserve"> the hectares were cereals and vineyard w</w:t>
      </w:r>
      <w:r w:rsidR="00281D70">
        <w:t>h</w:t>
      </w:r>
      <w:r w:rsidR="00E53985">
        <w:t xml:space="preserve">ere intercropped. </w:t>
      </w:r>
    </w:p>
    <w:p w:rsidR="00E21342" w:rsidRDefault="00A31ED8" w:rsidP="00657EBA">
      <w:pPr>
        <w:spacing w:line="360" w:lineRule="auto"/>
      </w:pPr>
      <w:r>
        <w:t>The scarcity of manure and the widespread use of fallow were connected in Les Oluges. Scarcity of manure led to the need to keep cropland fallow</w:t>
      </w:r>
      <w:r w:rsidR="00281D70">
        <w:t xml:space="preserve"> in alternate years</w:t>
      </w:r>
      <w:r>
        <w:t>, but only the fallow land of monocul</w:t>
      </w:r>
      <w:r w:rsidR="00281D70">
        <w:t>tures was available for pasture</w:t>
      </w:r>
      <w:r>
        <w:t xml:space="preserve"> since w</w:t>
      </w:r>
      <w:r w:rsidR="00281D70">
        <w:t>h</w:t>
      </w:r>
      <w:r>
        <w:t>ere cereals were sown betwe</w:t>
      </w:r>
      <w:r w:rsidR="00281D70">
        <w:t>en the vines, the strips left</w:t>
      </w:r>
      <w:r>
        <w:t xml:space="preserve"> fallow could not be grazed because livestock could damage the vines. Thus livestock feeding required </w:t>
      </w:r>
      <w:r w:rsidR="00281D70">
        <w:t xml:space="preserve">resources </w:t>
      </w:r>
      <w:r>
        <w:t>from the woodland to satisfy its needs</w:t>
      </w:r>
      <w:r w:rsidR="00E21342">
        <w:t xml:space="preserve">, but this also meant that in 1860 a greater amount of manure was </w:t>
      </w:r>
      <w:r w:rsidR="005B1FFA">
        <w:t xml:space="preserve">lost when animals were grazing. </w:t>
      </w:r>
      <w:r>
        <w:t xml:space="preserve"> </w:t>
      </w:r>
    </w:p>
    <w:p w:rsidR="00990BCE" w:rsidRDefault="00E21342" w:rsidP="00657EBA">
      <w:pPr>
        <w:spacing w:line="360" w:lineRule="auto"/>
      </w:pPr>
      <w:r>
        <w:t xml:space="preserve">For </w:t>
      </w:r>
      <w:r w:rsidR="005B1FFA">
        <w:t>calculating the</w:t>
      </w:r>
      <w:r>
        <w:t xml:space="preserve"> feed</w:t>
      </w:r>
      <w:r w:rsidR="005B1FFA">
        <w:t xml:space="preserve"> distribution</w:t>
      </w:r>
      <w:r w:rsidR="00281D70">
        <w:t xml:space="preserve"> among the</w:t>
      </w:r>
      <w:r>
        <w:t xml:space="preserve"> livestock we follow</w:t>
      </w:r>
      <w:r w:rsidR="00281D70">
        <w:t>ed</w:t>
      </w:r>
      <w:r>
        <w:t xml:space="preserve"> th</w:t>
      </w:r>
      <w:r w:rsidR="005B1FFA">
        <w:t>ese steps. For the energy balances of 1860 and 1959, first</w:t>
      </w:r>
      <w:r>
        <w:t xml:space="preserve"> we calculate</w:t>
      </w:r>
      <w:r w:rsidR="00281D70">
        <w:t>d</w:t>
      </w:r>
      <w:r w:rsidR="00542C8D">
        <w:t xml:space="preserve"> the fee</w:t>
      </w:r>
      <w:r>
        <w:t>d available for livestock</w:t>
      </w:r>
      <w:r w:rsidR="005B1FFA">
        <w:t xml:space="preserve"> feeding</w:t>
      </w:r>
      <w:r>
        <w:t xml:space="preserve">, </w:t>
      </w:r>
      <w:r w:rsidR="00281D70">
        <w:t>both</w:t>
      </w:r>
      <w:r w:rsidR="005B1FFA">
        <w:t xml:space="preserve"> from grains as barley, and from by-products, domestic residues and pastureland. Then we distribute</w:t>
      </w:r>
      <w:r w:rsidR="00281D70">
        <w:t>d</w:t>
      </w:r>
      <w:r w:rsidR="005B1FFA">
        <w:t xml:space="preserve"> it taking into consideration the suitability for each animal and the relevance of the animal for the sustenance and provision of th</w:t>
      </w:r>
      <w:r w:rsidR="00281D70">
        <w:t>e agroecosystem. For 1999, we did</w:t>
      </w:r>
      <w:r w:rsidR="005B1FFA">
        <w:t xml:space="preserve"> the same, but in this case we also include the feed imported from abroad and we include</w:t>
      </w:r>
      <w:r w:rsidR="00281D70">
        <w:t>d</w:t>
      </w:r>
      <w:r w:rsidR="005B1FFA">
        <w:t xml:space="preserve"> the embodied energy of this feed. Thus, in 1860 in order to fulfil the nutritional needs of the livestoc</w:t>
      </w:r>
      <w:r w:rsidR="00281D70">
        <w:t>k, it was necessary to resort to</w:t>
      </w:r>
      <w:r w:rsidR="005B1FFA">
        <w:t xml:space="preserve"> woodland resources</w:t>
      </w:r>
      <w:r w:rsidR="00990BCE">
        <w:t xml:space="preserve">. </w:t>
      </w:r>
    </w:p>
    <w:p w:rsidR="00990BCE" w:rsidRDefault="00990BCE" w:rsidP="00657EBA">
      <w:pPr>
        <w:spacing w:line="360" w:lineRule="auto"/>
      </w:pPr>
      <w:r>
        <w:t xml:space="preserve">Grazing and </w:t>
      </w:r>
      <w:r w:rsidRPr="00990BCE">
        <w:rPr>
          <w:i/>
        </w:rPr>
        <w:t>formiguers</w:t>
      </w:r>
      <w:r>
        <w:t xml:space="preserve"> are</w:t>
      </w:r>
      <w:r w:rsidR="005B1FFA">
        <w:t xml:space="preserve"> </w:t>
      </w:r>
      <w:r>
        <w:t>included in the resources extracted from woodland in 1860, but the total extraction of wood from the woodland was estimated using the data available for the nearby village of Balaguer. For 1959 and 1999 we used provincial data for the estimation of wood</w:t>
      </w:r>
      <w:r w:rsidR="009835AE">
        <w:t>land biomass production and</w:t>
      </w:r>
      <w:r>
        <w:t xml:space="preserve"> resou</w:t>
      </w:r>
      <w:r w:rsidR="009835AE">
        <w:t>rces extracted from it</w:t>
      </w:r>
      <w:r>
        <w:t xml:space="preserve">. </w:t>
      </w:r>
    </w:p>
    <w:p w:rsidR="003E2B84" w:rsidRDefault="00666CB2" w:rsidP="00657EBA">
      <w:pPr>
        <w:spacing w:line="360" w:lineRule="auto"/>
      </w:pPr>
      <w:r>
        <w:t xml:space="preserve">When </w:t>
      </w:r>
      <w:r w:rsidR="00A9146C">
        <w:t xml:space="preserve">the agroecosystem of Les Oluges </w:t>
      </w:r>
      <w:r>
        <w:t>has been</w:t>
      </w:r>
      <w:r w:rsidR="00A9146C">
        <w:t xml:space="preserve"> transformed into and industrial farm system, </w:t>
      </w:r>
      <w:r>
        <w:t xml:space="preserve">many </w:t>
      </w:r>
      <w:r w:rsidR="00A9146C">
        <w:t xml:space="preserve">local </w:t>
      </w:r>
      <w:r w:rsidR="00AD0DE4">
        <w:t xml:space="preserve">farming </w:t>
      </w:r>
      <w:r w:rsidR="00A9146C">
        <w:t xml:space="preserve">specificities </w:t>
      </w:r>
      <w:r w:rsidR="00AD0DE4">
        <w:t xml:space="preserve">have </w:t>
      </w:r>
      <w:r w:rsidR="00A9146C">
        <w:t>tend</w:t>
      </w:r>
      <w:r>
        <w:t>ed</w:t>
      </w:r>
      <w:r w:rsidR="00A9146C">
        <w:t xml:space="preserve"> to disappear. </w:t>
      </w:r>
      <w:r w:rsidR="009835AE">
        <w:t>Cropland was fertilised mainly with manure</w:t>
      </w:r>
      <w:r w:rsidR="001C4260">
        <w:t xml:space="preserve"> and synthetic fertilis</w:t>
      </w:r>
      <w:r w:rsidR="009835AE">
        <w:t xml:space="preserve">ers. </w:t>
      </w:r>
      <w:r w:rsidR="00DA45C8">
        <w:t>The</w:t>
      </w:r>
      <w:r w:rsidR="009835AE">
        <w:t xml:space="preserve"> amount of manure available has been estimated according to t</w:t>
      </w:r>
      <w:r w:rsidR="003E2B84">
        <w:t xml:space="preserve">he composition </w:t>
      </w:r>
      <w:r w:rsidR="00AD0DE4">
        <w:t xml:space="preserve">and management </w:t>
      </w:r>
      <w:r w:rsidR="003E2B84">
        <w:t xml:space="preserve">of </w:t>
      </w:r>
      <w:r w:rsidR="00AD0DE4">
        <w:t>the livestock-</w:t>
      </w:r>
      <w:r w:rsidR="003E2B84">
        <w:t>barnyard</w:t>
      </w:r>
      <w:r w:rsidR="00AD0DE4">
        <w:t xml:space="preserve"> fund component of the agroecosystem</w:t>
      </w:r>
      <w:r w:rsidR="003E2B84">
        <w:t>. T</w:t>
      </w:r>
      <w:r w:rsidR="009835AE">
        <w:t>he</w:t>
      </w:r>
      <w:r w:rsidR="00DA45C8">
        <w:t xml:space="preserve"> information a</w:t>
      </w:r>
      <w:r w:rsidR="001C4260">
        <w:t>bout the use of mineral fertilis</w:t>
      </w:r>
      <w:r w:rsidR="00DA45C8">
        <w:t xml:space="preserve">ers </w:t>
      </w:r>
      <w:r w:rsidR="003E2B84">
        <w:t>was</w:t>
      </w:r>
      <w:r w:rsidR="00DA45C8">
        <w:t xml:space="preserve"> obtained fr</w:t>
      </w:r>
      <w:r w:rsidR="009835AE">
        <w:t>om local surveys</w:t>
      </w:r>
      <w:r w:rsidR="003E2B84">
        <w:t xml:space="preserve"> that gave u</w:t>
      </w:r>
      <w:r w:rsidR="001C4260">
        <w:t>s the dose of synthetic fertilis</w:t>
      </w:r>
      <w:r w:rsidR="003E2B84">
        <w:t>ers</w:t>
      </w:r>
      <w:r w:rsidR="009835AE">
        <w:t xml:space="preserve"> </w:t>
      </w:r>
      <w:r w:rsidR="003E2B84">
        <w:t xml:space="preserve">applied </w:t>
      </w:r>
      <w:r w:rsidR="00AD0DE4">
        <w:t xml:space="preserve">per </w:t>
      </w:r>
      <w:r w:rsidR="003E2B84">
        <w:t xml:space="preserve">hectare. </w:t>
      </w:r>
      <w:r w:rsidR="00AD0DE4">
        <w:t>By accounting</w:t>
      </w:r>
      <w:r w:rsidR="003E2B84">
        <w:t xml:space="preserve"> a nutrie</w:t>
      </w:r>
      <w:r w:rsidR="001C507A">
        <w:t xml:space="preserve">nt balance of the agroecosystem we obtained </w:t>
      </w:r>
      <w:r w:rsidR="001C507A">
        <w:lastRenderedPageBreak/>
        <w:t xml:space="preserve">the total amount of synthetic fertilisers applied and the number of hectares fertilised (Table 2). For the nutrient balance we took into consideration the traditional cultural uses of </w:t>
      </w:r>
      <w:r w:rsidR="00AD0DE4">
        <w:t xml:space="preserve">cropland </w:t>
      </w:r>
      <w:r w:rsidR="001C4260">
        <w:t>fertilis</w:t>
      </w:r>
      <w:r w:rsidR="001C507A">
        <w:t xml:space="preserve">ation–i.e. which crops </w:t>
      </w:r>
      <w:r w:rsidR="00AD0DE4">
        <w:t xml:space="preserve">were </w:t>
      </w:r>
      <w:r w:rsidR="001C4260">
        <w:t>prioritised for fertilis</w:t>
      </w:r>
      <w:r w:rsidR="001C507A">
        <w:t xml:space="preserve">ation and which crops </w:t>
      </w:r>
      <w:r w:rsidR="00AD0DE4">
        <w:t xml:space="preserve">were </w:t>
      </w:r>
      <w:r w:rsidR="001C4260">
        <w:t>seldom fertilis</w:t>
      </w:r>
      <w:r w:rsidR="001C507A">
        <w:t>ed</w:t>
      </w:r>
      <w:r w:rsidR="00AD0DE4">
        <w:t>—</w:t>
      </w:r>
      <w:r w:rsidR="003E2B84">
        <w:t>and</w:t>
      </w:r>
      <w:r w:rsidR="00C15C2B">
        <w:t>, for 1999,</w:t>
      </w:r>
      <w:r w:rsidR="001C507A">
        <w:t xml:space="preserve"> the</w:t>
      </w:r>
      <w:r w:rsidR="001666FB">
        <w:t xml:space="preserve"> </w:t>
      </w:r>
      <w:r w:rsidR="001C507A">
        <w:t xml:space="preserve">limit </w:t>
      </w:r>
      <w:r w:rsidR="00AD0DE4">
        <w:t xml:space="preserve">set </w:t>
      </w:r>
      <w:r w:rsidR="001C507A">
        <w:t>by the legislation which establishes a maximum of 170kg of nitrogen per hectare</w:t>
      </w:r>
      <w:r w:rsidR="00542C8D">
        <w:t xml:space="preserve"> </w:t>
      </w:r>
      <w:r w:rsidR="00542C8D">
        <w:fldChar w:fldCharType="begin" w:fldLock="1"/>
      </w:r>
      <w:r w:rsidR="00542C8D">
        <w:instrText>ADDIN CSL_CITATION { "citationItems" : [ { "id" : "ITEM-1", "itemData" : { "author" : [ { "dropping-particle" : "", "family" : "Diari Oficial de la Generalitat de Catalunya DOGC", "given" : "", "non-dropping-particle" : "", "parse-names" : false, "suffix" : "" } ], "id" : "ITEM-1", "issued" : { "date-parts" : [ [ "2009" ] ] }, "page" : "65858-65902", "title" : "DR 136/2009_Zones vulnerables en relaci\u00f3 amb la contaminaci\u00f3 de nitrats que procedeixen de fonts agr\u00e0ries i de gesti\u00f3 de les dejeccions ramaderes", "type" : "legislation" }, "uris" : [ "http://www.mendeley.com/documents/?uuid=f6bb4a98-5076-433d-b9ea-5f69e8fd744c" ] } ], "mendeley" : { "formattedCitation" : "(Diari Oficial de la Generalitat de Catalunya DOGC, 2009)", "plainTextFormattedCitation" : "(Diari Oficial de la Generalitat de Catalunya DOGC, 2009)", "previouslyFormattedCitation" : "(Diari Oficial de la Generalitat de Catalunya DOGC, 2009)" }, "properties" : {  }, "schema" : "https://github.com/citation-style-language/schema/raw/master/csl-citation.json" }</w:instrText>
      </w:r>
      <w:r w:rsidR="00542C8D">
        <w:fldChar w:fldCharType="separate"/>
      </w:r>
      <w:r w:rsidR="00542C8D" w:rsidRPr="00542C8D">
        <w:rPr>
          <w:noProof/>
        </w:rPr>
        <w:t>(Diari Oficial de la Generalitat de Catalunya DOGC, 2009)</w:t>
      </w:r>
      <w:r w:rsidR="00542C8D">
        <w:fldChar w:fldCharType="end"/>
      </w:r>
      <w:r w:rsidR="001C507A">
        <w:t xml:space="preserve">. </w:t>
      </w:r>
      <w:r w:rsidR="00254F54">
        <w:t xml:space="preserve"> </w:t>
      </w:r>
    </w:p>
    <w:p w:rsidR="005A6825" w:rsidRDefault="005A6825" w:rsidP="00657EBA">
      <w:pPr>
        <w:spacing w:line="360" w:lineRule="auto"/>
      </w:pPr>
    </w:p>
    <w:p w:rsidR="00016DD2" w:rsidRDefault="00016DD2" w:rsidP="00657EBA">
      <w:pPr>
        <w:spacing w:line="360" w:lineRule="auto"/>
        <w:sectPr w:rsidR="00016DD2">
          <w:pgSz w:w="11906" w:h="16838"/>
          <w:pgMar w:top="1417" w:right="1701" w:bottom="1417" w:left="1701" w:header="708" w:footer="708" w:gutter="0"/>
          <w:cols w:space="708"/>
          <w:docGrid w:linePitch="360"/>
        </w:sectPr>
      </w:pPr>
    </w:p>
    <w:p w:rsidR="00016DD2" w:rsidRDefault="00016DD2" w:rsidP="00016DD2">
      <w:pPr>
        <w:spacing w:line="360" w:lineRule="auto"/>
      </w:pPr>
      <w:r>
        <w:lastRenderedPageBreak/>
        <w:t xml:space="preserve">Table </w:t>
      </w:r>
      <w:r w:rsidR="001C4260">
        <w:t>2. Manure and synthetic fertilis</w:t>
      </w:r>
      <w:r>
        <w:t xml:space="preserve">ers applied in Les Oluges in 1860, 1959 and 1999; according to our estimations. </w:t>
      </w:r>
    </w:p>
    <w:tbl>
      <w:tblPr>
        <w:tblW w:w="13124" w:type="dxa"/>
        <w:tblCellMar>
          <w:left w:w="113" w:type="dxa"/>
          <w:right w:w="113" w:type="dxa"/>
        </w:tblCellMar>
        <w:tblLook w:val="0600" w:firstRow="0" w:lastRow="0" w:firstColumn="0" w:lastColumn="0" w:noHBand="1" w:noVBand="1"/>
      </w:tblPr>
      <w:tblGrid>
        <w:gridCol w:w="1426"/>
        <w:gridCol w:w="1299"/>
        <w:gridCol w:w="1300"/>
        <w:gridCol w:w="1300"/>
        <w:gridCol w:w="1300"/>
        <w:gridCol w:w="1299"/>
        <w:gridCol w:w="1300"/>
        <w:gridCol w:w="1300"/>
        <w:gridCol w:w="1300"/>
        <w:gridCol w:w="1300"/>
      </w:tblGrid>
      <w:tr w:rsidR="00016DD2" w:rsidRPr="008145A1" w:rsidTr="00CE2B4C">
        <w:trPr>
          <w:trHeight w:val="713"/>
        </w:trPr>
        <w:tc>
          <w:tcPr>
            <w:tcW w:w="1426" w:type="dxa"/>
            <w:vMerge w:val="restart"/>
            <w:tcBorders>
              <w:top w:val="nil"/>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16DD2" w:rsidRPr="008145A1" w:rsidRDefault="00016DD2" w:rsidP="009B6594">
            <w:pPr>
              <w:spacing w:after="0" w:line="360" w:lineRule="auto"/>
            </w:pPr>
          </w:p>
        </w:tc>
        <w:tc>
          <w:tcPr>
            <w:tcW w:w="3899" w:type="dxa"/>
            <w:gridSpan w:val="3"/>
            <w:tcBorders>
              <w:top w:val="single" w:sz="8" w:space="0" w:color="000000"/>
              <w:left w:val="single" w:sz="8" w:space="0" w:color="000000"/>
              <w:bottom w:val="nil"/>
              <w:right w:val="single" w:sz="8" w:space="0" w:color="000000"/>
            </w:tcBorders>
            <w:shd w:val="clear" w:color="auto" w:fill="BFBFBF"/>
            <w:tcMar>
              <w:top w:w="15" w:type="dxa"/>
              <w:left w:w="15" w:type="dxa"/>
              <w:bottom w:w="0" w:type="dxa"/>
              <w:right w:w="15" w:type="dxa"/>
            </w:tcMar>
            <w:vAlign w:val="center"/>
            <w:hideMark/>
          </w:tcPr>
          <w:p w:rsidR="00016DD2" w:rsidRPr="008145A1" w:rsidRDefault="00016DD2" w:rsidP="009B6594">
            <w:pPr>
              <w:spacing w:after="0" w:line="276" w:lineRule="auto"/>
              <w:jc w:val="center"/>
            </w:pPr>
            <w:r w:rsidRPr="008145A1">
              <w:rPr>
                <w:b/>
                <w:bCs/>
              </w:rPr>
              <w:t>Total kg</w:t>
            </w:r>
          </w:p>
        </w:tc>
        <w:tc>
          <w:tcPr>
            <w:tcW w:w="3899" w:type="dxa"/>
            <w:gridSpan w:val="3"/>
            <w:tcBorders>
              <w:top w:val="single" w:sz="8" w:space="0" w:color="000000"/>
              <w:left w:val="single" w:sz="8" w:space="0" w:color="000000"/>
              <w:bottom w:val="nil"/>
              <w:right w:val="single" w:sz="8" w:space="0" w:color="000000"/>
            </w:tcBorders>
            <w:shd w:val="clear" w:color="auto" w:fill="BFBFBF"/>
            <w:tcMar>
              <w:top w:w="15" w:type="dxa"/>
              <w:left w:w="15" w:type="dxa"/>
              <w:bottom w:w="0" w:type="dxa"/>
              <w:right w:w="15" w:type="dxa"/>
            </w:tcMar>
            <w:vAlign w:val="center"/>
            <w:hideMark/>
          </w:tcPr>
          <w:p w:rsidR="00016DD2" w:rsidRPr="008145A1" w:rsidRDefault="00016DD2" w:rsidP="009B6594">
            <w:pPr>
              <w:spacing w:after="0" w:line="276" w:lineRule="auto"/>
              <w:jc w:val="center"/>
            </w:pPr>
            <w:r w:rsidRPr="008145A1">
              <w:rPr>
                <w:b/>
                <w:bCs/>
              </w:rPr>
              <w:t>Total hectares fertilised</w:t>
            </w:r>
          </w:p>
        </w:tc>
        <w:tc>
          <w:tcPr>
            <w:tcW w:w="3900" w:type="dxa"/>
            <w:gridSpan w:val="3"/>
            <w:tcBorders>
              <w:top w:val="single" w:sz="8" w:space="0" w:color="000000"/>
              <w:left w:val="single" w:sz="8" w:space="0" w:color="000000"/>
              <w:bottom w:val="nil"/>
              <w:right w:val="single" w:sz="8" w:space="0" w:color="000000"/>
            </w:tcBorders>
            <w:shd w:val="clear" w:color="auto" w:fill="BFBFBF"/>
            <w:tcMar>
              <w:top w:w="15" w:type="dxa"/>
              <w:left w:w="15" w:type="dxa"/>
              <w:bottom w:w="0" w:type="dxa"/>
              <w:right w:w="15" w:type="dxa"/>
            </w:tcMar>
            <w:vAlign w:val="center"/>
            <w:hideMark/>
          </w:tcPr>
          <w:p w:rsidR="00016DD2" w:rsidRPr="008145A1" w:rsidRDefault="00016DD2" w:rsidP="009B6594">
            <w:pPr>
              <w:spacing w:after="0" w:line="276" w:lineRule="auto"/>
              <w:jc w:val="center"/>
            </w:pPr>
            <w:r w:rsidRPr="008145A1">
              <w:rPr>
                <w:b/>
                <w:bCs/>
              </w:rPr>
              <w:t>Kg/ha</w:t>
            </w:r>
          </w:p>
        </w:tc>
      </w:tr>
      <w:tr w:rsidR="00CE2B4C" w:rsidRPr="008145A1" w:rsidTr="00CE2B4C">
        <w:trPr>
          <w:trHeight w:val="574"/>
        </w:trPr>
        <w:tc>
          <w:tcPr>
            <w:tcW w:w="1426" w:type="dxa"/>
            <w:vMerge/>
            <w:tcBorders>
              <w:top w:val="nil"/>
              <w:left w:val="nil"/>
              <w:bottom w:val="single" w:sz="8" w:space="0" w:color="000000"/>
              <w:right w:val="single" w:sz="8" w:space="0" w:color="000000"/>
            </w:tcBorders>
            <w:vAlign w:val="center"/>
            <w:hideMark/>
          </w:tcPr>
          <w:p w:rsidR="00016DD2" w:rsidRPr="008145A1" w:rsidRDefault="00016DD2" w:rsidP="009B6594">
            <w:pPr>
              <w:spacing w:after="0" w:line="360" w:lineRule="auto"/>
            </w:pPr>
          </w:p>
        </w:tc>
        <w:tc>
          <w:tcPr>
            <w:tcW w:w="1299" w:type="dxa"/>
            <w:tcBorders>
              <w:top w:val="nil"/>
              <w:left w:val="single" w:sz="8" w:space="0" w:color="000000"/>
              <w:bottom w:val="single" w:sz="8" w:space="0" w:color="000000"/>
              <w:right w:val="single" w:sz="4" w:space="0" w:color="auto"/>
            </w:tcBorders>
            <w:shd w:val="clear" w:color="auto" w:fill="FFFFFF"/>
            <w:tcMar>
              <w:top w:w="15" w:type="dxa"/>
              <w:left w:w="15" w:type="dxa"/>
              <w:bottom w:w="0" w:type="dxa"/>
              <w:right w:w="15" w:type="dxa"/>
            </w:tcMar>
            <w:vAlign w:val="center"/>
            <w:hideMark/>
          </w:tcPr>
          <w:p w:rsidR="00016DD2" w:rsidRPr="008145A1" w:rsidRDefault="00016DD2" w:rsidP="009B6594">
            <w:pPr>
              <w:spacing w:after="0" w:line="276" w:lineRule="auto"/>
              <w:jc w:val="center"/>
            </w:pPr>
            <w:r w:rsidRPr="008145A1">
              <w:rPr>
                <w:b/>
                <w:bCs/>
              </w:rPr>
              <w:t>1860</w:t>
            </w:r>
          </w:p>
        </w:tc>
        <w:tc>
          <w:tcPr>
            <w:tcW w:w="1300" w:type="dxa"/>
            <w:tcBorders>
              <w:top w:val="nil"/>
              <w:left w:val="single" w:sz="4" w:space="0" w:color="auto"/>
              <w:bottom w:val="single" w:sz="8" w:space="0" w:color="000000"/>
              <w:right w:val="single" w:sz="4" w:space="0" w:color="auto"/>
            </w:tcBorders>
            <w:shd w:val="clear" w:color="auto" w:fill="FFFFFF"/>
            <w:tcMar>
              <w:top w:w="15" w:type="dxa"/>
              <w:left w:w="15" w:type="dxa"/>
              <w:bottom w:w="0" w:type="dxa"/>
              <w:right w:w="15" w:type="dxa"/>
            </w:tcMar>
            <w:vAlign w:val="center"/>
            <w:hideMark/>
          </w:tcPr>
          <w:p w:rsidR="00016DD2" w:rsidRPr="008145A1" w:rsidRDefault="00016DD2" w:rsidP="009B6594">
            <w:pPr>
              <w:spacing w:after="0" w:line="276" w:lineRule="auto"/>
              <w:jc w:val="center"/>
            </w:pPr>
            <w:r w:rsidRPr="008145A1">
              <w:rPr>
                <w:b/>
                <w:bCs/>
              </w:rPr>
              <w:t>1959</w:t>
            </w:r>
          </w:p>
        </w:tc>
        <w:tc>
          <w:tcPr>
            <w:tcW w:w="1300" w:type="dxa"/>
            <w:tcBorders>
              <w:top w:val="nil"/>
              <w:left w:val="single" w:sz="4" w:space="0" w:color="auto"/>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16DD2" w:rsidRPr="008145A1" w:rsidRDefault="00016DD2" w:rsidP="009B6594">
            <w:pPr>
              <w:spacing w:after="0" w:line="276" w:lineRule="auto"/>
              <w:jc w:val="center"/>
            </w:pPr>
            <w:r w:rsidRPr="008145A1">
              <w:rPr>
                <w:b/>
                <w:bCs/>
              </w:rPr>
              <w:t>1999</w:t>
            </w:r>
          </w:p>
        </w:tc>
        <w:tc>
          <w:tcPr>
            <w:tcW w:w="1300" w:type="dxa"/>
            <w:tcBorders>
              <w:top w:val="nil"/>
              <w:left w:val="single" w:sz="8" w:space="0" w:color="000000"/>
              <w:bottom w:val="single" w:sz="8" w:space="0" w:color="000000"/>
              <w:right w:val="single" w:sz="4" w:space="0" w:color="auto"/>
            </w:tcBorders>
            <w:shd w:val="clear" w:color="auto" w:fill="FFFFFF"/>
            <w:tcMar>
              <w:top w:w="15" w:type="dxa"/>
              <w:left w:w="15" w:type="dxa"/>
              <w:bottom w:w="0" w:type="dxa"/>
              <w:right w:w="15" w:type="dxa"/>
            </w:tcMar>
            <w:vAlign w:val="center"/>
            <w:hideMark/>
          </w:tcPr>
          <w:p w:rsidR="00016DD2" w:rsidRPr="008145A1" w:rsidRDefault="00016DD2" w:rsidP="009B6594">
            <w:pPr>
              <w:spacing w:after="0" w:line="276" w:lineRule="auto"/>
              <w:jc w:val="center"/>
            </w:pPr>
            <w:r w:rsidRPr="008145A1">
              <w:rPr>
                <w:b/>
                <w:bCs/>
              </w:rPr>
              <w:t>1860</w:t>
            </w:r>
          </w:p>
        </w:tc>
        <w:tc>
          <w:tcPr>
            <w:tcW w:w="1299" w:type="dxa"/>
            <w:tcBorders>
              <w:top w:val="nil"/>
              <w:left w:val="single" w:sz="4" w:space="0" w:color="auto"/>
              <w:bottom w:val="single" w:sz="8" w:space="0" w:color="000000"/>
              <w:right w:val="single" w:sz="4" w:space="0" w:color="auto"/>
            </w:tcBorders>
            <w:shd w:val="clear" w:color="auto" w:fill="FFFFFF"/>
            <w:tcMar>
              <w:top w:w="15" w:type="dxa"/>
              <w:left w:w="15" w:type="dxa"/>
              <w:bottom w:w="0" w:type="dxa"/>
              <w:right w:w="15" w:type="dxa"/>
            </w:tcMar>
            <w:vAlign w:val="center"/>
            <w:hideMark/>
          </w:tcPr>
          <w:p w:rsidR="00016DD2" w:rsidRPr="008145A1" w:rsidRDefault="00016DD2" w:rsidP="009B6594">
            <w:pPr>
              <w:spacing w:after="0" w:line="276" w:lineRule="auto"/>
              <w:jc w:val="center"/>
            </w:pPr>
            <w:r w:rsidRPr="008145A1">
              <w:rPr>
                <w:b/>
                <w:bCs/>
              </w:rPr>
              <w:t>1959</w:t>
            </w:r>
          </w:p>
        </w:tc>
        <w:tc>
          <w:tcPr>
            <w:tcW w:w="1300" w:type="dxa"/>
            <w:tcBorders>
              <w:top w:val="nil"/>
              <w:left w:val="single" w:sz="4" w:space="0" w:color="auto"/>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16DD2" w:rsidRPr="008145A1" w:rsidRDefault="00016DD2" w:rsidP="009B6594">
            <w:pPr>
              <w:spacing w:after="0" w:line="276" w:lineRule="auto"/>
              <w:jc w:val="center"/>
            </w:pPr>
            <w:r w:rsidRPr="008145A1">
              <w:rPr>
                <w:b/>
                <w:bCs/>
              </w:rPr>
              <w:t>1999</w:t>
            </w:r>
          </w:p>
        </w:tc>
        <w:tc>
          <w:tcPr>
            <w:tcW w:w="1300" w:type="dxa"/>
            <w:tcBorders>
              <w:top w:val="nil"/>
              <w:left w:val="single" w:sz="8" w:space="0" w:color="000000"/>
              <w:bottom w:val="single" w:sz="8" w:space="0" w:color="000000"/>
              <w:right w:val="single" w:sz="4" w:space="0" w:color="auto"/>
            </w:tcBorders>
            <w:shd w:val="clear" w:color="auto" w:fill="FFFFFF"/>
            <w:tcMar>
              <w:top w:w="15" w:type="dxa"/>
              <w:left w:w="15" w:type="dxa"/>
              <w:bottom w:w="0" w:type="dxa"/>
              <w:right w:w="15" w:type="dxa"/>
            </w:tcMar>
            <w:vAlign w:val="center"/>
            <w:hideMark/>
          </w:tcPr>
          <w:p w:rsidR="00016DD2" w:rsidRPr="008145A1" w:rsidRDefault="00016DD2" w:rsidP="009B6594">
            <w:pPr>
              <w:spacing w:after="0" w:line="276" w:lineRule="auto"/>
              <w:jc w:val="center"/>
            </w:pPr>
            <w:r w:rsidRPr="008145A1">
              <w:rPr>
                <w:b/>
                <w:bCs/>
              </w:rPr>
              <w:t>1860</w:t>
            </w:r>
          </w:p>
        </w:tc>
        <w:tc>
          <w:tcPr>
            <w:tcW w:w="1300" w:type="dxa"/>
            <w:tcBorders>
              <w:top w:val="nil"/>
              <w:left w:val="single" w:sz="4" w:space="0" w:color="auto"/>
              <w:bottom w:val="single" w:sz="8" w:space="0" w:color="000000"/>
              <w:right w:val="single" w:sz="4" w:space="0" w:color="auto"/>
            </w:tcBorders>
            <w:shd w:val="clear" w:color="auto" w:fill="FFFFFF"/>
            <w:tcMar>
              <w:top w:w="15" w:type="dxa"/>
              <w:left w:w="15" w:type="dxa"/>
              <w:bottom w:w="0" w:type="dxa"/>
              <w:right w:w="15" w:type="dxa"/>
            </w:tcMar>
            <w:vAlign w:val="center"/>
            <w:hideMark/>
          </w:tcPr>
          <w:p w:rsidR="00016DD2" w:rsidRPr="008145A1" w:rsidRDefault="00016DD2" w:rsidP="009B6594">
            <w:pPr>
              <w:spacing w:after="0" w:line="276" w:lineRule="auto"/>
              <w:jc w:val="center"/>
            </w:pPr>
            <w:r w:rsidRPr="008145A1">
              <w:rPr>
                <w:b/>
                <w:bCs/>
              </w:rPr>
              <w:t>1959</w:t>
            </w:r>
          </w:p>
        </w:tc>
        <w:tc>
          <w:tcPr>
            <w:tcW w:w="1300" w:type="dxa"/>
            <w:tcBorders>
              <w:top w:val="nil"/>
              <w:left w:val="single" w:sz="4" w:space="0" w:color="auto"/>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16DD2" w:rsidRPr="008145A1" w:rsidRDefault="00016DD2" w:rsidP="009B6594">
            <w:pPr>
              <w:spacing w:after="0" w:line="276" w:lineRule="auto"/>
              <w:jc w:val="center"/>
            </w:pPr>
            <w:r w:rsidRPr="008145A1">
              <w:rPr>
                <w:b/>
                <w:bCs/>
              </w:rPr>
              <w:t>1999</w:t>
            </w:r>
          </w:p>
        </w:tc>
      </w:tr>
      <w:tr w:rsidR="00CE2B4C" w:rsidRPr="008145A1" w:rsidTr="00CE2B4C">
        <w:trPr>
          <w:trHeight w:val="988"/>
        </w:trPr>
        <w:tc>
          <w:tcPr>
            <w:tcW w:w="1426" w:type="dxa"/>
            <w:tcBorders>
              <w:top w:val="single" w:sz="8" w:space="0" w:color="000000"/>
              <w:left w:val="single" w:sz="8" w:space="0" w:color="000000"/>
              <w:bottom w:val="single" w:sz="8" w:space="0" w:color="FFFFFF"/>
              <w:right w:val="single" w:sz="8" w:space="0" w:color="000000"/>
            </w:tcBorders>
            <w:shd w:val="clear" w:color="auto" w:fill="FFFFFF"/>
            <w:tcMar>
              <w:top w:w="15" w:type="dxa"/>
              <w:left w:w="15" w:type="dxa"/>
              <w:bottom w:w="0" w:type="dxa"/>
              <w:right w:w="15" w:type="dxa"/>
            </w:tcMar>
            <w:vAlign w:val="center"/>
            <w:hideMark/>
          </w:tcPr>
          <w:p w:rsidR="00016DD2" w:rsidRPr="008145A1" w:rsidRDefault="00016DD2" w:rsidP="009B6594">
            <w:pPr>
              <w:spacing w:after="0" w:line="360" w:lineRule="auto"/>
              <w:jc w:val="center"/>
            </w:pPr>
            <w:r w:rsidRPr="008145A1">
              <w:t>Manure (fresh matter)</w:t>
            </w:r>
          </w:p>
        </w:tc>
        <w:tc>
          <w:tcPr>
            <w:tcW w:w="1299" w:type="dxa"/>
            <w:tcBorders>
              <w:top w:val="single" w:sz="8" w:space="0" w:color="000000"/>
              <w:left w:val="single" w:sz="8" w:space="0" w:color="000000"/>
              <w:bottom w:val="single" w:sz="8" w:space="0" w:color="FFFFFF"/>
              <w:right w:val="single" w:sz="4" w:space="0" w:color="auto"/>
            </w:tcBorders>
            <w:shd w:val="clear" w:color="auto" w:fill="FFFFFF"/>
            <w:tcMar>
              <w:top w:w="15" w:type="dxa"/>
              <w:left w:w="15" w:type="dxa"/>
              <w:bottom w:w="0" w:type="dxa"/>
              <w:right w:w="15" w:type="dxa"/>
            </w:tcMar>
            <w:vAlign w:val="center"/>
            <w:hideMark/>
          </w:tcPr>
          <w:p w:rsidR="00016DD2" w:rsidRPr="008145A1" w:rsidRDefault="00CE2B4C" w:rsidP="009B6594">
            <w:pPr>
              <w:spacing w:after="0" w:line="276" w:lineRule="auto"/>
              <w:jc w:val="center"/>
            </w:pPr>
            <w:r>
              <w:t>920,947</w:t>
            </w:r>
          </w:p>
        </w:tc>
        <w:tc>
          <w:tcPr>
            <w:tcW w:w="1300" w:type="dxa"/>
            <w:tcBorders>
              <w:top w:val="single" w:sz="8" w:space="0" w:color="000000"/>
              <w:left w:val="single" w:sz="4" w:space="0" w:color="auto"/>
              <w:bottom w:val="single" w:sz="8" w:space="0" w:color="FFFFFF"/>
              <w:right w:val="single" w:sz="4" w:space="0" w:color="auto"/>
            </w:tcBorders>
            <w:shd w:val="clear" w:color="auto" w:fill="FFFFFF"/>
            <w:tcMar>
              <w:top w:w="15" w:type="dxa"/>
              <w:left w:w="15" w:type="dxa"/>
              <w:bottom w:w="0" w:type="dxa"/>
              <w:right w:w="15" w:type="dxa"/>
            </w:tcMar>
            <w:vAlign w:val="center"/>
            <w:hideMark/>
          </w:tcPr>
          <w:p w:rsidR="00016DD2" w:rsidRPr="008145A1" w:rsidRDefault="00CE2B4C" w:rsidP="009B6594">
            <w:pPr>
              <w:spacing w:after="0" w:line="276" w:lineRule="auto"/>
              <w:jc w:val="center"/>
            </w:pPr>
            <w:r>
              <w:t>1,540,252</w:t>
            </w:r>
          </w:p>
        </w:tc>
        <w:tc>
          <w:tcPr>
            <w:tcW w:w="1300" w:type="dxa"/>
            <w:tcBorders>
              <w:top w:val="single" w:sz="8" w:space="0" w:color="000000"/>
              <w:left w:val="single" w:sz="4" w:space="0" w:color="auto"/>
              <w:bottom w:val="single" w:sz="8" w:space="0" w:color="FFFFFF"/>
              <w:right w:val="single" w:sz="8" w:space="0" w:color="000000"/>
            </w:tcBorders>
            <w:shd w:val="clear" w:color="auto" w:fill="FFFFFF"/>
            <w:tcMar>
              <w:top w:w="15" w:type="dxa"/>
              <w:left w:w="15" w:type="dxa"/>
              <w:bottom w:w="0" w:type="dxa"/>
              <w:right w:w="15" w:type="dxa"/>
            </w:tcMar>
            <w:vAlign w:val="center"/>
            <w:hideMark/>
          </w:tcPr>
          <w:p w:rsidR="00016DD2" w:rsidRPr="008145A1" w:rsidRDefault="00CE2B4C" w:rsidP="009B6594">
            <w:pPr>
              <w:spacing w:after="0" w:line="276" w:lineRule="auto"/>
              <w:jc w:val="center"/>
            </w:pPr>
            <w:r>
              <w:t>35,562,160</w:t>
            </w:r>
          </w:p>
        </w:tc>
        <w:tc>
          <w:tcPr>
            <w:tcW w:w="1300" w:type="dxa"/>
            <w:tcBorders>
              <w:top w:val="single" w:sz="8" w:space="0" w:color="000000"/>
              <w:left w:val="single" w:sz="8" w:space="0" w:color="000000"/>
              <w:bottom w:val="single" w:sz="8" w:space="0" w:color="FFFFFF"/>
              <w:right w:val="single" w:sz="4" w:space="0" w:color="auto"/>
            </w:tcBorders>
            <w:shd w:val="clear" w:color="auto" w:fill="FFFFFF"/>
            <w:tcMar>
              <w:top w:w="15" w:type="dxa"/>
              <w:left w:w="15" w:type="dxa"/>
              <w:bottom w:w="0" w:type="dxa"/>
              <w:right w:w="15" w:type="dxa"/>
            </w:tcMar>
            <w:vAlign w:val="center"/>
            <w:hideMark/>
          </w:tcPr>
          <w:p w:rsidR="00016DD2" w:rsidRPr="008145A1" w:rsidRDefault="00CE2B4C" w:rsidP="009B6594">
            <w:pPr>
              <w:spacing w:after="0" w:line="276" w:lineRule="auto"/>
              <w:jc w:val="center"/>
            </w:pPr>
            <w:r>
              <w:t>165</w:t>
            </w:r>
          </w:p>
        </w:tc>
        <w:tc>
          <w:tcPr>
            <w:tcW w:w="1299" w:type="dxa"/>
            <w:tcBorders>
              <w:top w:val="single" w:sz="8" w:space="0" w:color="000000"/>
              <w:left w:val="single" w:sz="4" w:space="0" w:color="auto"/>
              <w:bottom w:val="single" w:sz="8" w:space="0" w:color="FFFFFF"/>
              <w:right w:val="single" w:sz="4" w:space="0" w:color="auto"/>
            </w:tcBorders>
            <w:shd w:val="clear" w:color="auto" w:fill="FFFFFF"/>
            <w:tcMar>
              <w:top w:w="15" w:type="dxa"/>
              <w:left w:w="15" w:type="dxa"/>
              <w:bottom w:w="0" w:type="dxa"/>
              <w:right w:w="15" w:type="dxa"/>
            </w:tcMar>
            <w:vAlign w:val="center"/>
            <w:hideMark/>
          </w:tcPr>
          <w:p w:rsidR="00016DD2" w:rsidRPr="008145A1" w:rsidRDefault="00CE2B4C" w:rsidP="009B6594">
            <w:pPr>
              <w:spacing w:after="0" w:line="276" w:lineRule="auto"/>
              <w:jc w:val="center"/>
            </w:pPr>
            <w:r>
              <w:t>269</w:t>
            </w:r>
          </w:p>
        </w:tc>
        <w:tc>
          <w:tcPr>
            <w:tcW w:w="1300" w:type="dxa"/>
            <w:tcBorders>
              <w:top w:val="single" w:sz="8" w:space="0" w:color="000000"/>
              <w:left w:val="single" w:sz="4" w:space="0" w:color="auto"/>
              <w:bottom w:val="single" w:sz="8" w:space="0" w:color="FFFFFF"/>
              <w:right w:val="single" w:sz="8" w:space="0" w:color="000000"/>
            </w:tcBorders>
            <w:shd w:val="clear" w:color="auto" w:fill="FFFFFF"/>
            <w:tcMar>
              <w:top w:w="15" w:type="dxa"/>
              <w:left w:w="15" w:type="dxa"/>
              <w:bottom w:w="0" w:type="dxa"/>
              <w:right w:w="15" w:type="dxa"/>
            </w:tcMar>
            <w:vAlign w:val="center"/>
            <w:hideMark/>
          </w:tcPr>
          <w:p w:rsidR="00016DD2" w:rsidRPr="008145A1" w:rsidRDefault="00CE2B4C" w:rsidP="009B6594">
            <w:pPr>
              <w:spacing w:after="0" w:line="276" w:lineRule="auto"/>
              <w:jc w:val="center"/>
            </w:pPr>
            <w:r>
              <w:t>791</w:t>
            </w:r>
          </w:p>
        </w:tc>
        <w:tc>
          <w:tcPr>
            <w:tcW w:w="1300" w:type="dxa"/>
            <w:tcBorders>
              <w:top w:val="single" w:sz="8" w:space="0" w:color="000000"/>
              <w:left w:val="single" w:sz="8" w:space="0" w:color="000000"/>
              <w:bottom w:val="single" w:sz="8" w:space="0" w:color="FFFFFF"/>
              <w:right w:val="single" w:sz="4" w:space="0" w:color="auto"/>
            </w:tcBorders>
            <w:shd w:val="clear" w:color="auto" w:fill="FFFFFF"/>
            <w:tcMar>
              <w:top w:w="15" w:type="dxa"/>
              <w:left w:w="15" w:type="dxa"/>
              <w:bottom w:w="0" w:type="dxa"/>
              <w:right w:w="15" w:type="dxa"/>
            </w:tcMar>
            <w:vAlign w:val="center"/>
            <w:hideMark/>
          </w:tcPr>
          <w:p w:rsidR="00016DD2" w:rsidRPr="008145A1" w:rsidRDefault="00CE2B4C" w:rsidP="009B6594">
            <w:pPr>
              <w:spacing w:after="0" w:line="276" w:lineRule="auto"/>
              <w:jc w:val="center"/>
            </w:pPr>
            <w:r>
              <w:t>5,580</w:t>
            </w:r>
          </w:p>
        </w:tc>
        <w:tc>
          <w:tcPr>
            <w:tcW w:w="1300" w:type="dxa"/>
            <w:tcBorders>
              <w:top w:val="single" w:sz="8" w:space="0" w:color="000000"/>
              <w:left w:val="single" w:sz="4" w:space="0" w:color="auto"/>
              <w:bottom w:val="single" w:sz="8" w:space="0" w:color="FFFFFF"/>
              <w:right w:val="single" w:sz="4" w:space="0" w:color="auto"/>
            </w:tcBorders>
            <w:shd w:val="clear" w:color="auto" w:fill="FFFFFF"/>
            <w:tcMar>
              <w:top w:w="15" w:type="dxa"/>
              <w:left w:w="15" w:type="dxa"/>
              <w:bottom w:w="0" w:type="dxa"/>
              <w:right w:w="15" w:type="dxa"/>
            </w:tcMar>
            <w:vAlign w:val="center"/>
            <w:hideMark/>
          </w:tcPr>
          <w:p w:rsidR="00016DD2" w:rsidRPr="008145A1" w:rsidRDefault="00CE2B4C" w:rsidP="009B6594">
            <w:pPr>
              <w:spacing w:after="0" w:line="276" w:lineRule="auto"/>
              <w:jc w:val="center"/>
            </w:pPr>
            <w:r>
              <w:t>5,719</w:t>
            </w:r>
          </w:p>
        </w:tc>
        <w:tc>
          <w:tcPr>
            <w:tcW w:w="1300" w:type="dxa"/>
            <w:tcBorders>
              <w:top w:val="single" w:sz="8" w:space="0" w:color="000000"/>
              <w:left w:val="single" w:sz="4" w:space="0" w:color="auto"/>
              <w:bottom w:val="single" w:sz="8" w:space="0" w:color="FFFFFF"/>
              <w:right w:val="single" w:sz="8" w:space="0" w:color="000000"/>
            </w:tcBorders>
            <w:shd w:val="clear" w:color="auto" w:fill="FFFFFF"/>
            <w:tcMar>
              <w:top w:w="15" w:type="dxa"/>
              <w:left w:w="15" w:type="dxa"/>
              <w:bottom w:w="0" w:type="dxa"/>
              <w:right w:w="15" w:type="dxa"/>
            </w:tcMar>
            <w:vAlign w:val="center"/>
            <w:hideMark/>
          </w:tcPr>
          <w:p w:rsidR="00016DD2" w:rsidRPr="008145A1" w:rsidRDefault="00CE2B4C" w:rsidP="009B6594">
            <w:pPr>
              <w:spacing w:after="0" w:line="276" w:lineRule="auto"/>
              <w:jc w:val="center"/>
            </w:pPr>
            <w:r>
              <w:t>44,979</w:t>
            </w:r>
          </w:p>
        </w:tc>
      </w:tr>
      <w:tr w:rsidR="00CE2B4C" w:rsidRPr="008145A1" w:rsidTr="00CE2B4C">
        <w:trPr>
          <w:trHeight w:val="988"/>
        </w:trPr>
        <w:tc>
          <w:tcPr>
            <w:tcW w:w="1426" w:type="dxa"/>
            <w:tcBorders>
              <w:top w:val="single" w:sz="8" w:space="0" w:color="FFFFFF"/>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16DD2" w:rsidRPr="008145A1" w:rsidRDefault="001C4260" w:rsidP="009B6594">
            <w:pPr>
              <w:spacing w:after="0" w:line="360" w:lineRule="auto"/>
              <w:jc w:val="center"/>
            </w:pPr>
            <w:r>
              <w:t>Synthetic fertilis</w:t>
            </w:r>
            <w:r w:rsidR="00016DD2" w:rsidRPr="008145A1">
              <w:t>ers</w:t>
            </w:r>
          </w:p>
        </w:tc>
        <w:tc>
          <w:tcPr>
            <w:tcW w:w="1299" w:type="dxa"/>
            <w:tcBorders>
              <w:top w:val="single" w:sz="8" w:space="0" w:color="FFFFFF"/>
              <w:left w:val="single" w:sz="8" w:space="0" w:color="000000"/>
              <w:bottom w:val="single" w:sz="8" w:space="0" w:color="000000"/>
              <w:right w:val="single" w:sz="4" w:space="0" w:color="auto"/>
            </w:tcBorders>
            <w:shd w:val="clear" w:color="auto" w:fill="FFFFFF"/>
            <w:tcMar>
              <w:top w:w="15" w:type="dxa"/>
              <w:left w:w="15" w:type="dxa"/>
              <w:bottom w:w="0" w:type="dxa"/>
              <w:right w:w="15" w:type="dxa"/>
            </w:tcMar>
            <w:vAlign w:val="center"/>
            <w:hideMark/>
          </w:tcPr>
          <w:p w:rsidR="00016DD2" w:rsidRPr="008145A1" w:rsidRDefault="00016DD2" w:rsidP="009B6594">
            <w:pPr>
              <w:spacing w:after="0" w:line="276" w:lineRule="auto"/>
              <w:jc w:val="center"/>
            </w:pPr>
          </w:p>
        </w:tc>
        <w:tc>
          <w:tcPr>
            <w:tcW w:w="1300" w:type="dxa"/>
            <w:tcBorders>
              <w:top w:val="single" w:sz="8" w:space="0" w:color="FFFFFF"/>
              <w:left w:val="single" w:sz="4" w:space="0" w:color="auto"/>
              <w:bottom w:val="single" w:sz="8" w:space="0" w:color="000000"/>
              <w:right w:val="single" w:sz="4" w:space="0" w:color="auto"/>
            </w:tcBorders>
            <w:shd w:val="clear" w:color="auto" w:fill="FFFFFF"/>
            <w:tcMar>
              <w:top w:w="15" w:type="dxa"/>
              <w:left w:w="15" w:type="dxa"/>
              <w:bottom w:w="0" w:type="dxa"/>
              <w:right w:w="15" w:type="dxa"/>
            </w:tcMar>
            <w:vAlign w:val="center"/>
            <w:hideMark/>
          </w:tcPr>
          <w:p w:rsidR="00016DD2" w:rsidRPr="008145A1" w:rsidRDefault="00CE2B4C" w:rsidP="009B6594">
            <w:pPr>
              <w:spacing w:after="0" w:line="276" w:lineRule="auto"/>
              <w:jc w:val="center"/>
            </w:pPr>
            <w:r>
              <w:t>155,590</w:t>
            </w:r>
          </w:p>
        </w:tc>
        <w:tc>
          <w:tcPr>
            <w:tcW w:w="1300" w:type="dxa"/>
            <w:tcBorders>
              <w:top w:val="single" w:sz="8" w:space="0" w:color="FFFFFF"/>
              <w:left w:val="single" w:sz="4" w:space="0" w:color="auto"/>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16DD2" w:rsidRPr="008145A1" w:rsidRDefault="00CE2B4C" w:rsidP="009B6594">
            <w:pPr>
              <w:spacing w:after="0" w:line="276" w:lineRule="auto"/>
              <w:jc w:val="center"/>
            </w:pPr>
            <w:r>
              <w:t>4,039,000</w:t>
            </w:r>
          </w:p>
        </w:tc>
        <w:tc>
          <w:tcPr>
            <w:tcW w:w="1300" w:type="dxa"/>
            <w:tcBorders>
              <w:top w:val="single" w:sz="8" w:space="0" w:color="FFFFFF"/>
              <w:left w:val="single" w:sz="8" w:space="0" w:color="000000"/>
              <w:bottom w:val="single" w:sz="8" w:space="0" w:color="000000"/>
              <w:right w:val="single" w:sz="4" w:space="0" w:color="auto"/>
            </w:tcBorders>
            <w:shd w:val="clear" w:color="auto" w:fill="FFFFFF"/>
            <w:tcMar>
              <w:top w:w="15" w:type="dxa"/>
              <w:left w:w="15" w:type="dxa"/>
              <w:bottom w:w="0" w:type="dxa"/>
              <w:right w:w="15" w:type="dxa"/>
            </w:tcMar>
            <w:vAlign w:val="center"/>
            <w:hideMark/>
          </w:tcPr>
          <w:p w:rsidR="00016DD2" w:rsidRPr="008145A1" w:rsidRDefault="00016DD2" w:rsidP="009B6594">
            <w:pPr>
              <w:spacing w:after="0" w:line="276" w:lineRule="auto"/>
              <w:jc w:val="center"/>
            </w:pPr>
          </w:p>
        </w:tc>
        <w:tc>
          <w:tcPr>
            <w:tcW w:w="1299" w:type="dxa"/>
            <w:tcBorders>
              <w:top w:val="single" w:sz="8" w:space="0" w:color="FFFFFF"/>
              <w:left w:val="single" w:sz="4" w:space="0" w:color="auto"/>
              <w:bottom w:val="single" w:sz="8" w:space="0" w:color="000000"/>
              <w:right w:val="single" w:sz="4" w:space="0" w:color="auto"/>
            </w:tcBorders>
            <w:shd w:val="clear" w:color="auto" w:fill="FFFFFF"/>
            <w:tcMar>
              <w:top w:w="15" w:type="dxa"/>
              <w:left w:w="15" w:type="dxa"/>
              <w:bottom w:w="0" w:type="dxa"/>
              <w:right w:w="15" w:type="dxa"/>
            </w:tcMar>
            <w:vAlign w:val="center"/>
            <w:hideMark/>
          </w:tcPr>
          <w:p w:rsidR="00016DD2" w:rsidRPr="008145A1" w:rsidRDefault="00CE2B4C" w:rsidP="009B6594">
            <w:pPr>
              <w:spacing w:after="0" w:line="276" w:lineRule="auto"/>
              <w:jc w:val="center"/>
            </w:pPr>
            <w:r>
              <w:t>389</w:t>
            </w:r>
          </w:p>
        </w:tc>
        <w:tc>
          <w:tcPr>
            <w:tcW w:w="1300" w:type="dxa"/>
            <w:tcBorders>
              <w:top w:val="single" w:sz="8" w:space="0" w:color="FFFFFF"/>
              <w:left w:val="single" w:sz="4" w:space="0" w:color="auto"/>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16DD2" w:rsidRPr="008145A1" w:rsidRDefault="00CE2B4C" w:rsidP="009B6594">
            <w:pPr>
              <w:spacing w:after="0" w:line="276" w:lineRule="auto"/>
              <w:jc w:val="center"/>
            </w:pPr>
            <w:r>
              <w:t>696</w:t>
            </w:r>
          </w:p>
        </w:tc>
        <w:tc>
          <w:tcPr>
            <w:tcW w:w="1300" w:type="dxa"/>
            <w:tcBorders>
              <w:top w:val="single" w:sz="8" w:space="0" w:color="FFFFFF"/>
              <w:left w:val="single" w:sz="8" w:space="0" w:color="000000"/>
              <w:bottom w:val="single" w:sz="8" w:space="0" w:color="000000"/>
              <w:right w:val="single" w:sz="4" w:space="0" w:color="auto"/>
            </w:tcBorders>
            <w:shd w:val="clear" w:color="auto" w:fill="FFFFFF"/>
            <w:tcMar>
              <w:top w:w="15" w:type="dxa"/>
              <w:left w:w="15" w:type="dxa"/>
              <w:bottom w:w="0" w:type="dxa"/>
              <w:right w:w="15" w:type="dxa"/>
            </w:tcMar>
            <w:vAlign w:val="center"/>
            <w:hideMark/>
          </w:tcPr>
          <w:p w:rsidR="00016DD2" w:rsidRPr="008145A1" w:rsidRDefault="00016DD2" w:rsidP="009B6594">
            <w:pPr>
              <w:spacing w:after="0" w:line="276" w:lineRule="auto"/>
              <w:jc w:val="center"/>
            </w:pPr>
          </w:p>
        </w:tc>
        <w:tc>
          <w:tcPr>
            <w:tcW w:w="1300" w:type="dxa"/>
            <w:tcBorders>
              <w:top w:val="single" w:sz="8" w:space="0" w:color="FFFFFF"/>
              <w:left w:val="single" w:sz="4" w:space="0" w:color="auto"/>
              <w:bottom w:val="single" w:sz="8" w:space="0" w:color="000000"/>
              <w:right w:val="single" w:sz="4" w:space="0" w:color="auto"/>
            </w:tcBorders>
            <w:shd w:val="clear" w:color="auto" w:fill="FFFFFF"/>
            <w:tcMar>
              <w:top w:w="15" w:type="dxa"/>
              <w:left w:w="15" w:type="dxa"/>
              <w:bottom w:w="0" w:type="dxa"/>
              <w:right w:w="15" w:type="dxa"/>
            </w:tcMar>
            <w:vAlign w:val="center"/>
            <w:hideMark/>
          </w:tcPr>
          <w:p w:rsidR="00016DD2" w:rsidRPr="008145A1" w:rsidRDefault="00CE2B4C" w:rsidP="009B6594">
            <w:pPr>
              <w:spacing w:after="0" w:line="276" w:lineRule="auto"/>
              <w:jc w:val="center"/>
            </w:pPr>
            <w:r>
              <w:t>400</w:t>
            </w:r>
          </w:p>
        </w:tc>
        <w:tc>
          <w:tcPr>
            <w:tcW w:w="1300" w:type="dxa"/>
            <w:tcBorders>
              <w:top w:val="single" w:sz="8" w:space="0" w:color="FFFFFF"/>
              <w:left w:val="single" w:sz="4" w:space="0" w:color="auto"/>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16DD2" w:rsidRPr="008145A1" w:rsidRDefault="00CE2B4C" w:rsidP="009B6594">
            <w:pPr>
              <w:spacing w:after="0" w:line="276" w:lineRule="auto"/>
              <w:jc w:val="center"/>
            </w:pPr>
            <w:r>
              <w:t>5,805</w:t>
            </w:r>
          </w:p>
        </w:tc>
      </w:tr>
    </w:tbl>
    <w:p w:rsidR="00254F54" w:rsidRDefault="00254F54" w:rsidP="00657EBA">
      <w:pPr>
        <w:spacing w:line="360" w:lineRule="auto"/>
      </w:pPr>
    </w:p>
    <w:p w:rsidR="00254F54" w:rsidRDefault="00254F54" w:rsidP="00657EBA">
      <w:pPr>
        <w:spacing w:line="360" w:lineRule="auto"/>
      </w:pPr>
    </w:p>
    <w:p w:rsidR="005A6825" w:rsidRDefault="005A6825" w:rsidP="00657EBA">
      <w:pPr>
        <w:spacing w:line="360" w:lineRule="auto"/>
      </w:pPr>
    </w:p>
    <w:p w:rsidR="005A6825" w:rsidRDefault="005A6825" w:rsidP="00657EBA">
      <w:pPr>
        <w:spacing w:line="360" w:lineRule="auto"/>
      </w:pPr>
    </w:p>
    <w:p w:rsidR="005A6825" w:rsidRDefault="005A6825" w:rsidP="00657EBA">
      <w:pPr>
        <w:spacing w:line="360" w:lineRule="auto"/>
      </w:pPr>
    </w:p>
    <w:p w:rsidR="005A6825" w:rsidRDefault="005A6825" w:rsidP="00657EBA">
      <w:pPr>
        <w:spacing w:line="360" w:lineRule="auto"/>
      </w:pPr>
    </w:p>
    <w:p w:rsidR="005A6825" w:rsidRDefault="005A6825" w:rsidP="00657EBA">
      <w:pPr>
        <w:spacing w:line="360" w:lineRule="auto"/>
      </w:pPr>
    </w:p>
    <w:p w:rsidR="005A6825" w:rsidRDefault="005A6825" w:rsidP="00657EBA">
      <w:pPr>
        <w:spacing w:line="360" w:lineRule="auto"/>
      </w:pPr>
    </w:p>
    <w:p w:rsidR="00016DD2" w:rsidRDefault="00016DD2" w:rsidP="00657EBA">
      <w:pPr>
        <w:spacing w:line="360" w:lineRule="auto"/>
        <w:sectPr w:rsidR="00016DD2" w:rsidSect="00016DD2">
          <w:pgSz w:w="16838" w:h="11906" w:orient="landscape"/>
          <w:pgMar w:top="1701" w:right="1418" w:bottom="1701" w:left="1418" w:header="709" w:footer="709" w:gutter="0"/>
          <w:cols w:space="708"/>
          <w:docGrid w:linePitch="360"/>
        </w:sectPr>
      </w:pPr>
    </w:p>
    <w:p w:rsidR="00223159" w:rsidRDefault="003E2B84" w:rsidP="00657EBA">
      <w:pPr>
        <w:spacing w:line="360" w:lineRule="auto"/>
      </w:pPr>
      <w:r>
        <w:lastRenderedPageBreak/>
        <w:t xml:space="preserve">Finally, in 1999 we had to estimate the flux that we </w:t>
      </w:r>
      <w:r w:rsidR="00AD0DE4">
        <w:t>considered</w:t>
      </w:r>
      <w:r>
        <w:t xml:space="preserve"> waste.</w:t>
      </w:r>
      <w:r w:rsidR="001666FB">
        <w:t xml:space="preserve"> In our case, it includes only the </w:t>
      </w:r>
      <w:r w:rsidR="001C507A">
        <w:t xml:space="preserve">burned biomass of pruning. The surplus of straw available after satisfying </w:t>
      </w:r>
      <w:r w:rsidR="002B25F5">
        <w:t>its</w:t>
      </w:r>
      <w:r w:rsidR="001C507A">
        <w:t xml:space="preserve"> possible uses inside the agroecosystem (livestock</w:t>
      </w:r>
      <w:r w:rsidR="00AD0DE4">
        <w:t xml:space="preserve"> feeding and bedding</w:t>
      </w:r>
      <w:r w:rsidR="001C507A">
        <w:t>), has be</w:t>
      </w:r>
      <w:r w:rsidR="002B25F5">
        <w:t xml:space="preserve">en considered FP. </w:t>
      </w:r>
      <w:r w:rsidR="00D82F70">
        <w:t>In 1999 the surplus of straw was 43% of the FP</w:t>
      </w:r>
      <w:r w:rsidR="005A6825">
        <w:t>. I</w:t>
      </w:r>
      <w:r w:rsidR="00D82F70">
        <w:t>ncluding this by-product</w:t>
      </w:r>
      <w:r w:rsidR="002B25F5">
        <w:t xml:space="preserve"> as waste would have increased </w:t>
      </w:r>
      <w:r w:rsidR="00D82F70">
        <w:t xml:space="preserve">the volume of this flow more </w:t>
      </w:r>
      <w:r w:rsidR="002B25F5">
        <w:t>than twelve times</w:t>
      </w:r>
      <w:r w:rsidR="00AC4202">
        <w:t xml:space="preserve"> and the FEROI would have fall to 0.28.</w:t>
      </w:r>
    </w:p>
    <w:p w:rsidR="00AC4202" w:rsidRDefault="00AC4202" w:rsidP="00657EBA">
      <w:pPr>
        <w:spacing w:line="360" w:lineRule="auto"/>
      </w:pPr>
    </w:p>
    <w:p w:rsidR="00016DD2" w:rsidRPr="000F2F95" w:rsidRDefault="00016DD2" w:rsidP="00657EBA">
      <w:pPr>
        <w:spacing w:line="360" w:lineRule="auto"/>
      </w:pPr>
    </w:p>
    <w:p w:rsidR="00FE429E" w:rsidRPr="00AC4202" w:rsidRDefault="00D82F70" w:rsidP="00657EBA">
      <w:pPr>
        <w:spacing w:line="360" w:lineRule="auto"/>
        <w:rPr>
          <w:lang w:val="es-ES"/>
        </w:rPr>
      </w:pPr>
      <w:r w:rsidRPr="00AC4202">
        <w:rPr>
          <w:lang w:val="es-ES"/>
        </w:rPr>
        <w:t>References</w:t>
      </w:r>
    </w:p>
    <w:p w:rsidR="00542C8D" w:rsidRPr="00542C8D" w:rsidRDefault="00990BCE" w:rsidP="00542C8D">
      <w:pPr>
        <w:widowControl w:val="0"/>
        <w:autoSpaceDE w:val="0"/>
        <w:autoSpaceDN w:val="0"/>
        <w:adjustRightInd w:val="0"/>
        <w:spacing w:line="360" w:lineRule="auto"/>
        <w:ind w:left="480" w:hanging="480"/>
        <w:rPr>
          <w:rFonts w:cs="Times New Roman"/>
          <w:noProof/>
          <w:szCs w:val="24"/>
        </w:rPr>
      </w:pPr>
      <w:r w:rsidRPr="00AC4202">
        <w:rPr>
          <w:lang w:val="es-ES"/>
        </w:rPr>
        <w:t xml:space="preserve"> </w:t>
      </w:r>
      <w:r w:rsidR="005B1FFA" w:rsidRPr="00AC4202">
        <w:rPr>
          <w:lang w:val="es-ES"/>
        </w:rPr>
        <w:t xml:space="preserve"> </w:t>
      </w:r>
      <w:r w:rsidR="00D805CD">
        <w:fldChar w:fldCharType="begin" w:fldLock="1"/>
      </w:r>
      <w:r w:rsidR="00D805CD" w:rsidRPr="00AC4202">
        <w:rPr>
          <w:lang w:val="es-ES"/>
        </w:rPr>
        <w:instrText xml:space="preserve">ADDIN Mendeley Bibliography CSL_BIBLIOGRAPHY </w:instrText>
      </w:r>
      <w:r w:rsidR="00D805CD">
        <w:fldChar w:fldCharType="separate"/>
      </w:r>
      <w:r w:rsidR="00542C8D" w:rsidRPr="00542C8D">
        <w:rPr>
          <w:rFonts w:cs="Times New Roman"/>
          <w:noProof/>
          <w:szCs w:val="24"/>
        </w:rPr>
        <w:t xml:space="preserve">Aguilera, E., Guzmán, G. I., Infante-amate, J., García-ruiz, R., Herrera, A., &amp; Villa, I. (2015). </w:t>
      </w:r>
      <w:r w:rsidR="00542C8D" w:rsidRPr="00542C8D">
        <w:rPr>
          <w:rFonts w:cs="Times New Roman"/>
          <w:i/>
          <w:iCs/>
          <w:noProof/>
          <w:szCs w:val="24"/>
        </w:rPr>
        <w:t>Embodied Energy in Agricultural Inputs. Incorporating a historical perspective</w:t>
      </w:r>
      <w:r w:rsidR="00542C8D" w:rsidRPr="00542C8D">
        <w:rPr>
          <w:rFonts w:cs="Times New Roman"/>
          <w:noProof/>
          <w:szCs w:val="24"/>
        </w:rPr>
        <w:t>. Retrieved from http://hdl.handle.net/10234/141278</w:t>
      </w:r>
    </w:p>
    <w:p w:rsidR="00542C8D" w:rsidRPr="00542C8D" w:rsidRDefault="00542C8D" w:rsidP="00542C8D">
      <w:pPr>
        <w:widowControl w:val="0"/>
        <w:autoSpaceDE w:val="0"/>
        <w:autoSpaceDN w:val="0"/>
        <w:adjustRightInd w:val="0"/>
        <w:spacing w:line="360" w:lineRule="auto"/>
        <w:ind w:left="480" w:hanging="480"/>
        <w:rPr>
          <w:rFonts w:cs="Times New Roman"/>
          <w:noProof/>
          <w:szCs w:val="24"/>
        </w:rPr>
      </w:pPr>
      <w:r w:rsidRPr="00542C8D">
        <w:rPr>
          <w:rFonts w:cs="Times New Roman"/>
          <w:noProof/>
          <w:szCs w:val="24"/>
        </w:rPr>
        <w:t xml:space="preserve">Amate, J. I., Aguilera, E., &amp; Molina, M. G. De. (2014). </w:t>
      </w:r>
      <w:r w:rsidRPr="00542C8D">
        <w:rPr>
          <w:rFonts w:cs="Times New Roman"/>
          <w:i/>
          <w:iCs/>
          <w:noProof/>
          <w:szCs w:val="24"/>
        </w:rPr>
        <w:t>Sociedad Española de Historia Agraria - Documentos de Trabajo</w:t>
      </w:r>
      <w:r w:rsidRPr="00542C8D">
        <w:rPr>
          <w:rFonts w:cs="Times New Roman"/>
          <w:noProof/>
          <w:szCs w:val="24"/>
        </w:rPr>
        <w:t xml:space="preserve"> (Vol. 3).</w:t>
      </w:r>
    </w:p>
    <w:p w:rsidR="00542C8D" w:rsidRPr="00C15C2B" w:rsidRDefault="00542C8D" w:rsidP="00542C8D">
      <w:pPr>
        <w:widowControl w:val="0"/>
        <w:autoSpaceDE w:val="0"/>
        <w:autoSpaceDN w:val="0"/>
        <w:adjustRightInd w:val="0"/>
        <w:spacing w:line="360" w:lineRule="auto"/>
        <w:ind w:left="480" w:hanging="480"/>
        <w:rPr>
          <w:rFonts w:cs="Times New Roman"/>
          <w:noProof/>
          <w:szCs w:val="24"/>
          <w:lang w:val="es-ES"/>
        </w:rPr>
      </w:pPr>
      <w:r w:rsidRPr="00542C8D">
        <w:rPr>
          <w:rFonts w:cs="Times New Roman"/>
          <w:noProof/>
          <w:szCs w:val="24"/>
        </w:rPr>
        <w:t xml:space="preserve">Diari Oficial de la Generalitat de Catalunya DOGC. </w:t>
      </w:r>
      <w:r w:rsidRPr="00C15C2B">
        <w:rPr>
          <w:rFonts w:cs="Times New Roman"/>
          <w:noProof/>
          <w:szCs w:val="24"/>
          <w:lang w:val="es-ES"/>
        </w:rPr>
        <w:t>DR 136/2009_Zones vulnerables en relació amb la contaminació de nitrats que procedeixen de fonts agràries i de gestió de</w:t>
      </w:r>
      <w:r w:rsidR="00C15C2B" w:rsidRPr="00C15C2B">
        <w:rPr>
          <w:rFonts w:cs="Times New Roman"/>
          <w:noProof/>
          <w:szCs w:val="24"/>
          <w:lang w:val="es-ES"/>
        </w:rPr>
        <w:t xml:space="preserve"> les dejeccions ramaderes</w:t>
      </w:r>
      <w:r w:rsidRPr="00C15C2B">
        <w:rPr>
          <w:rFonts w:cs="Times New Roman"/>
          <w:noProof/>
          <w:szCs w:val="24"/>
          <w:lang w:val="es-ES"/>
        </w:rPr>
        <w:t>.</w:t>
      </w:r>
    </w:p>
    <w:p w:rsidR="00542C8D" w:rsidRPr="00542C8D" w:rsidRDefault="00542C8D" w:rsidP="00542C8D">
      <w:pPr>
        <w:widowControl w:val="0"/>
        <w:autoSpaceDE w:val="0"/>
        <w:autoSpaceDN w:val="0"/>
        <w:adjustRightInd w:val="0"/>
        <w:spacing w:line="360" w:lineRule="auto"/>
        <w:ind w:left="480" w:hanging="480"/>
        <w:rPr>
          <w:rFonts w:cs="Times New Roman"/>
          <w:noProof/>
          <w:szCs w:val="24"/>
        </w:rPr>
      </w:pPr>
      <w:r w:rsidRPr="00542C8D">
        <w:rPr>
          <w:rFonts w:cs="Times New Roman"/>
          <w:noProof/>
          <w:szCs w:val="24"/>
        </w:rPr>
        <w:t xml:space="preserve">Guzmán, G. I., Aguilera, E., Soto, D., Cid, A., Infante, J., Garcia-Ruiz, R., … González de Molina, M. (2014). </w:t>
      </w:r>
      <w:r w:rsidRPr="00542C8D">
        <w:rPr>
          <w:rFonts w:cs="Times New Roman"/>
          <w:i/>
          <w:iCs/>
          <w:noProof/>
          <w:szCs w:val="24"/>
        </w:rPr>
        <w:t>Methodology and conversion factors to estimate the net primary productivity of historical and contemporary agroecosystems (I)</w:t>
      </w:r>
      <w:r w:rsidRPr="00542C8D">
        <w:rPr>
          <w:rFonts w:cs="Times New Roman"/>
          <w:noProof/>
          <w:szCs w:val="24"/>
        </w:rPr>
        <w:t xml:space="preserve"> (No. 1407). Retrieved from http://repositori.uji.es/xmlui/handle/10234/91670</w:t>
      </w:r>
    </w:p>
    <w:p w:rsidR="00542C8D" w:rsidRPr="00542C8D" w:rsidRDefault="00542C8D" w:rsidP="00542C8D">
      <w:pPr>
        <w:widowControl w:val="0"/>
        <w:autoSpaceDE w:val="0"/>
        <w:autoSpaceDN w:val="0"/>
        <w:adjustRightInd w:val="0"/>
        <w:spacing w:line="360" w:lineRule="auto"/>
        <w:ind w:left="480" w:hanging="480"/>
        <w:rPr>
          <w:rFonts w:cs="Times New Roman"/>
          <w:noProof/>
        </w:rPr>
      </w:pPr>
      <w:r w:rsidRPr="00542C8D">
        <w:rPr>
          <w:rFonts w:cs="Times New Roman"/>
          <w:noProof/>
          <w:szCs w:val="24"/>
        </w:rPr>
        <w:t xml:space="preserve">Marco, I., Padró, R., Cattaneo, C., Caravaca, J., &amp; Tello, E. (2017). From vineyards to feedlots: A fund-flow scanning of sociometabolic transitions in the Vallès County (Catalonia) (1860-1956-1999). </w:t>
      </w:r>
      <w:r w:rsidRPr="00542C8D">
        <w:rPr>
          <w:rFonts w:cs="Times New Roman"/>
          <w:i/>
          <w:iCs/>
          <w:noProof/>
          <w:szCs w:val="24"/>
        </w:rPr>
        <w:t>Global Environmental Change</w:t>
      </w:r>
      <w:r w:rsidRPr="00542C8D">
        <w:rPr>
          <w:rFonts w:cs="Times New Roman"/>
          <w:noProof/>
          <w:szCs w:val="24"/>
        </w:rPr>
        <w:t>.</w:t>
      </w:r>
    </w:p>
    <w:p w:rsidR="00A31ED8" w:rsidRPr="00657EBA" w:rsidRDefault="00D805CD" w:rsidP="00657EBA">
      <w:pPr>
        <w:spacing w:line="360" w:lineRule="auto"/>
      </w:pPr>
      <w:r>
        <w:fldChar w:fldCharType="end"/>
      </w:r>
    </w:p>
    <w:sectPr w:rsidR="00A31ED8" w:rsidRPr="00657EBA" w:rsidSect="00016DD2">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105" w:rsidRDefault="00B61105" w:rsidP="00256865">
      <w:pPr>
        <w:spacing w:after="0" w:line="240" w:lineRule="auto"/>
      </w:pPr>
      <w:r>
        <w:separator/>
      </w:r>
    </w:p>
  </w:endnote>
  <w:endnote w:type="continuationSeparator" w:id="0">
    <w:p w:rsidR="00B61105" w:rsidRDefault="00B61105" w:rsidP="00256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105" w:rsidRDefault="00B61105" w:rsidP="00256865">
      <w:pPr>
        <w:spacing w:after="0" w:line="240" w:lineRule="auto"/>
      </w:pPr>
      <w:r>
        <w:separator/>
      </w:r>
    </w:p>
  </w:footnote>
  <w:footnote w:type="continuationSeparator" w:id="0">
    <w:p w:rsidR="00B61105" w:rsidRDefault="00B61105" w:rsidP="002568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FB"/>
    <w:rsid w:val="00016DD2"/>
    <w:rsid w:val="00060E1B"/>
    <w:rsid w:val="00067300"/>
    <w:rsid w:val="000A208B"/>
    <w:rsid w:val="000F2F95"/>
    <w:rsid w:val="0014433D"/>
    <w:rsid w:val="001666FB"/>
    <w:rsid w:val="001C4260"/>
    <w:rsid w:val="001C507A"/>
    <w:rsid w:val="00223159"/>
    <w:rsid w:val="00225983"/>
    <w:rsid w:val="00232869"/>
    <w:rsid w:val="00254F54"/>
    <w:rsid w:val="00256865"/>
    <w:rsid w:val="00281D70"/>
    <w:rsid w:val="002B25F5"/>
    <w:rsid w:val="002C51E5"/>
    <w:rsid w:val="003B3136"/>
    <w:rsid w:val="003E2B84"/>
    <w:rsid w:val="0040550A"/>
    <w:rsid w:val="00421B2B"/>
    <w:rsid w:val="004A1370"/>
    <w:rsid w:val="004D6AC1"/>
    <w:rsid w:val="004E54D9"/>
    <w:rsid w:val="005207A6"/>
    <w:rsid w:val="00542C8D"/>
    <w:rsid w:val="005A6825"/>
    <w:rsid w:val="005B1FFA"/>
    <w:rsid w:val="00657EBA"/>
    <w:rsid w:val="00666CB2"/>
    <w:rsid w:val="00684985"/>
    <w:rsid w:val="00685BA9"/>
    <w:rsid w:val="006B2C00"/>
    <w:rsid w:val="006E64DA"/>
    <w:rsid w:val="00701866"/>
    <w:rsid w:val="007252C2"/>
    <w:rsid w:val="007D6307"/>
    <w:rsid w:val="007F6193"/>
    <w:rsid w:val="008251FB"/>
    <w:rsid w:val="00877B9D"/>
    <w:rsid w:val="008A307B"/>
    <w:rsid w:val="008C75ED"/>
    <w:rsid w:val="008F4D8B"/>
    <w:rsid w:val="00961916"/>
    <w:rsid w:val="009835AE"/>
    <w:rsid w:val="00990BCE"/>
    <w:rsid w:val="009913B3"/>
    <w:rsid w:val="009D474D"/>
    <w:rsid w:val="009F09BB"/>
    <w:rsid w:val="00A25E96"/>
    <w:rsid w:val="00A31ED8"/>
    <w:rsid w:val="00A337E6"/>
    <w:rsid w:val="00A40FB9"/>
    <w:rsid w:val="00A9146C"/>
    <w:rsid w:val="00AC4202"/>
    <w:rsid w:val="00AD0DE4"/>
    <w:rsid w:val="00B61105"/>
    <w:rsid w:val="00BE7425"/>
    <w:rsid w:val="00C15C2B"/>
    <w:rsid w:val="00CE2B4C"/>
    <w:rsid w:val="00D1375C"/>
    <w:rsid w:val="00D25853"/>
    <w:rsid w:val="00D43CFB"/>
    <w:rsid w:val="00D805CD"/>
    <w:rsid w:val="00D82F70"/>
    <w:rsid w:val="00DA45C8"/>
    <w:rsid w:val="00DF33C7"/>
    <w:rsid w:val="00E15437"/>
    <w:rsid w:val="00E21342"/>
    <w:rsid w:val="00E250DE"/>
    <w:rsid w:val="00E53985"/>
    <w:rsid w:val="00E77958"/>
    <w:rsid w:val="00E93343"/>
    <w:rsid w:val="00F4735F"/>
    <w:rsid w:val="00FB45FB"/>
    <w:rsid w:val="00FD1849"/>
    <w:rsid w:val="00FE4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D70870-57D7-47CA-B367-0CF0506EF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825"/>
    <w:pPr>
      <w:jc w:val="both"/>
    </w:pPr>
    <w:rPr>
      <w:rFonts w:ascii="Times New Roman" w:hAnsi="Times New Roman"/>
      <w:sz w:val="24"/>
    </w:rPr>
  </w:style>
  <w:style w:type="paragraph" w:styleId="Ttulo1">
    <w:name w:val="heading 1"/>
    <w:basedOn w:val="Normal"/>
    <w:next w:val="Normal"/>
    <w:link w:val="Ttulo1Car"/>
    <w:uiPriority w:val="9"/>
    <w:qFormat/>
    <w:rsid w:val="007F6193"/>
    <w:pPr>
      <w:keepNext/>
      <w:keepLines/>
      <w:spacing w:before="240" w:after="0"/>
      <w:outlineLvl w:val="0"/>
    </w:pPr>
    <w:rPr>
      <w:rFonts w:eastAsiaTheme="majorEastAsia" w:cstheme="majorBidi"/>
      <w:color w:val="000000" w:themeColor="text1"/>
      <w:sz w:val="32"/>
      <w:szCs w:val="32"/>
    </w:rPr>
  </w:style>
  <w:style w:type="paragraph" w:styleId="Ttulo2">
    <w:name w:val="heading 2"/>
    <w:basedOn w:val="Normal"/>
    <w:next w:val="Normal"/>
    <w:link w:val="Ttulo2Car"/>
    <w:uiPriority w:val="9"/>
    <w:semiHidden/>
    <w:unhideWhenUsed/>
    <w:qFormat/>
    <w:rsid w:val="007F6193"/>
    <w:pPr>
      <w:keepNext/>
      <w:keepLines/>
      <w:spacing w:before="40" w:after="0"/>
      <w:outlineLvl w:val="1"/>
    </w:pPr>
    <w:rPr>
      <w:rFonts w:eastAsiaTheme="majorEastAsia" w:cstheme="majorBidi"/>
      <w:color w:val="000000" w:themeColor="tex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F6193"/>
    <w:pPr>
      <w:spacing w:after="0" w:line="240" w:lineRule="auto"/>
      <w:jc w:val="both"/>
    </w:pPr>
    <w:rPr>
      <w:rFonts w:ascii="Times New Roman" w:hAnsi="Times New Roman"/>
    </w:rPr>
  </w:style>
  <w:style w:type="character" w:customStyle="1" w:styleId="Ttulo1Car">
    <w:name w:val="Título 1 Car"/>
    <w:basedOn w:val="Fuentedeprrafopredeter"/>
    <w:link w:val="Ttulo1"/>
    <w:uiPriority w:val="9"/>
    <w:rsid w:val="007F6193"/>
    <w:rPr>
      <w:rFonts w:ascii="Times New Roman" w:eastAsiaTheme="majorEastAsia" w:hAnsi="Times New Roman" w:cstheme="majorBidi"/>
      <w:color w:val="000000" w:themeColor="text1"/>
      <w:sz w:val="32"/>
      <w:szCs w:val="32"/>
    </w:rPr>
  </w:style>
  <w:style w:type="character" w:customStyle="1" w:styleId="Ttulo2Car">
    <w:name w:val="Título 2 Car"/>
    <w:basedOn w:val="Fuentedeprrafopredeter"/>
    <w:link w:val="Ttulo2"/>
    <w:uiPriority w:val="9"/>
    <w:semiHidden/>
    <w:rsid w:val="007F6193"/>
    <w:rPr>
      <w:rFonts w:ascii="Times New Roman" w:eastAsiaTheme="majorEastAsia" w:hAnsi="Times New Roman" w:cstheme="majorBidi"/>
      <w:color w:val="000000" w:themeColor="text1"/>
      <w:sz w:val="26"/>
      <w:szCs w:val="26"/>
    </w:rPr>
  </w:style>
  <w:style w:type="paragraph" w:styleId="Ttulo">
    <w:name w:val="Title"/>
    <w:basedOn w:val="Normal"/>
    <w:next w:val="Normal"/>
    <w:link w:val="TtuloCar"/>
    <w:uiPriority w:val="10"/>
    <w:qFormat/>
    <w:rsid w:val="007F6193"/>
    <w:pPr>
      <w:spacing w:after="0" w:line="240" w:lineRule="auto"/>
      <w:contextualSpacing/>
    </w:pPr>
    <w:rPr>
      <w:rFonts w:eastAsiaTheme="majorEastAsia" w:cstheme="majorBidi"/>
      <w:spacing w:val="-10"/>
      <w:kern w:val="28"/>
      <w:sz w:val="56"/>
      <w:szCs w:val="56"/>
    </w:rPr>
  </w:style>
  <w:style w:type="character" w:customStyle="1" w:styleId="TtuloCar">
    <w:name w:val="Título Car"/>
    <w:basedOn w:val="Fuentedeprrafopredeter"/>
    <w:link w:val="Ttulo"/>
    <w:uiPriority w:val="10"/>
    <w:rsid w:val="007F6193"/>
    <w:rPr>
      <w:rFonts w:ascii="Times New Roman" w:eastAsiaTheme="majorEastAsia" w:hAnsi="Times New Roman" w:cstheme="majorBidi"/>
      <w:spacing w:val="-10"/>
      <w:kern w:val="28"/>
      <w:sz w:val="56"/>
      <w:szCs w:val="56"/>
    </w:rPr>
  </w:style>
  <w:style w:type="paragraph" w:styleId="Subttulo">
    <w:name w:val="Subtitle"/>
    <w:basedOn w:val="Normal"/>
    <w:next w:val="Normal"/>
    <w:link w:val="SubttuloCar"/>
    <w:uiPriority w:val="11"/>
    <w:qFormat/>
    <w:rsid w:val="007F6193"/>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7F6193"/>
    <w:rPr>
      <w:rFonts w:ascii="Times New Roman" w:eastAsiaTheme="minorEastAsia" w:hAnsi="Times New Roman"/>
      <w:color w:val="5A5A5A" w:themeColor="text1" w:themeTint="A5"/>
      <w:spacing w:val="15"/>
    </w:rPr>
  </w:style>
  <w:style w:type="character" w:styleId="nfasissutil">
    <w:name w:val="Subtle Emphasis"/>
    <w:basedOn w:val="Fuentedeprrafopredeter"/>
    <w:uiPriority w:val="19"/>
    <w:qFormat/>
    <w:rsid w:val="007F6193"/>
    <w:rPr>
      <w:rFonts w:ascii="Times New Roman" w:hAnsi="Times New Roman"/>
      <w:i/>
      <w:iCs/>
      <w:color w:val="404040" w:themeColor="text1" w:themeTint="BF"/>
    </w:rPr>
  </w:style>
  <w:style w:type="paragraph" w:styleId="Textonotapie">
    <w:name w:val="footnote text"/>
    <w:basedOn w:val="Normal"/>
    <w:link w:val="TextonotapieCar"/>
    <w:uiPriority w:val="99"/>
    <w:semiHidden/>
    <w:unhideWhenUsed/>
    <w:rsid w:val="0025686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56865"/>
    <w:rPr>
      <w:rFonts w:ascii="Times New Roman" w:hAnsi="Times New Roman"/>
      <w:sz w:val="20"/>
      <w:szCs w:val="20"/>
    </w:rPr>
  </w:style>
  <w:style w:type="character" w:styleId="Refdenotaalpie">
    <w:name w:val="footnote reference"/>
    <w:basedOn w:val="Fuentedeprrafopredeter"/>
    <w:uiPriority w:val="99"/>
    <w:semiHidden/>
    <w:unhideWhenUsed/>
    <w:rsid w:val="00256865"/>
    <w:rPr>
      <w:vertAlign w:val="superscript"/>
    </w:rPr>
  </w:style>
  <w:style w:type="paragraph" w:styleId="Textodeglobo">
    <w:name w:val="Balloon Text"/>
    <w:basedOn w:val="Normal"/>
    <w:link w:val="TextodegloboCar"/>
    <w:uiPriority w:val="99"/>
    <w:semiHidden/>
    <w:unhideWhenUsed/>
    <w:rsid w:val="008C75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75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574751">
      <w:bodyDiv w:val="1"/>
      <w:marLeft w:val="0"/>
      <w:marRight w:val="0"/>
      <w:marTop w:val="0"/>
      <w:marBottom w:val="0"/>
      <w:divBdr>
        <w:top w:val="none" w:sz="0" w:space="0" w:color="auto"/>
        <w:left w:val="none" w:sz="0" w:space="0" w:color="auto"/>
        <w:bottom w:val="none" w:sz="0" w:space="0" w:color="auto"/>
        <w:right w:val="none" w:sz="0" w:space="0" w:color="auto"/>
      </w:divBdr>
    </w:div>
    <w:div w:id="1275478866">
      <w:bodyDiv w:val="1"/>
      <w:marLeft w:val="0"/>
      <w:marRight w:val="0"/>
      <w:marTop w:val="0"/>
      <w:marBottom w:val="0"/>
      <w:divBdr>
        <w:top w:val="none" w:sz="0" w:space="0" w:color="auto"/>
        <w:left w:val="none" w:sz="0" w:space="0" w:color="auto"/>
        <w:bottom w:val="none" w:sz="0" w:space="0" w:color="auto"/>
        <w:right w:val="none" w:sz="0" w:space="0" w:color="auto"/>
      </w:divBdr>
    </w:div>
    <w:div w:id="161705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98A94-5478-400F-961E-E5369535E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2426</Words>
  <Characters>13344</Characters>
  <Application>Microsoft Office Word</Application>
  <DocSecurity>0</DocSecurity>
  <Lines>111</Lines>
  <Paragraphs>31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Universitat de Barcelona</Company>
  <LinksUpToDate>false</LinksUpToDate>
  <CharactersWithSpaces>15739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historia</dc:creator>
  <cp:lastModifiedBy>Lucía</cp:lastModifiedBy>
  <cp:revision>7</cp:revision>
  <cp:lastPrinted>2018-03-20T14:39:00Z</cp:lastPrinted>
  <dcterms:created xsi:type="dcterms:W3CDTF">2018-03-20T14:39:00Z</dcterms:created>
  <dcterms:modified xsi:type="dcterms:W3CDTF">2018-04-03T11:54:00Z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a71f08e2-e3c3-35ab-8992-bb28ea0cf3f4</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