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02" w:rsidRDefault="005170CB">
      <w:pPr>
        <w:rPr>
          <w:lang w:eastAsia="zh-CN"/>
        </w:rPr>
      </w:pPr>
      <w:r w:rsidRPr="005170CB">
        <w:rPr>
          <w:noProof/>
          <w:lang w:eastAsia="zh-CN"/>
        </w:rPr>
        <w:drawing>
          <wp:inline distT="0" distB="0" distL="0" distR="0">
            <wp:extent cx="5943600" cy="296037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5A4" w:rsidRDefault="004925A4">
      <w:pPr>
        <w:rPr>
          <w:lang w:eastAsia="zh-CN"/>
        </w:rPr>
      </w:pPr>
    </w:p>
    <w:p w:rsidR="00B06FBF" w:rsidRPr="00A24BE3" w:rsidRDefault="00D71E7F" w:rsidP="00B06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8AD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>1. H</w:t>
      </w:r>
      <w:r w:rsidRPr="005131EC">
        <w:rPr>
          <w:rFonts w:ascii="Times New Roman" w:hAnsi="Times New Roman" w:cs="Times New Roman"/>
          <w:sz w:val="24"/>
          <w:szCs w:val="24"/>
        </w:rPr>
        <w:t>istogram</w:t>
      </w:r>
      <w:r>
        <w:rPr>
          <w:rFonts w:ascii="Times New Roman" w:hAnsi="Times New Roman" w:cs="Times New Roman"/>
          <w:sz w:val="24"/>
          <w:szCs w:val="24"/>
        </w:rPr>
        <w:t xml:space="preserve"> plot of MD incidence (%) rate.</w:t>
      </w:r>
      <w:r w:rsidR="00B06FBF" w:rsidRPr="00B06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6FBF" w:rsidRPr="00A2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MD resistance in chickens is generally evaluated with MD incidence (induced gross tumors by MDV) and survival days post MDV challenge</w:t>
      </w:r>
      <w:r w:rsidR="00B06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06FBF" w:rsidRPr="00B06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6FBF" w:rsidRPr="00A2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MD incidence data presented in Figure S1 were totally based on numbers of chickens that developed tumors post MDV challenge. The calculation was done as the ratio</w:t>
      </w:r>
      <w:bookmarkStart w:id="0" w:name="_GoBack"/>
      <w:bookmarkEnd w:id="0"/>
      <w:r w:rsidR="00B06FBF" w:rsidRPr="00A2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number of birds with tumors/total number of birds challenged within each of the lines multiplied by 100.</w:t>
      </w:r>
    </w:p>
    <w:p w:rsidR="00D71E7F" w:rsidRDefault="00D71E7F" w:rsidP="00D71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25A4" w:rsidRPr="00D71E7F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>
      <w:pPr>
        <w:rPr>
          <w:lang w:eastAsia="zh-CN"/>
        </w:rPr>
      </w:pPr>
    </w:p>
    <w:p w:rsidR="004925A4" w:rsidRDefault="004925A4" w:rsidP="004925A4">
      <w:r w:rsidRPr="00AC4886">
        <w:rPr>
          <w:noProof/>
          <w:lang w:eastAsia="zh-CN"/>
        </w:rPr>
        <w:drawing>
          <wp:inline distT="0" distB="0" distL="0" distR="0">
            <wp:extent cx="5943600" cy="4444365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25A4" w:rsidRDefault="004925A4" w:rsidP="004925A4"/>
    <w:p w:rsidR="004925A4" w:rsidRPr="00AC4886" w:rsidRDefault="004925A4" w:rsidP="004925A4">
      <w:r w:rsidRPr="00AC4886">
        <w:t>Figure S</w:t>
      </w:r>
      <w:r>
        <w:rPr>
          <w:rFonts w:hint="eastAsia"/>
          <w:lang w:eastAsia="zh-CN"/>
        </w:rPr>
        <w:t>2</w:t>
      </w:r>
      <w:r w:rsidRPr="00AC4886">
        <w:t>. Barplot of call rate for 30 chickens Affymetrix Axiom® Genome-Wide Chicken Genotyping, X axis represent the call rate values, and Y axis represents the chicken individuals.</w:t>
      </w:r>
    </w:p>
    <w:p w:rsidR="004925A4" w:rsidRDefault="004925A4" w:rsidP="004925A4"/>
    <w:p w:rsidR="004925A4" w:rsidRDefault="004925A4">
      <w:pPr>
        <w:rPr>
          <w:lang w:eastAsia="zh-CN"/>
        </w:rPr>
      </w:pPr>
    </w:p>
    <w:p w:rsidR="00637442" w:rsidRDefault="00637442">
      <w:pPr>
        <w:rPr>
          <w:lang w:eastAsia="zh-CN"/>
        </w:rPr>
      </w:pPr>
    </w:p>
    <w:p w:rsidR="00637442" w:rsidRDefault="00637442">
      <w:pPr>
        <w:rPr>
          <w:lang w:eastAsia="zh-CN"/>
        </w:rPr>
      </w:pPr>
    </w:p>
    <w:p w:rsidR="00637442" w:rsidRDefault="00637442">
      <w:pPr>
        <w:rPr>
          <w:lang w:eastAsia="zh-CN"/>
        </w:rPr>
      </w:pPr>
    </w:p>
    <w:p w:rsidR="00637442" w:rsidRDefault="00637442">
      <w:pPr>
        <w:rPr>
          <w:lang w:eastAsia="zh-CN"/>
        </w:rPr>
      </w:pPr>
    </w:p>
    <w:p w:rsidR="00637442" w:rsidRDefault="00637442">
      <w:pPr>
        <w:rPr>
          <w:lang w:eastAsia="zh-CN"/>
        </w:rPr>
      </w:pPr>
    </w:p>
    <w:p w:rsidR="00637442" w:rsidRDefault="00637442">
      <w:pPr>
        <w:rPr>
          <w:lang w:eastAsia="zh-CN"/>
        </w:rPr>
      </w:pPr>
    </w:p>
    <w:p w:rsidR="00637442" w:rsidRDefault="00637442">
      <w:pPr>
        <w:rPr>
          <w:lang w:eastAsia="zh-CN"/>
        </w:rPr>
      </w:pPr>
    </w:p>
    <w:p w:rsidR="00637442" w:rsidRDefault="00637442" w:rsidP="00637442">
      <w:r w:rsidRPr="007D3F84">
        <w:rPr>
          <w:noProof/>
          <w:lang w:eastAsia="zh-CN"/>
        </w:rPr>
        <w:drawing>
          <wp:inline distT="0" distB="0" distL="0" distR="0">
            <wp:extent cx="5943600" cy="28352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7442" w:rsidRPr="007C05E5" w:rsidRDefault="00637442" w:rsidP="00637442">
      <w:r w:rsidRPr="007C05E5">
        <w:t>Figure S</w:t>
      </w:r>
      <w:r>
        <w:rPr>
          <w:rFonts w:hint="eastAsia"/>
          <w:lang w:eastAsia="zh-CN"/>
        </w:rPr>
        <w:t>3</w:t>
      </w:r>
      <w:r w:rsidRPr="007C05E5">
        <w:t xml:space="preserve">.Frequency distribution in auto chromosome for the total SNPs for the Affymetrix Axiom® Genome-Wide Chicken Genotyping Array(600K) </w:t>
      </w:r>
    </w:p>
    <w:p w:rsidR="00637442" w:rsidRPr="007C05E5" w:rsidRDefault="00637442" w:rsidP="00637442">
      <w:r w:rsidRPr="007C05E5">
        <w:t>SNP count 527021.</w:t>
      </w:r>
    </w:p>
    <w:p w:rsidR="00637442" w:rsidRDefault="00637442" w:rsidP="00637442"/>
    <w:p w:rsidR="00637442" w:rsidRDefault="00637442">
      <w:pPr>
        <w:rPr>
          <w:lang w:eastAsia="zh-CN"/>
        </w:rPr>
      </w:pPr>
    </w:p>
    <w:p w:rsidR="007C2CD5" w:rsidRDefault="007C2CD5">
      <w:pPr>
        <w:rPr>
          <w:lang w:eastAsia="zh-CN"/>
        </w:rPr>
      </w:pPr>
    </w:p>
    <w:p w:rsidR="007C2CD5" w:rsidRDefault="007C2CD5">
      <w:pPr>
        <w:rPr>
          <w:lang w:eastAsia="zh-CN"/>
        </w:rPr>
      </w:pPr>
    </w:p>
    <w:p w:rsidR="007C2CD5" w:rsidRDefault="007C2CD5">
      <w:pPr>
        <w:rPr>
          <w:lang w:eastAsia="zh-CN"/>
        </w:rPr>
      </w:pPr>
    </w:p>
    <w:p w:rsidR="007C2CD5" w:rsidRDefault="007C2CD5">
      <w:pPr>
        <w:rPr>
          <w:lang w:eastAsia="zh-CN"/>
        </w:rPr>
      </w:pPr>
    </w:p>
    <w:p w:rsidR="007C2CD5" w:rsidRDefault="007C2CD5">
      <w:pPr>
        <w:rPr>
          <w:lang w:eastAsia="zh-CN"/>
        </w:rPr>
      </w:pPr>
    </w:p>
    <w:p w:rsidR="007C2CD5" w:rsidRDefault="007C2CD5">
      <w:pPr>
        <w:rPr>
          <w:lang w:eastAsia="zh-CN"/>
        </w:rPr>
      </w:pPr>
    </w:p>
    <w:p w:rsidR="007C2CD5" w:rsidRDefault="007C2CD5">
      <w:pPr>
        <w:rPr>
          <w:lang w:eastAsia="zh-CN"/>
        </w:rPr>
      </w:pPr>
    </w:p>
    <w:p w:rsidR="007C2CD5" w:rsidRDefault="007C2CD5">
      <w:pPr>
        <w:rPr>
          <w:lang w:eastAsia="zh-CN"/>
        </w:rPr>
      </w:pPr>
    </w:p>
    <w:p w:rsidR="007C2CD5" w:rsidRDefault="007C2CD5">
      <w:pPr>
        <w:rPr>
          <w:lang w:eastAsia="zh-CN"/>
        </w:rPr>
      </w:pPr>
    </w:p>
    <w:p w:rsidR="007C2CD5" w:rsidRDefault="007C2CD5">
      <w:pPr>
        <w:rPr>
          <w:lang w:eastAsia="zh-CN"/>
        </w:rPr>
      </w:pPr>
    </w:p>
    <w:p w:rsidR="007C2CD5" w:rsidRDefault="007C2CD5">
      <w:pPr>
        <w:rPr>
          <w:lang w:eastAsia="zh-CN"/>
        </w:rPr>
      </w:pPr>
    </w:p>
    <w:p w:rsidR="007C2CD5" w:rsidRDefault="007C2CD5">
      <w:pPr>
        <w:rPr>
          <w:lang w:eastAsia="zh-CN"/>
        </w:rPr>
      </w:pPr>
    </w:p>
    <w:p w:rsidR="007C2CD5" w:rsidRDefault="007C2CD5">
      <w:pPr>
        <w:rPr>
          <w:lang w:eastAsia="zh-CN"/>
        </w:rPr>
      </w:pPr>
    </w:p>
    <w:p w:rsidR="007C2CD5" w:rsidRDefault="007C2CD5" w:rsidP="007C2CD5">
      <w:r w:rsidRPr="00A82EFC">
        <w:rPr>
          <w:noProof/>
          <w:lang w:eastAsia="zh-CN"/>
        </w:rPr>
        <w:drawing>
          <wp:inline distT="0" distB="0" distL="0" distR="0">
            <wp:extent cx="5943600" cy="283527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2CD5" w:rsidRDefault="007C2CD5" w:rsidP="007C2CD5"/>
    <w:p w:rsidR="007C2CD5" w:rsidRPr="00A82EFC" w:rsidRDefault="007C2CD5" w:rsidP="007C2CD5">
      <w:r w:rsidRPr="00A82EFC">
        <w:t>Figure S</w:t>
      </w:r>
      <w:r>
        <w:rPr>
          <w:rFonts w:hint="eastAsia"/>
          <w:lang w:eastAsia="zh-CN"/>
        </w:rPr>
        <w:t>4</w:t>
      </w:r>
      <w:r w:rsidRPr="00A82EFC">
        <w:t>.</w:t>
      </w:r>
      <w:r w:rsidR="00576D02">
        <w:t xml:space="preserve"> </w:t>
      </w:r>
      <w:r w:rsidRPr="00A82EFC">
        <w:t xml:space="preserve">Frequency distribution in auto chromosome for the total SNPs for the Affymetrix Axiom® Genome-Wide Chicken Genotyping Array(600K) </w:t>
      </w:r>
    </w:p>
    <w:p w:rsidR="007C2CD5" w:rsidRPr="00A82EFC" w:rsidRDefault="007C2CD5" w:rsidP="007C2CD5">
      <w:r w:rsidRPr="00A82EFC">
        <w:t>SNP count 155216 SNPs.</w:t>
      </w:r>
    </w:p>
    <w:p w:rsidR="007C2CD5" w:rsidRDefault="007C2CD5" w:rsidP="007C2CD5"/>
    <w:p w:rsidR="007C2CD5" w:rsidRDefault="007C2CD5">
      <w:pPr>
        <w:rPr>
          <w:lang w:eastAsia="zh-CN"/>
        </w:rPr>
      </w:pPr>
    </w:p>
    <w:p w:rsidR="004760CE" w:rsidRDefault="004760CE">
      <w:pPr>
        <w:rPr>
          <w:lang w:eastAsia="zh-CN"/>
        </w:rPr>
      </w:pPr>
    </w:p>
    <w:p w:rsidR="004760CE" w:rsidRDefault="004760CE">
      <w:pPr>
        <w:rPr>
          <w:lang w:eastAsia="zh-CN"/>
        </w:rPr>
      </w:pPr>
    </w:p>
    <w:p w:rsidR="004760CE" w:rsidRDefault="004760CE">
      <w:pPr>
        <w:rPr>
          <w:lang w:eastAsia="zh-CN"/>
        </w:rPr>
      </w:pPr>
    </w:p>
    <w:p w:rsidR="004760CE" w:rsidRDefault="004760CE">
      <w:pPr>
        <w:rPr>
          <w:lang w:eastAsia="zh-CN"/>
        </w:rPr>
      </w:pPr>
    </w:p>
    <w:p w:rsidR="004760CE" w:rsidRDefault="004760CE">
      <w:pPr>
        <w:rPr>
          <w:lang w:eastAsia="zh-CN"/>
        </w:rPr>
      </w:pPr>
    </w:p>
    <w:p w:rsidR="000A221A" w:rsidRDefault="000A221A" w:rsidP="000A221A">
      <w:r w:rsidRPr="00FE2AE5">
        <w:rPr>
          <w:noProof/>
          <w:lang w:eastAsia="zh-CN"/>
        </w:rPr>
        <w:lastRenderedPageBreak/>
        <w:drawing>
          <wp:inline distT="0" distB="0" distL="0" distR="0">
            <wp:extent cx="5943600" cy="3403600"/>
            <wp:effectExtent l="0" t="0" r="0" b="0"/>
            <wp:docPr id="13" name="Objec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936" cy="4824536"/>
                      <a:chOff x="395536" y="1484784"/>
                      <a:chExt cx="8424936" cy="4824536"/>
                    </a:xfrm>
                  </a:grpSpPr>
                  <a:graphicFrame>
                    <a:nvGraphicFramePr>
                      <a:cNvPr id="4" name="Content Placeholder 3"/>
                      <a:cNvGraphicFramePr>
                        <a:graphicFrameLocks noGrp="1"/>
                      </a:cNvGraphicFramePr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0" r:lo="rId11" r:qs="rId12" r:cs="rId13"/>
                      </a:graphicData>
                    </a:graphic>
                    <a:xfrm>
                      <a:off x="395536" y="1484784"/>
                      <a:ext cx="8424936" cy="4824536"/>
                    </a:xfrm>
                  </a:graphicFrame>
                  <a:sp>
                    <a:nvSpPr>
                      <a:cNvPr id="6" name="TextBox 3"/>
                      <a:cNvSpPr txBox="1"/>
                    </a:nvSpPr>
                    <a:spPr>
                      <a:xfrm>
                        <a:off x="4211200" y="4100544"/>
                        <a:ext cx="648832" cy="2645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 anchor="t"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dirty="0" smtClean="0"/>
                            <a:t>“902,536”</a:t>
                          </a:r>
                          <a:endParaRPr lang="en-US" sz="1100" dirty="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" name="TextBox 4"/>
                      <a:cNvSpPr txBox="1"/>
                    </a:nvSpPr>
                    <a:spPr>
                      <a:xfrm>
                        <a:off x="5004048" y="3527624"/>
                        <a:ext cx="574581" cy="4054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 anchor="t"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dirty="0" smtClean="0"/>
                            <a:t>“987”</a:t>
                          </a:r>
                          <a:endParaRPr lang="en-US" sz="2000" dirty="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8" name="TextBox 5"/>
                      <a:cNvSpPr txBox="1"/>
                    </a:nvSpPr>
                    <a:spPr>
                      <a:xfrm>
                        <a:off x="5364088" y="5157192"/>
                        <a:ext cx="885499" cy="46801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 anchor="t"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“2,292”</a:t>
                          </a:r>
                          <a:endParaRPr lang="en-US" sz="2400" dirty="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9" name="TextBox 6"/>
                      <a:cNvSpPr txBox="1"/>
                    </a:nvSpPr>
                    <a:spPr>
                      <a:xfrm>
                        <a:off x="3533308" y="3527624"/>
                        <a:ext cx="768544" cy="4054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 anchor="t"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dirty="0" smtClean="0"/>
                            <a:t>“7,719”</a:t>
                          </a:r>
                          <a:endParaRPr lang="en-US" sz="2000" dirty="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0" name="TextBox 7"/>
                      <a:cNvSpPr txBox="1"/>
                    </a:nvSpPr>
                    <a:spPr>
                      <a:xfrm>
                        <a:off x="2983217" y="5085184"/>
                        <a:ext cx="652679" cy="46801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 anchor="t"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“513”</a:t>
                          </a:r>
                          <a:endParaRPr lang="en-US" sz="2400" dirty="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1" name="TextBox 8"/>
                      <a:cNvSpPr txBox="1"/>
                    </a:nvSpPr>
                    <a:spPr>
                      <a:xfrm>
                        <a:off x="4355976" y="2619672"/>
                        <a:ext cx="392672" cy="59330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 anchor="t"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3200" dirty="0" smtClean="0"/>
                            <a:t>“0”</a:t>
                          </a:r>
                          <a:endParaRPr lang="en-US" sz="3200" dirty="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2" name="TextBox 9"/>
                      <a:cNvSpPr txBox="1"/>
                    </a:nvSpPr>
                    <a:spPr>
                      <a:xfrm>
                        <a:off x="4401378" y="4653136"/>
                        <a:ext cx="314638" cy="4054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 anchor="t"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dirty="0" smtClean="0"/>
                            <a:t>“0”</a:t>
                          </a:r>
                          <a:endParaRPr lang="en-US" sz="2000" dirty="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</w:p>
    <w:p w:rsidR="000A221A" w:rsidRPr="00FE2AE5" w:rsidRDefault="000A221A" w:rsidP="000A2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AE5">
        <w:rPr>
          <w:rFonts w:ascii="Times New Roman" w:hAnsi="Times New Roman" w:cs="Times New Roman"/>
          <w:sz w:val="24"/>
          <w:szCs w:val="24"/>
        </w:rPr>
        <w:t>Figure S</w:t>
      </w:r>
      <w:r w:rsidR="009969C9">
        <w:rPr>
          <w:rFonts w:ascii="Times New Roman" w:hAnsi="Times New Roman" w:cs="Times New Roman" w:hint="eastAsia"/>
          <w:sz w:val="24"/>
          <w:szCs w:val="24"/>
          <w:lang w:eastAsia="zh-CN"/>
        </w:rPr>
        <w:t>5</w:t>
      </w:r>
      <w:r w:rsidRPr="00FE2AE5">
        <w:rPr>
          <w:rFonts w:ascii="Times New Roman" w:hAnsi="Times New Roman" w:cs="Times New Roman"/>
          <w:sz w:val="24"/>
          <w:szCs w:val="24"/>
        </w:rPr>
        <w:t xml:space="preserve"> Comparison of ROH Region among three groups, Line </w:t>
      </w:r>
      <w:r w:rsidRPr="000A221A">
        <w:rPr>
          <w:rFonts w:ascii="Times New Roman" w:hAnsi="Times New Roman" w:cs="Times New Roman"/>
          <w:sz w:val="24"/>
          <w:szCs w:val="24"/>
          <w:vertAlign w:val="subscript"/>
        </w:rPr>
        <w:t>63</w:t>
      </w:r>
      <w:r w:rsidRPr="00FE2AE5">
        <w:rPr>
          <w:rFonts w:ascii="Times New Roman" w:hAnsi="Times New Roman" w:cs="Times New Roman"/>
          <w:sz w:val="24"/>
          <w:szCs w:val="24"/>
        </w:rPr>
        <w:t xml:space="preserve">, Line </w:t>
      </w:r>
      <w:r w:rsidRPr="000A221A">
        <w:rPr>
          <w:rFonts w:ascii="Times New Roman" w:hAnsi="Times New Roman" w:cs="Times New Roman"/>
          <w:sz w:val="24"/>
          <w:szCs w:val="24"/>
          <w:vertAlign w:val="subscript"/>
        </w:rPr>
        <w:t>72</w:t>
      </w:r>
      <w:r w:rsidRPr="00FE2AE5">
        <w:rPr>
          <w:rFonts w:ascii="Times New Roman" w:hAnsi="Times New Roman" w:cs="Times New Roman"/>
          <w:sz w:val="24"/>
          <w:szCs w:val="24"/>
        </w:rPr>
        <w:t xml:space="preserve">, Line RCS (C, L, M, N, S, X). The overlap length of ROH were indicated in Kb. </w:t>
      </w:r>
    </w:p>
    <w:p w:rsidR="000A221A" w:rsidRDefault="000A221A" w:rsidP="000A221A"/>
    <w:p w:rsidR="000A221A" w:rsidRDefault="000A221A">
      <w:pPr>
        <w:rPr>
          <w:lang w:eastAsia="zh-CN"/>
        </w:rPr>
      </w:pPr>
    </w:p>
    <w:p w:rsidR="00D27344" w:rsidRDefault="00D27344">
      <w:pPr>
        <w:rPr>
          <w:lang w:eastAsia="zh-CN"/>
        </w:rPr>
      </w:pPr>
    </w:p>
    <w:p w:rsidR="00D27344" w:rsidRDefault="00D27344">
      <w:pPr>
        <w:rPr>
          <w:lang w:eastAsia="zh-CN"/>
        </w:rPr>
      </w:pPr>
    </w:p>
    <w:p w:rsidR="00D27344" w:rsidRDefault="00D27344">
      <w:pPr>
        <w:rPr>
          <w:lang w:eastAsia="zh-CN"/>
        </w:rPr>
      </w:pPr>
    </w:p>
    <w:p w:rsidR="00D27344" w:rsidRDefault="00D27344">
      <w:pPr>
        <w:rPr>
          <w:lang w:eastAsia="zh-CN"/>
        </w:rPr>
      </w:pPr>
    </w:p>
    <w:p w:rsidR="00D27344" w:rsidRDefault="00D27344">
      <w:pPr>
        <w:rPr>
          <w:lang w:eastAsia="zh-CN"/>
        </w:rPr>
      </w:pPr>
    </w:p>
    <w:sectPr w:rsidR="00D27344" w:rsidSect="00FB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C4" w:rsidRDefault="00A969C4" w:rsidP="004925A4">
      <w:pPr>
        <w:spacing w:after="0" w:line="240" w:lineRule="auto"/>
      </w:pPr>
      <w:r>
        <w:separator/>
      </w:r>
    </w:p>
  </w:endnote>
  <w:endnote w:type="continuationSeparator" w:id="0">
    <w:p w:rsidR="00A969C4" w:rsidRDefault="00A969C4" w:rsidP="0049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C4" w:rsidRDefault="00A969C4" w:rsidP="004925A4">
      <w:pPr>
        <w:spacing w:after="0" w:line="240" w:lineRule="auto"/>
      </w:pPr>
      <w:r>
        <w:separator/>
      </w:r>
    </w:p>
  </w:footnote>
  <w:footnote w:type="continuationSeparator" w:id="0">
    <w:p w:rsidR="00A969C4" w:rsidRDefault="00A969C4" w:rsidP="00492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0CB"/>
    <w:rsid w:val="0001188A"/>
    <w:rsid w:val="00014EBB"/>
    <w:rsid w:val="000929D0"/>
    <w:rsid w:val="000A221A"/>
    <w:rsid w:val="000F1B9C"/>
    <w:rsid w:val="00206EE5"/>
    <w:rsid w:val="00210B13"/>
    <w:rsid w:val="00210C88"/>
    <w:rsid w:val="002C0AEA"/>
    <w:rsid w:val="003A0136"/>
    <w:rsid w:val="00404B09"/>
    <w:rsid w:val="0042609F"/>
    <w:rsid w:val="004760CE"/>
    <w:rsid w:val="004835BB"/>
    <w:rsid w:val="004925A4"/>
    <w:rsid w:val="004E7091"/>
    <w:rsid w:val="004F09C2"/>
    <w:rsid w:val="00501350"/>
    <w:rsid w:val="005170CB"/>
    <w:rsid w:val="00523692"/>
    <w:rsid w:val="00576D02"/>
    <w:rsid w:val="005A33EE"/>
    <w:rsid w:val="00637442"/>
    <w:rsid w:val="006B3152"/>
    <w:rsid w:val="0073502B"/>
    <w:rsid w:val="007B50CE"/>
    <w:rsid w:val="007C2CD5"/>
    <w:rsid w:val="00810418"/>
    <w:rsid w:val="00826036"/>
    <w:rsid w:val="009648E7"/>
    <w:rsid w:val="009922AF"/>
    <w:rsid w:val="009969C9"/>
    <w:rsid w:val="00A540BD"/>
    <w:rsid w:val="00A969C4"/>
    <w:rsid w:val="00B06FBF"/>
    <w:rsid w:val="00C2072B"/>
    <w:rsid w:val="00C83E5E"/>
    <w:rsid w:val="00C85CE3"/>
    <w:rsid w:val="00CA422A"/>
    <w:rsid w:val="00CE55E6"/>
    <w:rsid w:val="00D27344"/>
    <w:rsid w:val="00D71E7F"/>
    <w:rsid w:val="00D75591"/>
    <w:rsid w:val="00E30AE1"/>
    <w:rsid w:val="00E6379E"/>
    <w:rsid w:val="00EB3357"/>
    <w:rsid w:val="00ED2CA2"/>
    <w:rsid w:val="00F11165"/>
    <w:rsid w:val="00F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6C7A5-60F9-4E1D-AD94-7D6B14B3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5170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925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25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92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diagramLayout" Target="diagrams/layout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gyang.Xu\Documents\chicken\CNV%20analysis\multivariate_20\chicken_cnv_m_asso\Chicken_phenotyp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r_songlab\RCS\sampleChicken30.TXT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en-US"/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6.1935527289857996E-2"/>
          <c:y val="0.18051290885936555"/>
          <c:w val="0.70904788343764724"/>
          <c:h val="0.71201538996814584"/>
        </c:manualLayout>
      </c:layout>
      <c:barChart>
        <c:barDir val="col"/>
        <c:grouping val="clustered"/>
        <c:varyColors val="0"/>
        <c:ser>
          <c:idx val="0"/>
          <c:order val="0"/>
          <c:tx>
            <c:v>MD incidence (%)</c:v>
          </c:tx>
          <c:invertIfNegative val="0"/>
          <c:cat>
            <c:strRef>
              <c:f>Sheet1!$O$1:$O$10</c:f>
              <c:strCache>
                <c:ptCount val="10"/>
                <c:pt idx="0">
                  <c:v>J</c:v>
                </c:pt>
                <c:pt idx="1">
                  <c:v>X</c:v>
                </c:pt>
                <c:pt idx="2">
                  <c:v>L6_3</c:v>
                </c:pt>
                <c:pt idx="3">
                  <c:v>S</c:v>
                </c:pt>
                <c:pt idx="4">
                  <c:v>N</c:v>
                </c:pt>
                <c:pt idx="5">
                  <c:v>C</c:v>
                </c:pt>
                <c:pt idx="6">
                  <c:v>M</c:v>
                </c:pt>
                <c:pt idx="7">
                  <c:v>F1_6X7</c:v>
                </c:pt>
                <c:pt idx="8">
                  <c:v>F1_7X6</c:v>
                </c:pt>
                <c:pt idx="9">
                  <c:v>L7_2</c:v>
                </c:pt>
              </c:strCache>
            </c:strRef>
          </c:cat>
          <c:val>
            <c:numRef>
              <c:f>Sheet1!$P$1:$P$10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7</c:v>
                </c:pt>
                <c:pt idx="4">
                  <c:v>12</c:v>
                </c:pt>
                <c:pt idx="5">
                  <c:v>18</c:v>
                </c:pt>
                <c:pt idx="6">
                  <c:v>42</c:v>
                </c:pt>
                <c:pt idx="7">
                  <c:v>50</c:v>
                </c:pt>
                <c:pt idx="8">
                  <c:v>50</c:v>
                </c:pt>
                <c:pt idx="9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D8-47D0-A3F0-E6A350700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390080"/>
        <c:axId val="120130176"/>
      </c:barChart>
      <c:catAx>
        <c:axId val="11139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20130176"/>
        <c:crosses val="autoZero"/>
        <c:auto val="1"/>
        <c:lblAlgn val="ctr"/>
        <c:lblOffset val="100"/>
        <c:noMultiLvlLbl val="0"/>
      </c:catAx>
      <c:valAx>
        <c:axId val="12013017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113900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overlay val="0"/>
      <c:txPr>
        <a:bodyPr/>
        <a:lstStyle/>
        <a:p>
          <a:pPr>
            <a:defRPr lang="en-US"/>
          </a:pPr>
          <a:endParaRPr lang="zh-CN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sampleChicken30!$E$1</c:f>
              <c:strCache>
                <c:ptCount val="1"/>
                <c:pt idx="0">
                  <c:v>call_rate</c:v>
                </c:pt>
              </c:strCache>
            </c:strRef>
          </c:tx>
          <c:invertIfNegative val="0"/>
          <c:cat>
            <c:strRef>
              <c:f>sampleChicken30!$B$2:$B$31</c:f>
              <c:strCache>
                <c:ptCount val="30"/>
                <c:pt idx="0">
                  <c:v>1_1U_7X6_F1</c:v>
                </c:pt>
                <c:pt idx="1">
                  <c:v>4_1U_6X7_F1</c:v>
                </c:pt>
                <c:pt idx="2">
                  <c:v>6_1U_7X6_F1</c:v>
                </c:pt>
                <c:pt idx="3">
                  <c:v>8_1U_7X6_F1</c:v>
                </c:pt>
                <c:pt idx="4">
                  <c:v>10_1U_6X7_F1</c:v>
                </c:pt>
                <c:pt idx="5">
                  <c:v>13_1U_6X7_F1</c:v>
                </c:pt>
                <c:pt idx="6">
                  <c:v>13_4U_M_7_2</c:v>
                </c:pt>
                <c:pt idx="7">
                  <c:v>C1</c:v>
                </c:pt>
                <c:pt idx="8">
                  <c:v>C2</c:v>
                </c:pt>
                <c:pt idx="9">
                  <c:v>C3</c:v>
                </c:pt>
                <c:pt idx="10">
                  <c:v>J1</c:v>
                </c:pt>
                <c:pt idx="11">
                  <c:v>J2</c:v>
                </c:pt>
                <c:pt idx="12">
                  <c:v>J3</c:v>
                </c:pt>
                <c:pt idx="13">
                  <c:v>M4</c:v>
                </c:pt>
                <c:pt idx="14">
                  <c:v>M5</c:v>
                </c:pt>
                <c:pt idx="15">
                  <c:v>M11</c:v>
                </c:pt>
                <c:pt idx="16">
                  <c:v>N1</c:v>
                </c:pt>
                <c:pt idx="17">
                  <c:v>N2</c:v>
                </c:pt>
                <c:pt idx="18">
                  <c:v>N3</c:v>
                </c:pt>
                <c:pt idx="19">
                  <c:v>S1</c:v>
                </c:pt>
                <c:pt idx="20">
                  <c:v>S2</c:v>
                </c:pt>
                <c:pt idx="21">
                  <c:v>X1</c:v>
                </c:pt>
                <c:pt idx="22">
                  <c:v>X3</c:v>
                </c:pt>
                <c:pt idx="23">
                  <c:v>X4</c:v>
                </c:pt>
                <c:pt idx="24">
                  <c:v>4_4U_M_7_2</c:v>
                </c:pt>
                <c:pt idx="25">
                  <c:v>5_4U_M_6_3</c:v>
                </c:pt>
                <c:pt idx="26">
                  <c:v>10_4U_M_7_2</c:v>
                </c:pt>
                <c:pt idx="27">
                  <c:v>14_4U_M_6_3</c:v>
                </c:pt>
                <c:pt idx="28">
                  <c:v>15_4U_M_6_3</c:v>
                </c:pt>
                <c:pt idx="29">
                  <c:v>S5_RCS</c:v>
                </c:pt>
              </c:strCache>
            </c:strRef>
          </c:cat>
          <c:val>
            <c:numRef>
              <c:f>sampleChicken30!$E$2:$E$31</c:f>
              <c:numCache>
                <c:formatCode>General</c:formatCode>
                <c:ptCount val="30"/>
                <c:pt idx="0">
                  <c:v>99.82692999999999</c:v>
                </c:pt>
                <c:pt idx="1">
                  <c:v>99.866399999999999</c:v>
                </c:pt>
                <c:pt idx="2">
                  <c:v>99.734950000000026</c:v>
                </c:pt>
                <c:pt idx="3">
                  <c:v>99.855689999999981</c:v>
                </c:pt>
                <c:pt idx="4">
                  <c:v>99.655299999999983</c:v>
                </c:pt>
                <c:pt idx="5">
                  <c:v>99.8155</c:v>
                </c:pt>
                <c:pt idx="6">
                  <c:v>99.680300000000003</c:v>
                </c:pt>
                <c:pt idx="7">
                  <c:v>99.909450000000007</c:v>
                </c:pt>
                <c:pt idx="8">
                  <c:v>99.871049999999983</c:v>
                </c:pt>
                <c:pt idx="9">
                  <c:v>99.874619999999993</c:v>
                </c:pt>
                <c:pt idx="10">
                  <c:v>99.859089999999981</c:v>
                </c:pt>
                <c:pt idx="11">
                  <c:v>99.864260000000527</c:v>
                </c:pt>
                <c:pt idx="12">
                  <c:v>99.744060000000786</c:v>
                </c:pt>
                <c:pt idx="13">
                  <c:v>99.891050000000007</c:v>
                </c:pt>
                <c:pt idx="14">
                  <c:v>99.876399999999919</c:v>
                </c:pt>
                <c:pt idx="15">
                  <c:v>99.835499999999982</c:v>
                </c:pt>
                <c:pt idx="16">
                  <c:v>99.910870000000003</c:v>
                </c:pt>
                <c:pt idx="17">
                  <c:v>99.903729999999996</c:v>
                </c:pt>
                <c:pt idx="18">
                  <c:v>99.878369999999919</c:v>
                </c:pt>
                <c:pt idx="19">
                  <c:v>99.885149999999982</c:v>
                </c:pt>
                <c:pt idx="20">
                  <c:v>99.875689999999949</c:v>
                </c:pt>
                <c:pt idx="21">
                  <c:v>99.87318999999998</c:v>
                </c:pt>
                <c:pt idx="22">
                  <c:v>99.903909999999996</c:v>
                </c:pt>
                <c:pt idx="23">
                  <c:v>99.861220000000714</c:v>
                </c:pt>
                <c:pt idx="24">
                  <c:v>99.841930000000005</c:v>
                </c:pt>
                <c:pt idx="25">
                  <c:v>99.847650000000527</c:v>
                </c:pt>
                <c:pt idx="26">
                  <c:v>99.763350000000003</c:v>
                </c:pt>
                <c:pt idx="27">
                  <c:v>99.818719999999999</c:v>
                </c:pt>
                <c:pt idx="28">
                  <c:v>99.844250000000699</c:v>
                </c:pt>
                <c:pt idx="29">
                  <c:v>99.777820000000006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B7-4335-A83E-7BC771EB6D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263488"/>
        <c:axId val="134021504"/>
      </c:barChart>
      <c:catAx>
        <c:axId val="1312634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34021504"/>
        <c:crosses val="autoZero"/>
        <c:auto val="1"/>
        <c:lblAlgn val="ctr"/>
        <c:lblOffset val="100"/>
        <c:noMultiLvlLbl val="0"/>
      </c:catAx>
      <c:valAx>
        <c:axId val="134021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31263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9AC8F7-907B-453C-B764-9CD33F5D3C8D}" type="doc">
      <dgm:prSet loTypeId="urn:microsoft.com/office/officeart/2005/8/layout/venn1" loCatId="relationship" qsTypeId="urn:microsoft.com/office/officeart/2005/8/quickstyle/simple3" qsCatId="simple" csTypeId="urn:microsoft.com/office/officeart/2005/8/colors/colorful3" csCatId="colorful" phldr="1"/>
      <dgm:spPr/>
    </dgm:pt>
    <dgm:pt modelId="{2A3CB468-80A4-4A57-B82A-9F0CBB039EED}">
      <dgm:prSet phldrT="[Text]"/>
      <dgm:spPr/>
      <dgm:t>
        <a:bodyPr/>
        <a:lstStyle/>
        <a:p>
          <a:r>
            <a:rPr lang="en-US" dirty="0"/>
            <a:t>RCS</a:t>
          </a:r>
        </a:p>
        <a:p>
          <a:endParaRPr lang="en-US" dirty="0"/>
        </a:p>
      </dgm:t>
    </dgm:pt>
    <dgm:pt modelId="{CE9786EB-9EFA-42F9-9B97-8C9534393013}" type="parTrans" cxnId="{DD7771A2-CB1C-4978-AB6D-9DFC12F90178}">
      <dgm:prSet/>
      <dgm:spPr/>
      <dgm:t>
        <a:bodyPr/>
        <a:lstStyle/>
        <a:p>
          <a:endParaRPr lang="en-US"/>
        </a:p>
      </dgm:t>
    </dgm:pt>
    <dgm:pt modelId="{4C0F2421-E4A6-4790-8211-B421E961C386}" type="sibTrans" cxnId="{DD7771A2-CB1C-4978-AB6D-9DFC12F90178}">
      <dgm:prSet/>
      <dgm:spPr/>
      <dgm:t>
        <a:bodyPr/>
        <a:lstStyle/>
        <a:p>
          <a:endParaRPr lang="en-US"/>
        </a:p>
      </dgm:t>
    </dgm:pt>
    <dgm:pt modelId="{C970D82F-7B8B-4E26-954E-59DD903D1C81}">
      <dgm:prSet phldrT="[Text]"/>
      <dgm:spPr/>
      <dgm:t>
        <a:bodyPr/>
        <a:lstStyle/>
        <a:p>
          <a:r>
            <a:rPr lang="en-US" dirty="0"/>
            <a:t>L72</a:t>
          </a:r>
        </a:p>
      </dgm:t>
    </dgm:pt>
    <dgm:pt modelId="{5EEA38F6-FA5E-4177-BF47-BCC9F8FB5387}" type="parTrans" cxnId="{E12AE5BA-F23F-4BE7-A553-E38F2B00CD3B}">
      <dgm:prSet/>
      <dgm:spPr/>
      <dgm:t>
        <a:bodyPr/>
        <a:lstStyle/>
        <a:p>
          <a:endParaRPr lang="en-US"/>
        </a:p>
      </dgm:t>
    </dgm:pt>
    <dgm:pt modelId="{296A8CC3-39D0-4791-BBDA-E4B93A7FCB6F}" type="sibTrans" cxnId="{E12AE5BA-F23F-4BE7-A553-E38F2B00CD3B}">
      <dgm:prSet/>
      <dgm:spPr/>
      <dgm:t>
        <a:bodyPr/>
        <a:lstStyle/>
        <a:p>
          <a:endParaRPr lang="en-US"/>
        </a:p>
      </dgm:t>
    </dgm:pt>
    <dgm:pt modelId="{15420A60-3D84-4602-9A90-44AF7B829923}">
      <dgm:prSet phldrT="[Text]"/>
      <dgm:spPr/>
      <dgm:t>
        <a:bodyPr/>
        <a:lstStyle/>
        <a:p>
          <a:r>
            <a:rPr lang="en-US" dirty="0"/>
            <a:t>L63</a:t>
          </a:r>
        </a:p>
      </dgm:t>
    </dgm:pt>
    <dgm:pt modelId="{051BA581-A9F0-4EDA-ADBE-989003A7ABFC}" type="parTrans" cxnId="{FD0CAC6F-3C60-41CB-A546-9CE913502708}">
      <dgm:prSet/>
      <dgm:spPr/>
      <dgm:t>
        <a:bodyPr/>
        <a:lstStyle/>
        <a:p>
          <a:endParaRPr lang="en-US"/>
        </a:p>
      </dgm:t>
    </dgm:pt>
    <dgm:pt modelId="{4F233794-B2D4-45FB-9E1C-2EE3CECA4893}" type="sibTrans" cxnId="{FD0CAC6F-3C60-41CB-A546-9CE913502708}">
      <dgm:prSet/>
      <dgm:spPr/>
      <dgm:t>
        <a:bodyPr/>
        <a:lstStyle/>
        <a:p>
          <a:endParaRPr lang="en-US"/>
        </a:p>
      </dgm:t>
    </dgm:pt>
    <dgm:pt modelId="{6F43220C-F514-43AF-98A1-F85FD7B6BC24}" type="pres">
      <dgm:prSet presAssocID="{4A9AC8F7-907B-453C-B764-9CD33F5D3C8D}" presName="compositeShape" presStyleCnt="0">
        <dgm:presLayoutVars>
          <dgm:chMax val="7"/>
          <dgm:dir/>
          <dgm:resizeHandles val="exact"/>
        </dgm:presLayoutVars>
      </dgm:prSet>
      <dgm:spPr/>
    </dgm:pt>
    <dgm:pt modelId="{93A1406B-95EB-4CE2-944C-5D51DEA773E1}" type="pres">
      <dgm:prSet presAssocID="{2A3CB468-80A4-4A57-B82A-9F0CBB039EED}" presName="circ1" presStyleLbl="vennNode1" presStyleIdx="0" presStyleCnt="3"/>
      <dgm:spPr/>
      <dgm:t>
        <a:bodyPr/>
        <a:lstStyle/>
        <a:p>
          <a:endParaRPr lang="en-US"/>
        </a:p>
      </dgm:t>
    </dgm:pt>
    <dgm:pt modelId="{E346CEB6-9145-425E-8ED3-42BDB5EE1365}" type="pres">
      <dgm:prSet presAssocID="{2A3CB468-80A4-4A57-B82A-9F0CBB039EE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744478-C90E-40DF-9795-DC227E6D89D6}" type="pres">
      <dgm:prSet presAssocID="{C970D82F-7B8B-4E26-954E-59DD903D1C81}" presName="circ2" presStyleLbl="vennNode1" presStyleIdx="1" presStyleCnt="3"/>
      <dgm:spPr/>
      <dgm:t>
        <a:bodyPr/>
        <a:lstStyle/>
        <a:p>
          <a:endParaRPr lang="en-US"/>
        </a:p>
      </dgm:t>
    </dgm:pt>
    <dgm:pt modelId="{65AABFA6-FF69-4D95-A69E-E044232A5D69}" type="pres">
      <dgm:prSet presAssocID="{C970D82F-7B8B-4E26-954E-59DD903D1C8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13BFAA-E002-4CDE-ADD7-79A9DB86FD61}" type="pres">
      <dgm:prSet presAssocID="{15420A60-3D84-4602-9A90-44AF7B829923}" presName="circ3" presStyleLbl="vennNode1" presStyleIdx="2" presStyleCnt="3"/>
      <dgm:spPr/>
      <dgm:t>
        <a:bodyPr/>
        <a:lstStyle/>
        <a:p>
          <a:endParaRPr lang="en-US"/>
        </a:p>
      </dgm:t>
    </dgm:pt>
    <dgm:pt modelId="{B1ACE9F7-9346-47D7-999A-35EACA7C3761}" type="pres">
      <dgm:prSet presAssocID="{15420A60-3D84-4602-9A90-44AF7B829923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0CAC6F-3C60-41CB-A546-9CE913502708}" srcId="{4A9AC8F7-907B-453C-B764-9CD33F5D3C8D}" destId="{15420A60-3D84-4602-9A90-44AF7B829923}" srcOrd="2" destOrd="0" parTransId="{051BA581-A9F0-4EDA-ADBE-989003A7ABFC}" sibTransId="{4F233794-B2D4-45FB-9E1C-2EE3CECA4893}"/>
    <dgm:cxn modelId="{DD7771A2-CB1C-4978-AB6D-9DFC12F90178}" srcId="{4A9AC8F7-907B-453C-B764-9CD33F5D3C8D}" destId="{2A3CB468-80A4-4A57-B82A-9F0CBB039EED}" srcOrd="0" destOrd="0" parTransId="{CE9786EB-9EFA-42F9-9B97-8C9534393013}" sibTransId="{4C0F2421-E4A6-4790-8211-B421E961C386}"/>
    <dgm:cxn modelId="{93310150-D167-4F2C-A3FD-52262FC4C0E6}" type="presOf" srcId="{2A3CB468-80A4-4A57-B82A-9F0CBB039EED}" destId="{E346CEB6-9145-425E-8ED3-42BDB5EE1365}" srcOrd="1" destOrd="0" presId="urn:microsoft.com/office/officeart/2005/8/layout/venn1"/>
    <dgm:cxn modelId="{AD914120-4980-4ECE-A714-E4C53FFC4251}" type="presOf" srcId="{15420A60-3D84-4602-9A90-44AF7B829923}" destId="{0913BFAA-E002-4CDE-ADD7-79A9DB86FD61}" srcOrd="0" destOrd="0" presId="urn:microsoft.com/office/officeart/2005/8/layout/venn1"/>
    <dgm:cxn modelId="{4C715918-6CA4-4E67-B115-7A33A3AEDC16}" type="presOf" srcId="{4A9AC8F7-907B-453C-B764-9CD33F5D3C8D}" destId="{6F43220C-F514-43AF-98A1-F85FD7B6BC24}" srcOrd="0" destOrd="0" presId="urn:microsoft.com/office/officeart/2005/8/layout/venn1"/>
    <dgm:cxn modelId="{E12AE5BA-F23F-4BE7-A553-E38F2B00CD3B}" srcId="{4A9AC8F7-907B-453C-B764-9CD33F5D3C8D}" destId="{C970D82F-7B8B-4E26-954E-59DD903D1C81}" srcOrd="1" destOrd="0" parTransId="{5EEA38F6-FA5E-4177-BF47-BCC9F8FB5387}" sibTransId="{296A8CC3-39D0-4791-BBDA-E4B93A7FCB6F}"/>
    <dgm:cxn modelId="{F2FD56EF-4FA7-4116-8A70-EBF59605593B}" type="presOf" srcId="{C970D82F-7B8B-4E26-954E-59DD903D1C81}" destId="{B5744478-C90E-40DF-9795-DC227E6D89D6}" srcOrd="0" destOrd="0" presId="urn:microsoft.com/office/officeart/2005/8/layout/venn1"/>
    <dgm:cxn modelId="{DA2649AE-DE5E-488B-95DB-2EBBD067857E}" type="presOf" srcId="{15420A60-3D84-4602-9A90-44AF7B829923}" destId="{B1ACE9F7-9346-47D7-999A-35EACA7C3761}" srcOrd="1" destOrd="0" presId="urn:microsoft.com/office/officeart/2005/8/layout/venn1"/>
    <dgm:cxn modelId="{1A1F6713-5176-42FF-BAAE-1A6773D3019A}" type="presOf" srcId="{C970D82F-7B8B-4E26-954E-59DD903D1C81}" destId="{65AABFA6-FF69-4D95-A69E-E044232A5D69}" srcOrd="1" destOrd="0" presId="urn:microsoft.com/office/officeart/2005/8/layout/venn1"/>
    <dgm:cxn modelId="{01FE192B-5CD6-4E41-9888-89F794CE215B}" type="presOf" srcId="{2A3CB468-80A4-4A57-B82A-9F0CBB039EED}" destId="{93A1406B-95EB-4CE2-944C-5D51DEA773E1}" srcOrd="0" destOrd="0" presId="urn:microsoft.com/office/officeart/2005/8/layout/venn1"/>
    <dgm:cxn modelId="{2F1232D5-BC28-4086-8BB8-1E155AB3D71E}" type="presParOf" srcId="{6F43220C-F514-43AF-98A1-F85FD7B6BC24}" destId="{93A1406B-95EB-4CE2-944C-5D51DEA773E1}" srcOrd="0" destOrd="0" presId="urn:microsoft.com/office/officeart/2005/8/layout/venn1"/>
    <dgm:cxn modelId="{F06A798B-0F63-462B-86EE-A57F979E0374}" type="presParOf" srcId="{6F43220C-F514-43AF-98A1-F85FD7B6BC24}" destId="{E346CEB6-9145-425E-8ED3-42BDB5EE1365}" srcOrd="1" destOrd="0" presId="urn:microsoft.com/office/officeart/2005/8/layout/venn1"/>
    <dgm:cxn modelId="{FB830179-1C91-484B-98F2-34E9D348DB15}" type="presParOf" srcId="{6F43220C-F514-43AF-98A1-F85FD7B6BC24}" destId="{B5744478-C90E-40DF-9795-DC227E6D89D6}" srcOrd="2" destOrd="0" presId="urn:microsoft.com/office/officeart/2005/8/layout/venn1"/>
    <dgm:cxn modelId="{4DD4810D-94B9-4B2C-A575-B3D899180517}" type="presParOf" srcId="{6F43220C-F514-43AF-98A1-F85FD7B6BC24}" destId="{65AABFA6-FF69-4D95-A69E-E044232A5D69}" srcOrd="3" destOrd="0" presId="urn:microsoft.com/office/officeart/2005/8/layout/venn1"/>
    <dgm:cxn modelId="{A5F93DEF-3F43-48F9-8663-B99E45EB7247}" type="presParOf" srcId="{6F43220C-F514-43AF-98A1-F85FD7B6BC24}" destId="{0913BFAA-E002-4CDE-ADD7-79A9DB86FD61}" srcOrd="4" destOrd="0" presId="urn:microsoft.com/office/officeart/2005/8/layout/venn1"/>
    <dgm:cxn modelId="{2B321C22-AE2E-4B23-B806-B2E2B86C2090}" type="presParOf" srcId="{6F43220C-F514-43AF-98A1-F85FD7B6BC24}" destId="{B1ACE9F7-9346-47D7-999A-35EACA7C3761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A1406B-95EB-4CE2-944C-5D51DEA773E1}">
      <dsp:nvSpPr>
        <dsp:cNvPr id="0" name=""/>
        <dsp:cNvSpPr/>
      </dsp:nvSpPr>
      <dsp:spPr>
        <a:xfrm>
          <a:off x="2765107" y="60306"/>
          <a:ext cx="2894721" cy="2894721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 dirty="0"/>
            <a:t>RCS</a:t>
          </a:r>
        </a:p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 dirty="0"/>
        </a:p>
      </dsp:txBody>
      <dsp:txXfrm>
        <a:off x="3151070" y="566882"/>
        <a:ext cx="2122795" cy="1302624"/>
      </dsp:txXfrm>
    </dsp:sp>
    <dsp:sp modelId="{B5744478-C90E-40DF-9795-DC227E6D89D6}">
      <dsp:nvSpPr>
        <dsp:cNvPr id="0" name=""/>
        <dsp:cNvSpPr/>
      </dsp:nvSpPr>
      <dsp:spPr>
        <a:xfrm>
          <a:off x="3809619" y="1869507"/>
          <a:ext cx="2894721" cy="2894721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5625132"/>
                <a:satOff val="-8440"/>
                <a:lumOff val="-1373"/>
                <a:alphaOff val="0"/>
                <a:tint val="50000"/>
                <a:satMod val="300000"/>
              </a:schemeClr>
            </a:gs>
            <a:gs pos="35000">
              <a:schemeClr val="accent3">
                <a:alpha val="50000"/>
                <a:hueOff val="5625132"/>
                <a:satOff val="-8440"/>
                <a:lumOff val="-1373"/>
                <a:alphaOff val="0"/>
                <a:tint val="37000"/>
                <a:satMod val="300000"/>
              </a:schemeClr>
            </a:gs>
            <a:gs pos="100000">
              <a:schemeClr val="accent3">
                <a:alpha val="50000"/>
                <a:hueOff val="5625132"/>
                <a:satOff val="-8440"/>
                <a:lumOff val="-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 dirty="0"/>
            <a:t>L72</a:t>
          </a:r>
        </a:p>
      </dsp:txBody>
      <dsp:txXfrm>
        <a:off x="4694921" y="2617310"/>
        <a:ext cx="1736832" cy="1592096"/>
      </dsp:txXfrm>
    </dsp:sp>
    <dsp:sp modelId="{0913BFAA-E002-4CDE-ADD7-79A9DB86FD61}">
      <dsp:nvSpPr>
        <dsp:cNvPr id="0" name=""/>
        <dsp:cNvSpPr/>
      </dsp:nvSpPr>
      <dsp:spPr>
        <a:xfrm>
          <a:off x="1720595" y="1869507"/>
          <a:ext cx="2894721" cy="2894721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alpha val="50000"/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alpha val="50000"/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 dirty="0"/>
            <a:t>L63</a:t>
          </a:r>
        </a:p>
      </dsp:txBody>
      <dsp:txXfrm>
        <a:off x="1993181" y="2617310"/>
        <a:ext cx="1736832" cy="15920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Lingyang.Xu</dc:creator>
  <cp:keywords/>
  <dc:description/>
  <cp:lastModifiedBy>dell</cp:lastModifiedBy>
  <cp:revision>21</cp:revision>
  <dcterms:created xsi:type="dcterms:W3CDTF">2013-10-28T14:43:00Z</dcterms:created>
  <dcterms:modified xsi:type="dcterms:W3CDTF">2018-06-21T08:48:00Z</dcterms:modified>
</cp:coreProperties>
</file>