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EE11" w14:textId="26FECA40" w:rsidR="009F6C1A" w:rsidRPr="00F776F7" w:rsidRDefault="009F6C1A" w:rsidP="00160110">
      <w:pPr>
        <w:jc w:val="center"/>
        <w:rPr>
          <w:b/>
          <w:sz w:val="24"/>
          <w:szCs w:val="24"/>
          <w:lang w:val="en-US"/>
        </w:rPr>
      </w:pPr>
      <w:r w:rsidRPr="00F776F7">
        <w:rPr>
          <w:b/>
          <w:sz w:val="24"/>
          <w:szCs w:val="24"/>
          <w:lang w:val="en-US"/>
        </w:rPr>
        <w:t>Supplementary Material</w:t>
      </w:r>
    </w:p>
    <w:p w14:paraId="17A1C24F" w14:textId="77777777" w:rsidR="00AE213A" w:rsidRPr="00F776F7" w:rsidRDefault="00AE213A" w:rsidP="00160110">
      <w:pPr>
        <w:jc w:val="center"/>
        <w:rPr>
          <w:b/>
          <w:sz w:val="24"/>
          <w:szCs w:val="24"/>
          <w:lang w:val="en-US"/>
        </w:rPr>
      </w:pPr>
    </w:p>
    <w:p w14:paraId="5231FD1D" w14:textId="03B70F73" w:rsidR="00300C29" w:rsidRPr="00F776F7" w:rsidRDefault="00B625F3" w:rsidP="00160110">
      <w:pPr>
        <w:jc w:val="center"/>
        <w:rPr>
          <w:b/>
          <w:sz w:val="24"/>
          <w:szCs w:val="24"/>
          <w:lang w:val="en-US"/>
        </w:rPr>
      </w:pPr>
      <w:r w:rsidRPr="00F776F7">
        <w:rPr>
          <w:b/>
          <w:sz w:val="24"/>
          <w:szCs w:val="24"/>
          <w:lang w:val="en-US"/>
        </w:rPr>
        <w:t>Development of a health economic</w:t>
      </w:r>
      <w:r w:rsidR="008F1B9C" w:rsidRPr="00F776F7">
        <w:rPr>
          <w:b/>
          <w:sz w:val="24"/>
          <w:szCs w:val="24"/>
          <w:lang w:val="en-US"/>
        </w:rPr>
        <w:t xml:space="preserve"> model to evaluate the </w:t>
      </w:r>
      <w:r w:rsidRPr="00F776F7">
        <w:rPr>
          <w:b/>
          <w:sz w:val="24"/>
          <w:szCs w:val="24"/>
          <w:lang w:val="en-US"/>
        </w:rPr>
        <w:t>potential</w:t>
      </w:r>
      <w:r w:rsidR="008F1B9C" w:rsidRPr="00F776F7">
        <w:rPr>
          <w:b/>
          <w:sz w:val="24"/>
          <w:szCs w:val="24"/>
          <w:lang w:val="en-US"/>
        </w:rPr>
        <w:t xml:space="preserve"> benefits of optimal serum potassium management in patients with heart failure</w:t>
      </w:r>
    </w:p>
    <w:p w14:paraId="738114D9" w14:textId="77777777" w:rsidR="00300C29" w:rsidRPr="00F776F7" w:rsidRDefault="00300C29" w:rsidP="00304966">
      <w:pPr>
        <w:rPr>
          <w:sz w:val="24"/>
          <w:szCs w:val="24"/>
          <w:lang w:val="en-US"/>
        </w:rPr>
      </w:pPr>
    </w:p>
    <w:p w14:paraId="7BDF5CFD" w14:textId="28727664" w:rsidR="00160110" w:rsidRPr="00F776F7" w:rsidRDefault="008F3905" w:rsidP="00503923">
      <w:pPr>
        <w:pStyle w:val="Heading2"/>
        <w:rPr>
          <w:rFonts w:cs="Times New Roman"/>
          <w:sz w:val="24"/>
          <w:szCs w:val="24"/>
          <w:lang w:val="en-US"/>
        </w:rPr>
      </w:pPr>
      <w:bookmarkStart w:id="0" w:name="_Ref484011207"/>
      <w:bookmarkStart w:id="1" w:name="_Toc485708159"/>
      <w:r w:rsidRPr="00F776F7">
        <w:rPr>
          <w:rFonts w:cs="Times New Roman"/>
          <w:sz w:val="24"/>
          <w:szCs w:val="24"/>
          <w:lang w:val="en-US"/>
        </w:rPr>
        <w:t xml:space="preserve">Methods to </w:t>
      </w:r>
      <w:r w:rsidR="009F6C1A" w:rsidRPr="00F776F7">
        <w:rPr>
          <w:rFonts w:cs="Times New Roman"/>
          <w:sz w:val="24"/>
          <w:szCs w:val="24"/>
          <w:lang w:val="en-US"/>
        </w:rPr>
        <w:t>model heart failure</w:t>
      </w:r>
      <w:r w:rsidRPr="00F776F7">
        <w:rPr>
          <w:rFonts w:cs="Times New Roman"/>
          <w:sz w:val="24"/>
          <w:szCs w:val="24"/>
          <w:lang w:val="en-US"/>
        </w:rPr>
        <w:t xml:space="preserve"> progression and events</w:t>
      </w:r>
    </w:p>
    <w:p w14:paraId="4A349F1D" w14:textId="77777777" w:rsidR="00503923" w:rsidRPr="00F776F7" w:rsidRDefault="00503923" w:rsidP="00503923">
      <w:pPr>
        <w:rPr>
          <w:sz w:val="24"/>
          <w:szCs w:val="24"/>
          <w:lang w:val="en-US"/>
        </w:rPr>
      </w:pPr>
    </w:p>
    <w:p w14:paraId="3898A054" w14:textId="1DCFCBE6" w:rsidR="008F3905" w:rsidRPr="00F776F7" w:rsidRDefault="008F3905" w:rsidP="008F3905">
      <w:pPr>
        <w:pStyle w:val="Caption"/>
        <w:keepNext/>
        <w:keepLines/>
        <w:spacing w:after="0" w:line="48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F776F7">
        <w:rPr>
          <w:rFonts w:ascii="Times New Roman" w:hAnsi="Times New Roman"/>
          <w:color w:val="auto"/>
          <w:sz w:val="24"/>
          <w:szCs w:val="24"/>
          <w:lang w:val="en-US"/>
        </w:rPr>
        <w:t>Table</w:t>
      </w:r>
      <w:bookmarkEnd w:id="0"/>
      <w:r w:rsidRPr="00F776F7">
        <w:rPr>
          <w:rFonts w:ascii="Times New Roman" w:hAnsi="Times New Roman"/>
          <w:color w:val="auto"/>
          <w:sz w:val="24"/>
          <w:szCs w:val="24"/>
          <w:lang w:val="en-US"/>
        </w:rPr>
        <w:t xml:space="preserve"> S1</w:t>
      </w:r>
      <w:r w:rsidR="00F776F7" w:rsidRPr="00F776F7">
        <w:rPr>
          <w:rFonts w:ascii="Times New Roman" w:hAnsi="Times New Roman"/>
          <w:color w:val="auto"/>
          <w:sz w:val="24"/>
          <w:szCs w:val="24"/>
          <w:lang w:val="en-US"/>
        </w:rPr>
        <w:t>.</w:t>
      </w:r>
      <w:r w:rsidRPr="00F776F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F776F7">
        <w:rPr>
          <w:rFonts w:ascii="Times New Roman" w:hAnsi="Times New Roman"/>
          <w:b w:val="0"/>
          <w:color w:val="auto"/>
          <w:sz w:val="24"/>
          <w:szCs w:val="24"/>
          <w:lang w:val="en-US"/>
        </w:rPr>
        <w:t>Summary of methods employed to model disease progression</w:t>
      </w:r>
      <w:bookmarkEnd w:id="1"/>
      <w:r w:rsidR="00D90432" w:rsidRPr="00F776F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and events in heart failure</w:t>
      </w:r>
      <w:r w:rsidRPr="00F776F7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patients</w:t>
      </w:r>
      <w:r w:rsidRPr="00F776F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2"/>
        <w:gridCol w:w="2287"/>
        <w:gridCol w:w="303"/>
        <w:gridCol w:w="2170"/>
        <w:gridCol w:w="303"/>
        <w:gridCol w:w="2129"/>
      </w:tblGrid>
      <w:tr w:rsidR="008F3905" w:rsidRPr="00F776F7" w14:paraId="08091A81" w14:textId="77777777" w:rsidTr="00EB7A3C">
        <w:trPr>
          <w:trHeight w:val="380"/>
        </w:trPr>
        <w:tc>
          <w:tcPr>
            <w:tcW w:w="1210" w:type="pct"/>
            <w:shd w:val="clear" w:color="auto" w:fill="E7E6E6" w:themeFill="background2"/>
            <w:tcMar>
              <w:left w:w="57" w:type="dxa"/>
            </w:tcMar>
            <w:vAlign w:val="center"/>
          </w:tcPr>
          <w:p w14:paraId="524B809E" w14:textId="77777777" w:rsidR="008F3905" w:rsidRPr="00F776F7" w:rsidRDefault="008F3905" w:rsidP="00EB7A3C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F776F7">
              <w:rPr>
                <w:b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1213" w:type="pct"/>
            <w:shd w:val="clear" w:color="auto" w:fill="E7E6E6" w:themeFill="background2"/>
            <w:tcMar>
              <w:left w:w="57" w:type="dxa"/>
            </w:tcMar>
            <w:vAlign w:val="center"/>
          </w:tcPr>
          <w:p w14:paraId="35921FE4" w14:textId="77777777" w:rsidR="008F3905" w:rsidRPr="00F776F7" w:rsidRDefault="008F3905" w:rsidP="00EB7A3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776F7">
              <w:rPr>
                <w:b/>
                <w:sz w:val="24"/>
                <w:szCs w:val="24"/>
                <w:lang w:val="en-US"/>
              </w:rPr>
              <w:t>Baseline incidence rate</w:t>
            </w:r>
          </w:p>
        </w:tc>
        <w:tc>
          <w:tcPr>
            <w:tcW w:w="1303" w:type="pct"/>
            <w:gridSpan w:val="2"/>
            <w:shd w:val="clear" w:color="auto" w:fill="E7E6E6" w:themeFill="background2"/>
            <w:tcMar>
              <w:left w:w="57" w:type="dxa"/>
            </w:tcMar>
            <w:vAlign w:val="center"/>
          </w:tcPr>
          <w:p w14:paraId="41DE3649" w14:textId="77777777" w:rsidR="008F3905" w:rsidRPr="00F776F7" w:rsidRDefault="008F3905" w:rsidP="00EB7A3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776F7">
              <w:rPr>
                <w:b/>
                <w:sz w:val="24"/>
                <w:szCs w:val="24"/>
                <w:lang w:val="en-US"/>
              </w:rPr>
              <w:t>Modified by RAASi use?</w:t>
            </w:r>
          </w:p>
        </w:tc>
        <w:tc>
          <w:tcPr>
            <w:tcW w:w="1274" w:type="pct"/>
            <w:gridSpan w:val="2"/>
            <w:shd w:val="clear" w:color="auto" w:fill="E7E6E6" w:themeFill="background2"/>
            <w:tcMar>
              <w:left w:w="57" w:type="dxa"/>
            </w:tcMar>
            <w:vAlign w:val="center"/>
          </w:tcPr>
          <w:p w14:paraId="04D55ACD" w14:textId="77777777" w:rsidR="008F3905" w:rsidRPr="00F776F7" w:rsidRDefault="008F3905" w:rsidP="00EB7A3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776F7">
              <w:rPr>
                <w:b/>
                <w:sz w:val="24"/>
                <w:szCs w:val="24"/>
                <w:lang w:val="en-US"/>
              </w:rPr>
              <w:t>Modified by K</w:t>
            </w:r>
            <w:r w:rsidRPr="00F776F7">
              <w:rPr>
                <w:b/>
                <w:sz w:val="24"/>
                <w:szCs w:val="24"/>
                <w:vertAlign w:val="superscript"/>
                <w:lang w:val="en-US"/>
              </w:rPr>
              <w:t>+</w:t>
            </w:r>
            <w:r w:rsidRPr="00F776F7">
              <w:rPr>
                <w:b/>
                <w:sz w:val="24"/>
                <w:szCs w:val="24"/>
                <w:lang w:val="en-US"/>
              </w:rPr>
              <w:t xml:space="preserve"> levels?</w:t>
            </w:r>
          </w:p>
        </w:tc>
      </w:tr>
      <w:tr w:rsidR="008F3905" w:rsidRPr="00F776F7" w14:paraId="3A9C8CE1" w14:textId="77777777" w:rsidTr="00EB7A3C">
        <w:trPr>
          <w:trHeight w:val="295"/>
        </w:trPr>
        <w:tc>
          <w:tcPr>
            <w:tcW w:w="1210" w:type="pct"/>
            <w:tcMar>
              <w:left w:w="57" w:type="dxa"/>
            </w:tcMar>
            <w:vAlign w:val="center"/>
          </w:tcPr>
          <w:p w14:paraId="604A8AE6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Progression (NYHA)</w:t>
            </w:r>
          </w:p>
        </w:tc>
        <w:tc>
          <w:tcPr>
            <w:tcW w:w="1213" w:type="pct"/>
            <w:shd w:val="clear" w:color="auto" w:fill="auto"/>
            <w:tcMar>
              <w:left w:w="57" w:type="dxa"/>
            </w:tcMar>
            <w:vAlign w:val="center"/>
          </w:tcPr>
          <w:p w14:paraId="26BF70B3" w14:textId="0CBEEA31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Yao et al.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01088A" w:rsidRPr="00F776F7">
              <w:rPr>
                <w:sz w:val="24"/>
                <w:szCs w:val="24"/>
                <w:lang w:val="en-US"/>
              </w:rPr>
              <w:instrText xml:space="preserve"> ADDIN EN.CITE &lt;EndNote&gt;&lt;Cite&gt;&lt;Author&gt;Yao&lt;/Author&gt;&lt;Year&gt;2007&lt;/Year&gt;&lt;RecNum&gt;53&lt;/RecNum&gt;&lt;DisplayText&gt;&lt;style face="superscript"&gt;1&lt;/style&gt;&lt;/DisplayText&gt;&lt;record&gt;&lt;rec-number&gt;53&lt;/rec-number&gt;&lt;foreign-keys&gt;&lt;key app="EN" db-id="0dd9vfr0h5r9seeps0expepexftfz2pwwd25" timestamp="1502200346"&gt;53&lt;/key&gt;&lt;/foreign-keys&gt;&lt;ref-type name="Journal Article"&gt;17&lt;/ref-type&gt;&lt;contributors&gt;&lt;authors&gt;&lt;author&gt;Yao, Guiqing&lt;/author&gt;&lt;author&gt;Freemantle, Nick&lt;/author&gt;&lt;author&gt;Calvert, Melanie J&lt;/author&gt;&lt;author&gt;Bryan, Stirling&lt;/author&gt;&lt;author&gt;Daubert, Jean-Claude&lt;/author&gt;&lt;author&gt;Cleland, John GF&lt;/author&gt;&lt;/authors&gt;&lt;/contributors&gt;&lt;titles&gt;&lt;title&gt;The long-term cost-effectiveness of cardiac resynchronization therapy with or without an implantable cardioverter-defibrillator&lt;/title&gt;&lt;secondary-title&gt;European heart journal&lt;/secondary-title&gt;&lt;/titles&gt;&lt;periodical&gt;&lt;full-title&gt;European heart journal&lt;/full-title&gt;&lt;/periodical&gt;&lt;pages&gt;42-51&lt;/pages&gt;&lt;volume&gt;28&lt;/volume&gt;&lt;number&gt;1&lt;/number&gt;&lt;dates&gt;&lt;year&gt;2007&lt;/year&gt;&lt;/dates&gt;&lt;isbn&gt;0195-668X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1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2" w:type="pct"/>
            <w:shd w:val="clear" w:color="auto" w:fill="auto"/>
            <w:tcMar>
              <w:left w:w="57" w:type="dxa"/>
            </w:tcMar>
            <w:vAlign w:val="center"/>
          </w:tcPr>
          <w:p w14:paraId="19534006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51" w:type="pct"/>
            <w:shd w:val="clear" w:color="auto" w:fill="auto"/>
            <w:tcMar>
              <w:left w:w="57" w:type="dxa"/>
            </w:tcMar>
            <w:vAlign w:val="center"/>
          </w:tcPr>
          <w:p w14:paraId="29CBD41D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Appropriate data not identified</w:t>
            </w:r>
          </w:p>
        </w:tc>
        <w:tc>
          <w:tcPr>
            <w:tcW w:w="145" w:type="pct"/>
            <w:shd w:val="clear" w:color="auto" w:fill="auto"/>
            <w:tcMar>
              <w:left w:w="57" w:type="dxa"/>
            </w:tcMar>
            <w:vAlign w:val="center"/>
          </w:tcPr>
          <w:p w14:paraId="0B951D47" w14:textId="77777777" w:rsidR="008F3905" w:rsidRPr="00F776F7" w:rsidRDefault="008F3905" w:rsidP="00EB7A3C">
            <w:pPr>
              <w:spacing w:line="240" w:lineRule="auto"/>
              <w:ind w:left="450" w:hanging="450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B"/>
            </w:r>
          </w:p>
        </w:tc>
        <w:tc>
          <w:tcPr>
            <w:tcW w:w="1129" w:type="pct"/>
            <w:shd w:val="clear" w:color="auto" w:fill="auto"/>
            <w:tcMar>
              <w:left w:w="57" w:type="dxa"/>
            </w:tcMar>
            <w:vAlign w:val="center"/>
          </w:tcPr>
          <w:p w14:paraId="7290DDDE" w14:textId="77777777" w:rsidR="008F3905" w:rsidRPr="00F776F7" w:rsidRDefault="008F3905" w:rsidP="00EB7A3C">
            <w:pPr>
              <w:spacing w:line="240" w:lineRule="auto"/>
              <w:ind w:left="9" w:hanging="9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8F3905" w:rsidRPr="00F776F7" w14:paraId="79381ECC" w14:textId="77777777" w:rsidTr="00EB7A3C">
        <w:trPr>
          <w:trHeight w:val="295"/>
        </w:trPr>
        <w:tc>
          <w:tcPr>
            <w:tcW w:w="1210" w:type="pct"/>
            <w:tcMar>
              <w:left w:w="57" w:type="dxa"/>
            </w:tcMar>
            <w:vAlign w:val="center"/>
          </w:tcPr>
          <w:p w14:paraId="22D557B3" w14:textId="0D725480" w:rsidR="008F3905" w:rsidRPr="00F776F7" w:rsidRDefault="000D6782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 xml:space="preserve">Acute </w:t>
            </w:r>
            <w:r w:rsidR="00F776F7" w:rsidRPr="00F776F7">
              <w:rPr>
                <w:sz w:val="24"/>
                <w:szCs w:val="24"/>
                <w:lang w:val="en-US"/>
              </w:rPr>
              <w:t>hyperkalemia</w:t>
            </w:r>
            <w:r w:rsidRPr="00F776F7">
              <w:rPr>
                <w:sz w:val="24"/>
                <w:szCs w:val="24"/>
                <w:lang w:val="en-US"/>
              </w:rPr>
              <w:t xml:space="preserve"> </w:t>
            </w:r>
            <w:r w:rsidR="008F3905" w:rsidRPr="00F776F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3" w:type="pct"/>
            <w:shd w:val="clear" w:color="auto" w:fill="auto"/>
            <w:tcMar>
              <w:left w:w="57" w:type="dxa"/>
            </w:tcMar>
            <w:vAlign w:val="center"/>
          </w:tcPr>
          <w:p w14:paraId="6D923E33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Incidence of K</w:t>
            </w:r>
            <w:r w:rsidRPr="00F776F7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F776F7">
              <w:rPr>
                <w:sz w:val="24"/>
                <w:szCs w:val="24"/>
                <w:lang w:val="en-US"/>
              </w:rPr>
              <w:t xml:space="preserve"> above threshold</w:t>
            </w:r>
          </w:p>
        </w:tc>
        <w:tc>
          <w:tcPr>
            <w:tcW w:w="152" w:type="pct"/>
            <w:shd w:val="clear" w:color="auto" w:fill="auto"/>
            <w:tcMar>
              <w:left w:w="57" w:type="dxa"/>
            </w:tcMar>
            <w:vAlign w:val="center"/>
          </w:tcPr>
          <w:p w14:paraId="1E691201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B"/>
            </w:r>
          </w:p>
        </w:tc>
        <w:tc>
          <w:tcPr>
            <w:tcW w:w="1151" w:type="pct"/>
            <w:shd w:val="clear" w:color="auto" w:fill="auto"/>
            <w:tcMar>
              <w:left w:w="57" w:type="dxa"/>
            </w:tcMar>
            <w:vAlign w:val="center"/>
          </w:tcPr>
          <w:p w14:paraId="3FE4845C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5" w:type="pct"/>
            <w:shd w:val="clear" w:color="auto" w:fill="auto"/>
            <w:tcMar>
              <w:left w:w="57" w:type="dxa"/>
            </w:tcMar>
            <w:vAlign w:val="center"/>
          </w:tcPr>
          <w:p w14:paraId="3CB688A7" w14:textId="77777777" w:rsidR="008F3905" w:rsidRPr="00F776F7" w:rsidRDefault="008F3905" w:rsidP="00EB7A3C">
            <w:pPr>
              <w:spacing w:line="240" w:lineRule="auto"/>
              <w:ind w:left="450" w:hanging="450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29" w:type="pct"/>
            <w:shd w:val="clear" w:color="auto" w:fill="auto"/>
            <w:tcMar>
              <w:left w:w="57" w:type="dxa"/>
            </w:tcMar>
            <w:vAlign w:val="center"/>
          </w:tcPr>
          <w:p w14:paraId="41A5303B" w14:textId="77777777" w:rsidR="008F3905" w:rsidRPr="00F776F7" w:rsidRDefault="008F3905" w:rsidP="00EB7A3C">
            <w:pPr>
              <w:spacing w:line="240" w:lineRule="auto"/>
              <w:ind w:left="9" w:hanging="9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By definition</w:t>
            </w:r>
          </w:p>
        </w:tc>
      </w:tr>
      <w:tr w:rsidR="008F3905" w:rsidRPr="00F776F7" w14:paraId="1C1DA22B" w14:textId="77777777" w:rsidTr="00EB7A3C">
        <w:trPr>
          <w:trHeight w:val="295"/>
        </w:trPr>
        <w:tc>
          <w:tcPr>
            <w:tcW w:w="1210" w:type="pct"/>
            <w:shd w:val="clear" w:color="auto" w:fill="auto"/>
            <w:tcMar>
              <w:left w:w="57" w:type="dxa"/>
            </w:tcMar>
            <w:vAlign w:val="center"/>
          </w:tcPr>
          <w:p w14:paraId="7902705E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RAASi discontinuation</w:t>
            </w:r>
          </w:p>
        </w:tc>
        <w:tc>
          <w:tcPr>
            <w:tcW w:w="1213" w:type="pct"/>
            <w:shd w:val="clear" w:color="auto" w:fill="auto"/>
            <w:tcMar>
              <w:left w:w="57" w:type="dxa"/>
            </w:tcMar>
            <w:vAlign w:val="center"/>
          </w:tcPr>
          <w:p w14:paraId="6D9DB484" w14:textId="5788BA05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By dose; Epstein et al.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FB4BD6">
              <w:rPr>
                <w:sz w:val="24"/>
                <w:szCs w:val="24"/>
                <w:lang w:val="en-US"/>
              </w:rPr>
              <w:instrText xml:space="preserve"> ADDIN EN.CITE &lt;EndNote&gt;&lt;Cite&gt;&lt;Author&gt;Epstein&lt;/Author&gt;&lt;Year&gt;2015&lt;/Year&gt;&lt;RecNum&gt;16&lt;/RecNum&gt;&lt;DisplayText&gt;&lt;style face="superscript"&gt;2&lt;/style&gt;&lt;/DisplayText&gt;&lt;record&gt;&lt;rec-number&gt;16&lt;/rec-number&gt;&lt;foreign-keys&gt;&lt;key app="EN" db-id="vdwfswpez9faadext2ivs5t7asfaxva9ds22" timestamp="1511958806"&gt;16&lt;/key&gt;&lt;/foreign-keys&gt;&lt;ref-type name="Journal Article"&gt;17&lt;/ref-type&gt;&lt;contributors&gt;&lt;authors&gt;&lt;author&gt;Epstein, Murray&lt;/author&gt;&lt;author&gt;Reaven, Nancy L&lt;/author&gt;&lt;author&gt;Funk, Susan E&lt;/author&gt;&lt;author&gt;McGaughey, Karen J&lt;/author&gt;&lt;author&gt;Oestreicher, Nina&lt;/author&gt;&lt;author&gt;Knispel, John&lt;/author&gt;&lt;/authors&gt;&lt;/contributors&gt;&lt;titles&gt;&lt;title&gt;Evaluation of the treatment gap between clinical guidelines and the utilization of renin-angiotensin-aldosterone system inhibitors&lt;/title&gt;&lt;secondary-title&gt;The American journal of managed care&lt;/secondary-title&gt;&lt;/titles&gt;&lt;periodical&gt;&lt;full-title&gt;The American journal of managed care&lt;/full-title&gt;&lt;/periodical&gt;&lt;pages&gt;s212-20&lt;/pages&gt;&lt;volume&gt;21&lt;/volume&gt;&lt;number&gt;11 Suppl&lt;/number&gt;&lt;dates&gt;&lt;year&gt;2015&lt;/year&gt;&lt;/dates&gt;&lt;isbn&gt;1088-0224&lt;/isbn&gt;&lt;urls&gt;&lt;/urls&gt;&lt;/record&gt;&lt;/Cite&gt;&lt;/EndNote&gt;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2" w:type="pct"/>
            <w:shd w:val="clear" w:color="auto" w:fill="auto"/>
            <w:tcMar>
              <w:left w:w="57" w:type="dxa"/>
            </w:tcMar>
            <w:vAlign w:val="center"/>
          </w:tcPr>
          <w:p w14:paraId="56231B38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51" w:type="pct"/>
            <w:shd w:val="clear" w:color="auto" w:fill="auto"/>
            <w:tcMar>
              <w:left w:w="57" w:type="dxa"/>
            </w:tcMar>
            <w:vAlign w:val="center"/>
          </w:tcPr>
          <w:p w14:paraId="1BD82982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By definition</w:t>
            </w:r>
          </w:p>
        </w:tc>
        <w:tc>
          <w:tcPr>
            <w:tcW w:w="145" w:type="pct"/>
            <w:shd w:val="clear" w:color="auto" w:fill="auto"/>
            <w:tcMar>
              <w:left w:w="57" w:type="dxa"/>
            </w:tcMar>
            <w:vAlign w:val="center"/>
          </w:tcPr>
          <w:p w14:paraId="4EBD24DC" w14:textId="77777777" w:rsidR="008F3905" w:rsidRPr="00F776F7" w:rsidRDefault="008F3905" w:rsidP="00EB7A3C">
            <w:pPr>
              <w:spacing w:line="240" w:lineRule="auto"/>
              <w:ind w:left="450" w:hanging="450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29" w:type="pct"/>
            <w:shd w:val="clear" w:color="auto" w:fill="auto"/>
            <w:tcMar>
              <w:left w:w="57" w:type="dxa"/>
            </w:tcMar>
            <w:vAlign w:val="center"/>
          </w:tcPr>
          <w:p w14:paraId="493BF472" w14:textId="74A4E545" w:rsidR="008F3905" w:rsidRPr="00F776F7" w:rsidRDefault="008F3905" w:rsidP="00EB7A3C">
            <w:pPr>
              <w:spacing w:line="240" w:lineRule="auto"/>
              <w:ind w:left="9" w:hanging="9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By K</w:t>
            </w:r>
            <w:r w:rsidRPr="00F776F7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F776F7">
              <w:rPr>
                <w:sz w:val="24"/>
                <w:szCs w:val="24"/>
                <w:lang w:val="en-US"/>
              </w:rPr>
              <w:t xml:space="preserve"> category; Epstein et al.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FB4BD6">
              <w:rPr>
                <w:sz w:val="24"/>
                <w:szCs w:val="24"/>
                <w:lang w:val="en-US"/>
              </w:rPr>
              <w:instrText xml:space="preserve"> ADDIN EN.CITE &lt;EndNote&gt;&lt;Cite&gt;&lt;Author&gt;Epstein&lt;/Author&gt;&lt;Year&gt;2015&lt;/Year&gt;&lt;RecNum&gt;16&lt;/RecNum&gt;&lt;DisplayText&gt;&lt;style face="superscript"&gt;2&lt;/style&gt;&lt;/DisplayText&gt;&lt;record&gt;&lt;rec-number&gt;16&lt;/rec-number&gt;&lt;foreign-keys&gt;&lt;key app="EN" db-id="vdwfswpez9faadext2ivs5t7asfaxva9ds22" timestamp="1511958806"&gt;16&lt;/key&gt;&lt;/foreign-keys&gt;&lt;ref-type name="Journal Article"&gt;17&lt;/ref-type&gt;&lt;contributors&gt;&lt;authors&gt;&lt;author&gt;Epstein, Murray&lt;/author&gt;&lt;author&gt;Reaven, Nancy L&lt;/author&gt;&lt;author&gt;Funk, Susan E&lt;/author&gt;&lt;author&gt;McGaughey, Karen J&lt;/author&gt;&lt;author&gt;Oestreicher, Nina&lt;/author&gt;&lt;author&gt;Knispel, John&lt;/author&gt;&lt;/authors&gt;&lt;/contributors&gt;&lt;titles&gt;&lt;title&gt;Evaluation of the treatment gap between clinical guidelines and the utilization of renin-angiotensin-aldosterone system inhibitors&lt;/title&gt;&lt;secondary-title&gt;The American journal of managed care&lt;/secondary-title&gt;&lt;/titles&gt;&lt;periodical&gt;&lt;full-title&gt;The American journal of managed care&lt;/full-title&gt;&lt;/periodical&gt;&lt;pages&gt;s212-20&lt;/pages&gt;&lt;volume&gt;21&lt;/volume&gt;&lt;number&gt;11 Suppl&lt;/number&gt;&lt;dates&gt;&lt;year&gt;2015&lt;/year&gt;&lt;/dates&gt;&lt;isbn&gt;1088-0224&lt;/isbn&gt;&lt;urls&gt;&lt;/urls&gt;&lt;/record&gt;&lt;/Cite&gt;&lt;/EndNote&gt;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8F3905" w:rsidRPr="00F776F7" w14:paraId="080A905F" w14:textId="77777777" w:rsidTr="00EB7A3C">
        <w:trPr>
          <w:trHeight w:val="295"/>
        </w:trPr>
        <w:tc>
          <w:tcPr>
            <w:tcW w:w="1210" w:type="pct"/>
            <w:shd w:val="clear" w:color="auto" w:fill="auto"/>
            <w:tcMar>
              <w:left w:w="57" w:type="dxa"/>
            </w:tcMar>
            <w:vAlign w:val="center"/>
          </w:tcPr>
          <w:p w14:paraId="37E2FC8D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RAASi down-titration</w:t>
            </w:r>
          </w:p>
        </w:tc>
        <w:tc>
          <w:tcPr>
            <w:tcW w:w="1213" w:type="pct"/>
            <w:shd w:val="clear" w:color="auto" w:fill="auto"/>
            <w:tcMar>
              <w:left w:w="57" w:type="dxa"/>
            </w:tcMar>
            <w:vAlign w:val="center"/>
          </w:tcPr>
          <w:p w14:paraId="19FF7827" w14:textId="6D1842B5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By dose; Epstein et al.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FB4BD6">
              <w:rPr>
                <w:sz w:val="24"/>
                <w:szCs w:val="24"/>
                <w:lang w:val="en-US"/>
              </w:rPr>
              <w:instrText xml:space="preserve"> ADDIN EN.CITE &lt;EndNote&gt;&lt;Cite&gt;&lt;Author&gt;Epstein&lt;/Author&gt;&lt;Year&gt;2015&lt;/Year&gt;&lt;RecNum&gt;16&lt;/RecNum&gt;&lt;DisplayText&gt;&lt;style face="superscript"&gt;2&lt;/style&gt;&lt;/DisplayText&gt;&lt;record&gt;&lt;rec-number&gt;16&lt;/rec-number&gt;&lt;foreign-keys&gt;&lt;key app="EN" db-id="vdwfswpez9faadext2ivs5t7asfaxva9ds22" timestamp="1511958806"&gt;16&lt;/key&gt;&lt;/foreign-keys&gt;&lt;ref-type name="Journal Article"&gt;17&lt;/ref-type&gt;&lt;contributors&gt;&lt;authors&gt;&lt;author&gt;Epstein, Murray&lt;/author&gt;&lt;author&gt;Reaven, Nancy L&lt;/author&gt;&lt;author&gt;Funk, Susan E&lt;/author&gt;&lt;author&gt;McGaughey, Karen J&lt;/author&gt;&lt;author&gt;Oestreicher, Nina&lt;/author&gt;&lt;author&gt;Knispel, John&lt;/author&gt;&lt;/authors&gt;&lt;/contributors&gt;&lt;titles&gt;&lt;title&gt;Evaluation of the treatment gap between clinical guidelines and the utilization of renin-angiotensin-aldosterone system inhibitors&lt;/title&gt;&lt;secondary-title&gt;The American journal of managed care&lt;/secondary-title&gt;&lt;/titles&gt;&lt;periodical&gt;&lt;full-title&gt;The American journal of managed care&lt;/full-title&gt;&lt;/periodical&gt;&lt;pages&gt;s212-20&lt;/pages&gt;&lt;volume&gt;21&lt;/volume&gt;&lt;number&gt;11 Suppl&lt;/number&gt;&lt;dates&gt;&lt;year&gt;2015&lt;/year&gt;&lt;/dates&gt;&lt;isbn&gt;1088-0224&lt;/isbn&gt;&lt;urls&gt;&lt;/urls&gt;&lt;/record&gt;&lt;/Cite&gt;&lt;/EndNote&gt;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2" w:type="pct"/>
            <w:shd w:val="clear" w:color="auto" w:fill="auto"/>
            <w:tcMar>
              <w:left w:w="57" w:type="dxa"/>
            </w:tcMar>
            <w:vAlign w:val="center"/>
          </w:tcPr>
          <w:p w14:paraId="78B13C38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51" w:type="pct"/>
            <w:shd w:val="clear" w:color="auto" w:fill="auto"/>
            <w:tcMar>
              <w:left w:w="57" w:type="dxa"/>
            </w:tcMar>
            <w:vAlign w:val="center"/>
          </w:tcPr>
          <w:p w14:paraId="42601832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By definition</w:t>
            </w:r>
          </w:p>
        </w:tc>
        <w:tc>
          <w:tcPr>
            <w:tcW w:w="145" w:type="pct"/>
            <w:shd w:val="clear" w:color="auto" w:fill="auto"/>
            <w:tcMar>
              <w:left w:w="57" w:type="dxa"/>
            </w:tcMar>
            <w:vAlign w:val="center"/>
          </w:tcPr>
          <w:p w14:paraId="7B8D06B5" w14:textId="77777777" w:rsidR="008F3905" w:rsidRPr="00F776F7" w:rsidRDefault="008F3905" w:rsidP="00EB7A3C">
            <w:pPr>
              <w:spacing w:line="240" w:lineRule="auto"/>
              <w:ind w:left="450" w:hanging="450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29" w:type="pct"/>
            <w:shd w:val="clear" w:color="auto" w:fill="auto"/>
            <w:tcMar>
              <w:left w:w="57" w:type="dxa"/>
            </w:tcMar>
            <w:vAlign w:val="center"/>
          </w:tcPr>
          <w:p w14:paraId="6C475812" w14:textId="5C92AFCE" w:rsidR="008F3905" w:rsidRPr="00F776F7" w:rsidRDefault="008F3905" w:rsidP="00EB7A3C">
            <w:pPr>
              <w:spacing w:line="240" w:lineRule="auto"/>
              <w:ind w:left="9" w:hanging="9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By K</w:t>
            </w:r>
            <w:r w:rsidRPr="00F776F7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F776F7">
              <w:rPr>
                <w:sz w:val="24"/>
                <w:szCs w:val="24"/>
                <w:lang w:val="en-US"/>
              </w:rPr>
              <w:t xml:space="preserve"> category; Epstein et al.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FB4BD6">
              <w:rPr>
                <w:sz w:val="24"/>
                <w:szCs w:val="24"/>
                <w:lang w:val="en-US"/>
              </w:rPr>
              <w:instrText xml:space="preserve"> ADDIN EN.CITE &lt;EndNote&gt;&lt;Cite&gt;&lt;Author&gt;Epstein&lt;/Author&gt;&lt;Year&gt;2015&lt;/Year&gt;&lt;RecNum&gt;16&lt;/RecNum&gt;&lt;DisplayText&gt;&lt;style face="superscript"&gt;2&lt;/style&gt;&lt;/DisplayText&gt;&lt;record&gt;&lt;rec-number&gt;16&lt;/rec-number&gt;&lt;foreign-keys&gt;&lt;key app="EN" db-id="vdwfswpez9faadext2ivs5t7asfaxva9ds22" timestamp="1511958806"&gt;16&lt;/key&gt;&lt;/foreign-keys&gt;&lt;ref-type name="Journal Article"&gt;17&lt;/ref-type&gt;&lt;contributors&gt;&lt;authors&gt;&lt;author&gt;Epstein, Murray&lt;/author&gt;&lt;author&gt;Reaven, Nancy L&lt;/author&gt;&lt;author&gt;Funk, Susan E&lt;/author&gt;&lt;author&gt;McGaughey, Karen J&lt;/author&gt;&lt;author&gt;Oestreicher, Nina&lt;/author&gt;&lt;author&gt;Knispel, John&lt;/author&gt;&lt;/authors&gt;&lt;/contributors&gt;&lt;titles&gt;&lt;title&gt;Evaluation of the treatment gap between clinical guidelines and the utilization of renin-angiotensin-aldosterone system inhibitors&lt;/title&gt;&lt;secondary-title&gt;The American journal of managed care&lt;/secondary-title&gt;&lt;/titles&gt;&lt;periodical&gt;&lt;full-title&gt;The American journal of managed care&lt;/full-title&gt;&lt;/periodical&gt;&lt;pages&gt;s212-20&lt;/pages&gt;&lt;volume&gt;21&lt;/volume&gt;&lt;number&gt;11 Suppl&lt;/number&gt;&lt;dates&gt;&lt;year&gt;2015&lt;/year&gt;&lt;/dates&gt;&lt;isbn&gt;1088-0224&lt;/isbn&gt;&lt;urls&gt;&lt;/urls&gt;&lt;/record&gt;&lt;/Cite&gt;&lt;/EndNote&gt;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8F3905" w:rsidRPr="00F776F7" w14:paraId="63541C6A" w14:textId="77777777" w:rsidTr="00EB7A3C">
        <w:trPr>
          <w:trHeight w:val="295"/>
        </w:trPr>
        <w:tc>
          <w:tcPr>
            <w:tcW w:w="1210" w:type="pct"/>
            <w:tcMar>
              <w:left w:w="57" w:type="dxa"/>
            </w:tcMar>
            <w:vAlign w:val="center"/>
          </w:tcPr>
          <w:p w14:paraId="18513A4C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Arrhythmia</w:t>
            </w:r>
          </w:p>
        </w:tc>
        <w:tc>
          <w:tcPr>
            <w:tcW w:w="1213" w:type="pct"/>
            <w:shd w:val="clear" w:color="auto" w:fill="auto"/>
            <w:tcMar>
              <w:left w:w="57" w:type="dxa"/>
            </w:tcMar>
            <w:vAlign w:val="center"/>
          </w:tcPr>
          <w:p w14:paraId="7F362868" w14:textId="7873597E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Monthly probability; Colquitt et al</w:t>
            </w:r>
            <w:r w:rsidR="0001088A" w:rsidRPr="00F776F7">
              <w:rPr>
                <w:sz w:val="24"/>
                <w:szCs w:val="24"/>
                <w:lang w:val="en-US"/>
              </w:rPr>
              <w:t>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01088A" w:rsidRPr="00F776F7">
              <w:rPr>
                <w:sz w:val="24"/>
                <w:szCs w:val="24"/>
                <w:lang w:val="en-US"/>
              </w:rPr>
              <w:instrText xml:space="preserve"> ADDIN EN.CITE &lt;EndNote&gt;&lt;Cite&gt;&lt;Author&gt;Colquitt&lt;/Author&gt;&lt;Year&gt;2014&lt;/Year&gt;&lt;RecNum&gt;18&lt;/RecNum&gt;&lt;DisplayText&gt;&lt;style face="superscript"&gt;3&lt;/style&gt;&lt;/DisplayText&gt;&lt;record&gt;&lt;rec-number&gt;18&lt;/rec-number&gt;&lt;foreign-keys&gt;&lt;key app="EN" db-id="0dd9vfr0h5r9seeps0expepexftfz2pwwd25" timestamp="1502107697"&gt;18&lt;/key&gt;&lt;/foreign-keys&gt;&lt;ref-type name="Journal Article"&gt;17&lt;/ref-type&gt;&lt;contributors&gt;&lt;authors&gt;&lt;author&gt;Colquitt, Jill L&lt;/author&gt;&lt;author&gt;Mendes, Diana&lt;/author&gt;&lt;author&gt;Clegg, Andrew J&lt;/author&gt;&lt;author&gt;Harris, Petra&lt;/author&gt;&lt;author&gt;Cooper, Keith&lt;/author&gt;&lt;author&gt;Picot, Joanna&lt;/author&gt;&lt;author&gt;Bryant, Jackie&lt;/author&gt;&lt;/authors&gt;&lt;/contributors&gt;&lt;titles&gt;&lt;title&gt;Implantable cardioverter defibrillators for the treatment of arrhythmias and cardiac resynchronisation therapy for the treatment of heart failure: systematic review and economic evaluation&lt;/title&gt;&lt;secondary-title&gt;Health Technology Assessment&lt;/secondary-title&gt;&lt;/titles&gt;&lt;periodical&gt;&lt;full-title&gt;Health Technology Assessment&lt;/full-title&gt;&lt;/periodical&gt;&lt;volume&gt;18&lt;/volume&gt;&lt;number&gt;56&lt;/number&gt;&lt;dates&gt;&lt;year&gt;2014&lt;/year&gt;&lt;/dates&gt;&lt;urls&gt;&lt;/urls&gt;&lt;/record&gt;&lt;/Cite&gt;&lt;/EndNote&gt;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3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2" w:type="pct"/>
            <w:shd w:val="clear" w:color="auto" w:fill="auto"/>
            <w:tcMar>
              <w:left w:w="57" w:type="dxa"/>
            </w:tcMar>
            <w:vAlign w:val="center"/>
          </w:tcPr>
          <w:p w14:paraId="5BB923D4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B"/>
            </w:r>
          </w:p>
        </w:tc>
        <w:tc>
          <w:tcPr>
            <w:tcW w:w="1151" w:type="pct"/>
            <w:shd w:val="clear" w:color="auto" w:fill="auto"/>
            <w:tcMar>
              <w:left w:w="57" w:type="dxa"/>
            </w:tcMar>
            <w:vAlign w:val="center"/>
          </w:tcPr>
          <w:p w14:paraId="68A05434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5" w:type="pct"/>
            <w:shd w:val="clear" w:color="auto" w:fill="auto"/>
            <w:tcMar>
              <w:left w:w="57" w:type="dxa"/>
            </w:tcMar>
            <w:vAlign w:val="center"/>
          </w:tcPr>
          <w:p w14:paraId="69CB4713" w14:textId="77777777" w:rsidR="008F3905" w:rsidRPr="00F776F7" w:rsidRDefault="008F3905" w:rsidP="00EB7A3C">
            <w:pPr>
              <w:spacing w:line="240" w:lineRule="auto"/>
              <w:ind w:left="450" w:hanging="450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29" w:type="pct"/>
            <w:shd w:val="clear" w:color="auto" w:fill="auto"/>
            <w:tcMar>
              <w:left w:w="57" w:type="dxa"/>
            </w:tcMar>
            <w:vAlign w:val="center"/>
          </w:tcPr>
          <w:p w14:paraId="36728B3B" w14:textId="098E7514" w:rsidR="008F3905" w:rsidRPr="00F776F7" w:rsidRDefault="008F3905" w:rsidP="00EB7A3C">
            <w:pPr>
              <w:spacing w:line="240" w:lineRule="auto"/>
              <w:ind w:left="9" w:hanging="9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Assumed same as CKD; Luo et al.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FB4BD6">
              <w:rPr>
                <w:sz w:val="24"/>
                <w:szCs w:val="24"/>
                <w:lang w:val="en-US"/>
              </w:rPr>
              <w:instrText xml:space="preserve"> ADDIN EN.CITE &lt;EndNote&gt;&lt;Cite&gt;&lt;Author&gt;Luo&lt;/Author&gt;&lt;Year&gt;2016&lt;/Year&gt;&lt;RecNum&gt;5&lt;/RecNum&gt;&lt;DisplayText&gt;&lt;style face="superscript"&gt;4&lt;/style&gt;&lt;/DisplayText&gt;&lt;record&gt;&lt;rec-number&gt;5&lt;/rec-number&gt;&lt;foreign-keys&gt;&lt;key app="EN" db-id="vdwfswpez9faadext2ivs5t7asfaxva9ds22" timestamp="1501167231"&gt;5&lt;/key&gt;&lt;/foreign-keys&gt;&lt;ref-type name="Journal Article"&gt;17&lt;/ref-type&gt;&lt;contributors&gt;&lt;authors&gt;&lt;author&gt;Luo, Jiacong&lt;/author&gt;&lt;author&gt;Brunelli, Steven M&lt;/author&gt;&lt;author&gt;Jensen, Donna E&lt;/author&gt;&lt;author&gt;Yang, Alex&lt;/author&gt;&lt;/authors&gt;&lt;/contributors&gt;&lt;titles&gt;&lt;title&gt;Association between serum potassium and outcomes in patients with reduced kidney function&lt;/title&gt;&lt;secondary-title&gt;Clinical Journal of the American Society of Nephrology&lt;/secondary-title&gt;&lt;/titles&gt;&lt;periodical&gt;&lt;full-title&gt;Clinical journal of the American Society of Nephrology&lt;/full-title&gt;&lt;/periodical&gt;&lt;pages&gt;90-100&lt;/pages&gt;&lt;volume&gt;11&lt;/volume&gt;&lt;number&gt;1&lt;/number&gt;&lt;dates&gt;&lt;year&gt;2016&lt;/year&gt;&lt;/dates&gt;&lt;isbn&gt;1555-9041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8F3905" w:rsidRPr="00F776F7" w14:paraId="20869C66" w14:textId="77777777" w:rsidTr="00EB7A3C">
        <w:trPr>
          <w:trHeight w:val="295"/>
        </w:trPr>
        <w:tc>
          <w:tcPr>
            <w:tcW w:w="1210" w:type="pct"/>
            <w:tcMar>
              <w:left w:w="57" w:type="dxa"/>
            </w:tcMar>
            <w:vAlign w:val="center"/>
          </w:tcPr>
          <w:p w14:paraId="2CD30160" w14:textId="52C44733" w:rsidR="008F3905" w:rsidRPr="00F776F7" w:rsidRDefault="00F776F7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Hospitalization</w:t>
            </w:r>
          </w:p>
        </w:tc>
        <w:tc>
          <w:tcPr>
            <w:tcW w:w="1213" w:type="pct"/>
            <w:shd w:val="clear" w:color="auto" w:fill="auto"/>
            <w:tcMar>
              <w:left w:w="57" w:type="dxa"/>
            </w:tcMar>
            <w:vAlign w:val="center"/>
          </w:tcPr>
          <w:p w14:paraId="35E884CF" w14:textId="7C3D1DA6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By NYHA class; Ford et al.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01088A" w:rsidRPr="00F776F7">
              <w:rPr>
                <w:sz w:val="24"/>
                <w:szCs w:val="24"/>
                <w:lang w:val="en-US"/>
              </w:rPr>
              <w:instrText xml:space="preserve"> ADDIN EN.CITE &lt;EndNote&gt;&lt;Cite&gt;&lt;Author&gt;Ford&lt;/Author&gt;&lt;Year&gt;2012&lt;/Year&gt;&lt;RecNum&gt;55&lt;/RecNum&gt;&lt;DisplayText&gt;&lt;style face="superscript"&gt;5&lt;/style&gt;&lt;/DisplayText&gt;&lt;record&gt;&lt;rec-number&gt;55&lt;/rec-number&gt;&lt;foreign-keys&gt;&lt;key app="EN" db-id="0dd9vfr0h5r9seeps0expepexftfz2pwwd25" timestamp="1502200347"&gt;55&lt;/key&gt;&lt;/foreign-keys&gt;&lt;ref-type name="Journal Article"&gt;17&lt;/ref-type&gt;&lt;contributors&gt;&lt;authors&gt;&lt;author&gt;Ford, Emily&lt;/author&gt;&lt;author&gt;Adams, Jon&lt;/author&gt;&lt;author&gt;Graves, Nicholas&lt;/author&gt;&lt;/authors&gt;&lt;/contributors&gt;&lt;titles&gt;&lt;title&gt;Development of an economic model to assess the cost-effectiveness of hawthorn extract as an adjunct treatment for heart failure in Australia&lt;/title&gt;&lt;secondary-title&gt;BMJ open&lt;/secondary-title&gt;&lt;/titles&gt;&lt;periodical&gt;&lt;full-title&gt;BMJ open&lt;/full-title&gt;&lt;/periodical&gt;&lt;pages&gt;e001094&lt;/pages&gt;&lt;volume&gt;2&lt;/volume&gt;&lt;number&gt;5&lt;/number&gt;&lt;dates&gt;&lt;year&gt;2012&lt;/year&gt;&lt;/dates&gt;&lt;isbn&gt;2044-6055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2" w:type="pct"/>
            <w:shd w:val="clear" w:color="auto" w:fill="auto"/>
            <w:tcMar>
              <w:left w:w="57" w:type="dxa"/>
            </w:tcMar>
            <w:vAlign w:val="center"/>
          </w:tcPr>
          <w:p w14:paraId="343BD73C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51" w:type="pct"/>
            <w:shd w:val="clear" w:color="auto" w:fill="auto"/>
            <w:tcMar>
              <w:left w:w="57" w:type="dxa"/>
            </w:tcMar>
            <w:vAlign w:val="center"/>
          </w:tcPr>
          <w:p w14:paraId="76BCF10F" w14:textId="2CE3262C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OR any versus none; Flather et al</w:t>
            </w:r>
            <w:r w:rsidR="0001088A" w:rsidRPr="00F776F7">
              <w:rPr>
                <w:sz w:val="24"/>
                <w:szCs w:val="24"/>
                <w:lang w:val="en-US"/>
              </w:rPr>
              <w:t>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01088A" w:rsidRPr="00F776F7">
              <w:rPr>
                <w:sz w:val="24"/>
                <w:szCs w:val="24"/>
                <w:lang w:val="en-US"/>
              </w:rPr>
              <w:instrText xml:space="preserve"> ADDIN EN.CITE &lt;EndNote&gt;&lt;Cite&gt;&lt;Author&gt;Flather&lt;/Author&gt;&lt;Year&gt;2000&lt;/Year&gt;&lt;RecNum&gt;56&lt;/RecNum&gt;&lt;DisplayText&gt;&lt;style face="superscript"&gt;6&lt;/style&gt;&lt;/DisplayText&gt;&lt;record&gt;&lt;rec-number&gt;56&lt;/rec-number&gt;&lt;foreign-keys&gt;&lt;key app="EN" db-id="0dd9vfr0h5r9seeps0expepexftfz2pwwd25" timestamp="1502200347"&gt;56&lt;/key&gt;&lt;/foreign-keys&gt;&lt;ref-type name="Journal Article"&gt;17&lt;/ref-type&gt;&lt;contributors&gt;&lt;authors&gt;&lt;author&gt;Flather, Marcus D&lt;/author&gt;&lt;author&gt;Yusuf, Salim&lt;/author&gt;&lt;author&gt;Køber, Lars&lt;/author&gt;&lt;author&gt;Pfeffer, Marc&lt;/author&gt;&lt;author&gt;Hall, Alistair&lt;/author&gt;&lt;author&gt;Murray, Gordon&lt;/author&gt;&lt;author&gt;Torp-Pedersen, Christian&lt;/author&gt;&lt;author&gt;Ball, Stephen&lt;/author&gt;&lt;author&gt;Pogue, Janice&lt;/author&gt;&lt;author&gt;Moyé, Lemuel&lt;/author&gt;&lt;/authors&gt;&lt;/contributors&gt;&lt;titles&gt;&lt;title&gt;Long-term ACE-inhibitor therapy in patients with heart failure or left-ventricular dysfunction: a systematic overview of data from individual patients&lt;/title&gt;&lt;secondary-title&gt;The Lancet&lt;/secondary-title&gt;&lt;/titles&gt;&lt;periodical&gt;&lt;full-title&gt;The Lancet&lt;/full-title&gt;&lt;/periodical&gt;&lt;pages&gt;1575-1581&lt;/pages&gt;&lt;volume&gt;355&lt;/volume&gt;&lt;number&gt;9215&lt;/number&gt;&lt;dates&gt;&lt;year&gt;2000&lt;/year&gt;&lt;/dates&gt;&lt;isbn&gt;0140-6736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6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5" w:type="pct"/>
            <w:shd w:val="clear" w:color="auto" w:fill="auto"/>
            <w:tcMar>
              <w:left w:w="57" w:type="dxa"/>
            </w:tcMar>
            <w:vAlign w:val="center"/>
          </w:tcPr>
          <w:p w14:paraId="4978CB9A" w14:textId="77777777" w:rsidR="008F3905" w:rsidRPr="00F776F7" w:rsidRDefault="008F3905" w:rsidP="00EB7A3C">
            <w:pPr>
              <w:spacing w:line="240" w:lineRule="auto"/>
              <w:ind w:left="450" w:hanging="450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29" w:type="pct"/>
            <w:shd w:val="clear" w:color="auto" w:fill="auto"/>
            <w:tcMar>
              <w:left w:w="57" w:type="dxa"/>
            </w:tcMar>
            <w:vAlign w:val="center"/>
          </w:tcPr>
          <w:p w14:paraId="3A27B63A" w14:textId="5072DFDD" w:rsidR="008F3905" w:rsidRPr="00F776F7" w:rsidRDefault="008F3905" w:rsidP="00EB7A3C">
            <w:pPr>
              <w:spacing w:line="240" w:lineRule="auto"/>
              <w:ind w:left="9" w:hanging="9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Assumed same as CKD; Luo et al</w:t>
            </w:r>
            <w:r w:rsidR="0001088A" w:rsidRPr="00F776F7">
              <w:rPr>
                <w:sz w:val="24"/>
                <w:szCs w:val="24"/>
                <w:lang w:val="en-US"/>
              </w:rPr>
              <w:t>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FB4BD6">
              <w:rPr>
                <w:sz w:val="24"/>
                <w:szCs w:val="24"/>
                <w:lang w:val="en-US"/>
              </w:rPr>
              <w:instrText xml:space="preserve"> ADDIN EN.CITE &lt;EndNote&gt;&lt;Cite&gt;&lt;Author&gt;Luo&lt;/Author&gt;&lt;Year&gt;2016&lt;/Year&gt;&lt;RecNum&gt;5&lt;/RecNum&gt;&lt;DisplayText&gt;&lt;style face="superscript"&gt;4&lt;/style&gt;&lt;/DisplayText&gt;&lt;record&gt;&lt;rec-number&gt;5&lt;/rec-number&gt;&lt;foreign-keys&gt;&lt;key app="EN" db-id="vdwfswpez9faadext2ivs5t7asfaxva9ds22" timestamp="1501167231"&gt;5&lt;/key&gt;&lt;/foreign-keys&gt;&lt;ref-type name="Journal Article"&gt;17&lt;/ref-type&gt;&lt;contributors&gt;&lt;authors&gt;&lt;author&gt;Luo, Jiacong&lt;/author&gt;&lt;author&gt;Brunelli, Steven M&lt;/author&gt;&lt;author&gt;Jensen, Donna E&lt;/author&gt;&lt;author&gt;Yang, Alex&lt;/author&gt;&lt;/authors&gt;&lt;/contributors&gt;&lt;titles&gt;&lt;title&gt;Association between serum potassium and outcomes in patients with reduced kidney function&lt;/title&gt;&lt;secondary-title&gt;Clinical Journal of the American Society of Nephrology&lt;/secondary-title&gt;&lt;/titles&gt;&lt;periodical&gt;&lt;full-title&gt;Clinical journal of the American Society of Nephrology&lt;/full-title&gt;&lt;/periodical&gt;&lt;pages&gt;90-100&lt;/pages&gt;&lt;volume&gt;11&lt;/volume&gt;&lt;number&gt;1&lt;/number&gt;&lt;dates&gt;&lt;year&gt;2016&lt;/year&gt;&lt;/dates&gt;&lt;isbn&gt;1555-9041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8F3905" w:rsidRPr="00F776F7" w14:paraId="64AE7190" w14:textId="77777777" w:rsidTr="00EB7A3C">
        <w:trPr>
          <w:trHeight w:val="295"/>
        </w:trPr>
        <w:tc>
          <w:tcPr>
            <w:tcW w:w="1210" w:type="pct"/>
            <w:tcMar>
              <w:left w:w="57" w:type="dxa"/>
            </w:tcMar>
            <w:vAlign w:val="center"/>
          </w:tcPr>
          <w:p w14:paraId="672AB9E9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Mortality*</w:t>
            </w:r>
          </w:p>
        </w:tc>
        <w:tc>
          <w:tcPr>
            <w:tcW w:w="1213" w:type="pct"/>
            <w:shd w:val="clear" w:color="auto" w:fill="auto"/>
            <w:tcMar>
              <w:left w:w="57" w:type="dxa"/>
            </w:tcMar>
            <w:vAlign w:val="center"/>
          </w:tcPr>
          <w:p w14:paraId="6D2B1D12" w14:textId="4FA7524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By NYHA class and other risk factors; SHFM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01088A" w:rsidRPr="00F776F7">
              <w:rPr>
                <w:sz w:val="24"/>
                <w:szCs w:val="24"/>
                <w:lang w:val="en-US"/>
              </w:rPr>
              <w:instrText xml:space="preserve"> ADDIN EN.CITE &lt;EndNote&gt;&lt;Cite&gt;&lt;Author&gt;Levy&lt;/Author&gt;&lt;Year&gt;2006&lt;/Year&gt;&lt;RecNum&gt;58&lt;/RecNum&gt;&lt;DisplayText&gt;&lt;style face="superscript"&gt;7&lt;/style&gt;&lt;/DisplayText&gt;&lt;record&gt;&lt;rec-number&gt;58&lt;/rec-number&gt;&lt;foreign-keys&gt;&lt;key app="EN" db-id="0dd9vfr0h5r9seeps0expepexftfz2pwwd25" timestamp="1502200347"&gt;58&lt;/key&gt;&lt;/foreign-keys&gt;&lt;ref-type name="Journal Article"&gt;17&lt;/ref-type&gt;&lt;contributors&gt;&lt;authors&gt;&lt;author&gt;Levy, Wayne C&lt;/author&gt;&lt;author&gt;Mozaffarian, Dariush&lt;/author&gt;&lt;author&gt;Linker, David T&lt;/author&gt;&lt;author&gt;Sutradhar, Santosh C&lt;/author&gt;&lt;author&gt;Anker, Stefan D&lt;/author&gt;&lt;author&gt;Cropp, Anne B&lt;/author&gt;&lt;author&gt;Anand, Inder&lt;/author&gt;&lt;author&gt;Maggioni, Aldo&lt;/author&gt;&lt;author&gt;Burton, Paul&lt;/author&gt;&lt;author&gt;Sullivan, Mark D&lt;/author&gt;&lt;/authors&gt;&lt;/contributors&gt;&lt;titles&gt;&lt;title&gt;The Seattle Heart Failure Model prediction of survival in heart failure&lt;/title&gt;&lt;secondary-title&gt;Circulation&lt;/secondary-title&gt;&lt;/titles&gt;&lt;periodical&gt;&lt;full-title&gt;Circulation&lt;/full-title&gt;&lt;/periodical&gt;&lt;pages&gt;1424-1433&lt;/pages&gt;&lt;volume&gt;113&lt;/volume&gt;&lt;number&gt;11&lt;/number&gt;&lt;dates&gt;&lt;year&gt;2006&lt;/year&gt;&lt;/dates&gt;&lt;isbn&gt;0009-7322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7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2" w:type="pct"/>
            <w:shd w:val="clear" w:color="auto" w:fill="auto"/>
            <w:tcMar>
              <w:left w:w="57" w:type="dxa"/>
            </w:tcMar>
            <w:vAlign w:val="center"/>
          </w:tcPr>
          <w:p w14:paraId="2A073E4A" w14:textId="77777777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51" w:type="pct"/>
            <w:shd w:val="clear" w:color="auto" w:fill="auto"/>
            <w:tcMar>
              <w:left w:w="57" w:type="dxa"/>
            </w:tcMar>
            <w:vAlign w:val="center"/>
          </w:tcPr>
          <w:p w14:paraId="72ED755F" w14:textId="213C43A6" w:rsidR="008F3905" w:rsidRPr="00F776F7" w:rsidRDefault="008F3905" w:rsidP="00EB7A3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Any versus none; Risk factor in SHFM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01088A" w:rsidRPr="00F776F7">
              <w:rPr>
                <w:sz w:val="24"/>
                <w:szCs w:val="24"/>
                <w:lang w:val="en-US"/>
              </w:rPr>
              <w:instrText xml:space="preserve"> ADDIN EN.CITE &lt;EndNote&gt;&lt;Cite&gt;&lt;Author&gt;Levy&lt;/Author&gt;&lt;Year&gt;2006&lt;/Year&gt;&lt;RecNum&gt;58&lt;/RecNum&gt;&lt;DisplayText&gt;&lt;style face="superscript"&gt;7&lt;/style&gt;&lt;/DisplayText&gt;&lt;record&gt;&lt;rec-number&gt;58&lt;/rec-number&gt;&lt;foreign-keys&gt;&lt;key app="EN" db-id="0dd9vfr0h5r9seeps0expepexftfz2pwwd25" timestamp="1502200347"&gt;58&lt;/key&gt;&lt;/foreign-keys&gt;&lt;ref-type name="Journal Article"&gt;17&lt;/ref-type&gt;&lt;contributors&gt;&lt;authors&gt;&lt;author&gt;Levy, Wayne C&lt;/author&gt;&lt;author&gt;Mozaffarian, Dariush&lt;/author&gt;&lt;author&gt;Linker, David T&lt;/author&gt;&lt;author&gt;Sutradhar, Santosh C&lt;/author&gt;&lt;author&gt;Anker, Stefan D&lt;/author&gt;&lt;author&gt;Cropp, Anne B&lt;/author&gt;&lt;author&gt;Anand, Inder&lt;/author&gt;&lt;author&gt;Maggioni, Aldo&lt;/author&gt;&lt;author&gt;Burton, Paul&lt;/author&gt;&lt;author&gt;Sullivan, Mark D&lt;/author&gt;&lt;/authors&gt;&lt;/contributors&gt;&lt;titles&gt;&lt;title&gt;The Seattle Heart Failure Model prediction of survival in heart failure&lt;/title&gt;&lt;secondary-title&gt;Circulation&lt;/secondary-title&gt;&lt;/titles&gt;&lt;periodical&gt;&lt;full-title&gt;Circulation&lt;/full-title&gt;&lt;/periodical&gt;&lt;pages&gt;1424-1433&lt;/pages&gt;&lt;volume&gt;113&lt;/volume&gt;&lt;number&gt;11&lt;/number&gt;&lt;dates&gt;&lt;year&gt;2006&lt;/year&gt;&lt;/dates&gt;&lt;isbn&gt;0009-7322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7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5" w:type="pct"/>
            <w:shd w:val="clear" w:color="auto" w:fill="auto"/>
            <w:tcMar>
              <w:left w:w="57" w:type="dxa"/>
            </w:tcMar>
            <w:vAlign w:val="center"/>
          </w:tcPr>
          <w:p w14:paraId="1ABCAB36" w14:textId="77777777" w:rsidR="008F3905" w:rsidRPr="00F776F7" w:rsidRDefault="008F3905" w:rsidP="00EB7A3C">
            <w:pPr>
              <w:spacing w:line="240" w:lineRule="auto"/>
              <w:ind w:left="450" w:hanging="450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129" w:type="pct"/>
            <w:shd w:val="clear" w:color="auto" w:fill="auto"/>
            <w:tcMar>
              <w:left w:w="57" w:type="dxa"/>
            </w:tcMar>
            <w:vAlign w:val="center"/>
          </w:tcPr>
          <w:p w14:paraId="5300E718" w14:textId="5435D9AA" w:rsidR="008F3905" w:rsidRPr="00F776F7" w:rsidRDefault="008F3905" w:rsidP="00EB7A3C">
            <w:pPr>
              <w:spacing w:line="240" w:lineRule="auto"/>
              <w:ind w:left="9" w:hanging="9"/>
              <w:jc w:val="left"/>
              <w:rPr>
                <w:sz w:val="24"/>
                <w:szCs w:val="24"/>
                <w:lang w:val="en-US"/>
              </w:rPr>
            </w:pPr>
            <w:r w:rsidRPr="00F776F7">
              <w:rPr>
                <w:sz w:val="24"/>
                <w:szCs w:val="24"/>
                <w:lang w:val="en-US"/>
              </w:rPr>
              <w:t>HR by K</w:t>
            </w:r>
            <w:r w:rsidRPr="00F776F7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F776F7">
              <w:rPr>
                <w:sz w:val="24"/>
                <w:szCs w:val="24"/>
                <w:lang w:val="en-US"/>
              </w:rPr>
              <w:t xml:space="preserve"> category; Krogager et al.</w:t>
            </w:r>
            <w:r w:rsidRPr="00F776F7">
              <w:rPr>
                <w:sz w:val="24"/>
                <w:szCs w:val="24"/>
                <w:lang w:val="en-US"/>
              </w:rPr>
              <w:fldChar w:fldCharType="begin"/>
            </w:r>
            <w:r w:rsidR="0001088A" w:rsidRPr="00F776F7">
              <w:rPr>
                <w:sz w:val="24"/>
                <w:szCs w:val="24"/>
                <w:lang w:val="en-US"/>
              </w:rPr>
              <w:instrText xml:space="preserve"> ADDIN EN.CITE &lt;EndNote&gt;&lt;Cite&gt;&lt;Author&gt;Krogager&lt;/Author&gt;&lt;Year&gt;2015&lt;/Year&gt;&lt;RecNum&gt;52&lt;/RecNum&gt;&lt;DisplayText&gt;&lt;style face="superscript"&gt;8&lt;/style&gt;&lt;/DisplayText&gt;&lt;record&gt;&lt;rec-number&gt;52&lt;/rec-number&gt;&lt;foreign-keys&gt;&lt;key app="EN" db-id="0dd9vfr0h5r9seeps0expepexftfz2pwwd25" timestamp="1502200346"&gt;52&lt;/key&gt;&lt;/foreign-keys&gt;&lt;ref-type name="Journal Article"&gt;17&lt;/ref-type&gt;&lt;contributors&gt;&lt;authors&gt;&lt;author&gt;Krogager, Maria Lukács&lt;/author&gt;&lt;author&gt;Eggers-Kaas, Lotti&lt;/author&gt;&lt;author&gt;Aasbjerg, Kristian&lt;/author&gt;&lt;author&gt;Mortensen, Rikke Nørmark&lt;/author&gt;&lt;author&gt;Køber, Lars&lt;/author&gt;&lt;author&gt;Gislason, Gunnar&lt;/author&gt;&lt;author&gt;Torp-Pedersen, Christian&lt;/author&gt;&lt;author&gt;Søgaard, Peter&lt;/author&gt;&lt;/authors&gt;&lt;/contributors&gt;&lt;titles&gt;&lt;title&gt;Short-term mortality risk of serum potassium levels in acute heart failure following myocardial infarction&lt;/title&gt;&lt;secondary-title&gt;European Heart Journal - Cardiovascular Pharmacotherapy&lt;/secondary-title&gt;&lt;/titles&gt;&lt;periodical&gt;&lt;full-title&gt;European Heart Journal - Cardiovascular Pharmacotherapy&lt;/full-title&gt;&lt;/periodical&gt;&lt;pages&gt;245-251&lt;/pages&gt;&lt;volume&gt;1&lt;/volume&gt;&lt;number&gt;4&lt;/number&gt;&lt;dates&gt;&lt;year&gt;2015&lt;/year&gt;&lt;pub-dates&gt;&lt;date&gt;May 2015&lt;/date&gt;&lt;/pub-dates&gt;&lt;/dates&gt;&lt;isbn&gt;2055-6837&lt;/isbn&gt;&lt;urls&gt;&lt;/urls&gt;&lt;/record&gt;&lt;/Cite&gt;&lt;/EndNote&gt;</w:instrText>
            </w:r>
            <w:r w:rsidRPr="00F776F7">
              <w:rPr>
                <w:sz w:val="24"/>
                <w:szCs w:val="24"/>
                <w:lang w:val="en-US"/>
              </w:rPr>
              <w:fldChar w:fldCharType="separate"/>
            </w:r>
            <w:r w:rsidR="0001088A" w:rsidRPr="00F776F7">
              <w:rPr>
                <w:noProof/>
                <w:sz w:val="24"/>
                <w:szCs w:val="24"/>
                <w:vertAlign w:val="superscript"/>
                <w:lang w:val="en-US"/>
              </w:rPr>
              <w:t>8</w:t>
            </w:r>
            <w:r w:rsidRPr="00F776F7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8F3905" w:rsidRPr="00F776F7" w14:paraId="48216D88" w14:textId="77777777" w:rsidTr="00A66C4A">
        <w:trPr>
          <w:trHeight w:val="846"/>
        </w:trPr>
        <w:tc>
          <w:tcPr>
            <w:tcW w:w="5000" w:type="pct"/>
            <w:gridSpan w:val="6"/>
            <w:tcMar>
              <w:left w:w="57" w:type="dxa"/>
            </w:tcMar>
            <w:vAlign w:val="center"/>
          </w:tcPr>
          <w:p w14:paraId="13478618" w14:textId="5EEA4695" w:rsidR="008F3905" w:rsidRPr="00F776F7" w:rsidRDefault="008F3905" w:rsidP="00EB7A3C">
            <w:pPr>
              <w:spacing w:line="240" w:lineRule="auto"/>
              <w:rPr>
                <w:i/>
                <w:szCs w:val="24"/>
                <w:lang w:val="en-US"/>
              </w:rPr>
            </w:pPr>
            <w:r w:rsidRPr="00F776F7">
              <w:rPr>
                <w:i/>
                <w:szCs w:val="24"/>
                <w:lang w:val="en-US"/>
              </w:rPr>
              <w:t>CKD: chronic kidney disease; HR: hazard ratio; IRR: incidence rate ratio, K</w:t>
            </w:r>
            <w:r w:rsidRPr="00F776F7">
              <w:rPr>
                <w:i/>
                <w:szCs w:val="24"/>
                <w:vertAlign w:val="superscript"/>
                <w:lang w:val="en-US"/>
              </w:rPr>
              <w:t>+</w:t>
            </w:r>
            <w:r w:rsidRPr="00F776F7">
              <w:rPr>
                <w:i/>
                <w:szCs w:val="24"/>
                <w:lang w:val="en-US"/>
              </w:rPr>
              <w:t xml:space="preserve">: potassium; NYHA: New York Heart Association; OR: odds ratio; RAASi: renin-angiotensin-aldosterone system inhibitor; SHFM: Seattle Heart Failure Model; </w:t>
            </w:r>
            <w:r w:rsidRPr="00F776F7">
              <w:rPr>
                <w:i/>
                <w:szCs w:val="24"/>
                <w:lang w:val="en-US"/>
              </w:rPr>
              <w:sym w:font="Wingdings" w:char="F0FC"/>
            </w:r>
            <w:r w:rsidRPr="00F776F7">
              <w:rPr>
                <w:i/>
                <w:szCs w:val="24"/>
                <w:lang w:val="en-US"/>
              </w:rPr>
              <w:t xml:space="preserve">: functionality; </w:t>
            </w:r>
            <w:r w:rsidRPr="00F776F7">
              <w:rPr>
                <w:i/>
                <w:szCs w:val="24"/>
                <w:lang w:val="en-US"/>
              </w:rPr>
              <w:sym w:font="Wingdings" w:char="F0FB"/>
            </w:r>
            <w:r w:rsidRPr="00F776F7">
              <w:rPr>
                <w:i/>
                <w:szCs w:val="24"/>
                <w:lang w:val="en-US"/>
              </w:rPr>
              <w:t>: no functionality (due to paucity of identified data)</w:t>
            </w:r>
          </w:p>
          <w:p w14:paraId="39F005F5" w14:textId="77777777" w:rsidR="008F3905" w:rsidRPr="00F776F7" w:rsidRDefault="008F3905" w:rsidP="00EB7A3C">
            <w:pPr>
              <w:spacing w:line="240" w:lineRule="auto"/>
              <w:ind w:left="450" w:hanging="450"/>
              <w:rPr>
                <w:szCs w:val="24"/>
                <w:lang w:val="en-US"/>
              </w:rPr>
            </w:pPr>
            <w:r w:rsidRPr="00F776F7">
              <w:rPr>
                <w:szCs w:val="24"/>
                <w:lang w:val="en-US"/>
              </w:rPr>
              <w:t>*The higher probability based on (A) comorbidity, RAASi use and K</w:t>
            </w:r>
            <w:r w:rsidRPr="00F776F7">
              <w:rPr>
                <w:szCs w:val="24"/>
                <w:vertAlign w:val="superscript"/>
                <w:lang w:val="en-US"/>
              </w:rPr>
              <w:t>+</w:t>
            </w:r>
            <w:r w:rsidRPr="00F776F7">
              <w:rPr>
                <w:szCs w:val="24"/>
                <w:lang w:val="en-US"/>
              </w:rPr>
              <w:t xml:space="preserve"> levels or (B) life tables is applied throughout</w:t>
            </w:r>
          </w:p>
        </w:tc>
      </w:tr>
    </w:tbl>
    <w:p w14:paraId="4573D8F7" w14:textId="77777777" w:rsidR="008F3905" w:rsidRPr="00F776F7" w:rsidRDefault="008F3905" w:rsidP="008F3905">
      <w:pPr>
        <w:rPr>
          <w:sz w:val="24"/>
          <w:szCs w:val="24"/>
          <w:lang w:val="en-US"/>
        </w:rPr>
      </w:pPr>
    </w:p>
    <w:p w14:paraId="08575E6A" w14:textId="77777777" w:rsidR="008F3905" w:rsidRPr="00F776F7" w:rsidRDefault="008F3905" w:rsidP="008F3905">
      <w:pPr>
        <w:spacing w:after="160" w:line="259" w:lineRule="auto"/>
        <w:jc w:val="left"/>
        <w:rPr>
          <w:rFonts w:eastAsiaTheme="majorEastAsia"/>
          <w:b/>
          <w:sz w:val="24"/>
          <w:szCs w:val="24"/>
          <w:lang w:val="en-US"/>
        </w:rPr>
      </w:pPr>
    </w:p>
    <w:p w14:paraId="1ACDC474" w14:textId="77777777" w:rsidR="008F3905" w:rsidRPr="00F776F7" w:rsidRDefault="008F3905" w:rsidP="008F3905">
      <w:pPr>
        <w:spacing w:after="160" w:line="259" w:lineRule="auto"/>
        <w:jc w:val="left"/>
        <w:rPr>
          <w:rFonts w:eastAsiaTheme="majorEastAsia"/>
          <w:b/>
          <w:sz w:val="24"/>
          <w:szCs w:val="24"/>
          <w:lang w:val="en-US"/>
        </w:rPr>
      </w:pPr>
      <w:r w:rsidRPr="00F776F7">
        <w:rPr>
          <w:sz w:val="24"/>
          <w:szCs w:val="24"/>
          <w:lang w:val="en-US"/>
        </w:rPr>
        <w:br w:type="page"/>
      </w:r>
    </w:p>
    <w:p w14:paraId="62F6559A" w14:textId="6138BE6A" w:rsidR="008F3905" w:rsidRDefault="00F87286" w:rsidP="008F3905">
      <w:pPr>
        <w:pStyle w:val="Heading2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>Estimating</w:t>
      </w:r>
      <w:r w:rsidR="008F3905" w:rsidRPr="00F776F7">
        <w:rPr>
          <w:rFonts w:cs="Times New Roman"/>
          <w:sz w:val="24"/>
          <w:szCs w:val="24"/>
          <w:lang w:val="en-US"/>
        </w:rPr>
        <w:t xml:space="preserve"> serum potassium profiles</w:t>
      </w:r>
      <w:r>
        <w:rPr>
          <w:rFonts w:cs="Times New Roman"/>
          <w:sz w:val="24"/>
          <w:szCs w:val="24"/>
          <w:lang w:val="en-US"/>
        </w:rPr>
        <w:t xml:space="preserve"> within the </w:t>
      </w:r>
      <w:r w:rsidR="00FD66DA">
        <w:rPr>
          <w:rFonts w:cs="Times New Roman"/>
          <w:sz w:val="24"/>
          <w:szCs w:val="24"/>
          <w:lang w:val="en-US"/>
        </w:rPr>
        <w:t xml:space="preserve">health economic </w:t>
      </w:r>
      <w:r>
        <w:rPr>
          <w:rFonts w:cs="Times New Roman"/>
          <w:sz w:val="24"/>
          <w:szCs w:val="24"/>
          <w:lang w:val="en-US"/>
        </w:rPr>
        <w:t>model</w:t>
      </w:r>
    </w:p>
    <w:p w14:paraId="7B04B2B8" w14:textId="77777777" w:rsidR="00D278F5" w:rsidRPr="00D278F5" w:rsidRDefault="00D278F5" w:rsidP="00D278F5">
      <w:pPr>
        <w:rPr>
          <w:lang w:val="en-US"/>
        </w:rPr>
      </w:pPr>
    </w:p>
    <w:p w14:paraId="1F3EEF61" w14:textId="7A55D914" w:rsidR="008F3905" w:rsidRPr="00F776F7" w:rsidRDefault="008F3905" w:rsidP="008F3905">
      <w:pPr>
        <w:spacing w:after="240"/>
        <w:rPr>
          <w:sz w:val="24"/>
          <w:szCs w:val="24"/>
          <w:lang w:val="en-US"/>
        </w:rPr>
      </w:pPr>
      <w:r w:rsidRPr="00F776F7">
        <w:rPr>
          <w:sz w:val="24"/>
          <w:szCs w:val="24"/>
          <w:lang w:val="en-US"/>
        </w:rPr>
        <w:t>Time-dependent serum potassium (K</w:t>
      </w:r>
      <w:r w:rsidRPr="00F776F7">
        <w:rPr>
          <w:sz w:val="24"/>
          <w:szCs w:val="24"/>
          <w:vertAlign w:val="superscript"/>
          <w:lang w:val="en-US"/>
        </w:rPr>
        <w:t>+</w:t>
      </w:r>
      <w:r w:rsidRPr="00F776F7">
        <w:rPr>
          <w:sz w:val="24"/>
          <w:szCs w:val="24"/>
          <w:lang w:val="en-US"/>
        </w:rPr>
        <w:t xml:space="preserve">) trajectories were modelled at the patient-level using mixed-effects regression models. The mixed effects models used to estimate </w:t>
      </w:r>
      <w:r w:rsidR="0093750F" w:rsidRPr="00F776F7">
        <w:rPr>
          <w:sz w:val="24"/>
          <w:szCs w:val="24"/>
          <w:lang w:val="en-US"/>
        </w:rPr>
        <w:t xml:space="preserve">potassium </w:t>
      </w:r>
      <w:r w:rsidRPr="00F776F7">
        <w:rPr>
          <w:sz w:val="24"/>
          <w:szCs w:val="24"/>
          <w:lang w:val="en-US"/>
        </w:rPr>
        <w:t>trajectories take the form:</w:t>
      </w:r>
    </w:p>
    <w:p w14:paraId="4C722E6F" w14:textId="77777777" w:rsidR="008F3905" w:rsidRPr="00F776F7" w:rsidRDefault="0017362F" w:rsidP="008F3905">
      <w:pPr>
        <w:spacing w:after="240"/>
        <w:rPr>
          <w:rFonts w:eastAsiaTheme="minorEastAsia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ij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α+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Time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ijk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ij</m:t>
              </m:r>
            </m:sub>
          </m:sSub>
        </m:oMath>
      </m:oMathPara>
    </w:p>
    <w:p w14:paraId="536C3C21" w14:textId="77777777" w:rsidR="008F3905" w:rsidRPr="00F776F7" w:rsidRDefault="0017362F" w:rsidP="008F3905">
      <w:pPr>
        <w:spacing w:after="240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υ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~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;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ik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~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ik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for each k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;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ij 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~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N</m:t>
          </m:r>
          <m:r>
            <w:rPr>
              <w:rFonts w:ascii="Cambria Math" w:hAnsi="Cambria Math"/>
              <w:sz w:val="24"/>
              <w:szCs w:val="24"/>
              <w:lang w:val="en-US"/>
            </w:rPr>
            <m:t>(0,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ij</m:t>
                  </m:r>
                </m:sub>
              </m:sSub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14:paraId="7A4B95BA" w14:textId="0ED3DB98" w:rsidR="008F3905" w:rsidRPr="00F776F7" w:rsidRDefault="008F3905" w:rsidP="008F3905">
      <w:pPr>
        <w:spacing w:after="240"/>
        <w:rPr>
          <w:rFonts w:eastAsiaTheme="minorEastAsia"/>
          <w:sz w:val="24"/>
          <w:szCs w:val="24"/>
          <w:lang w:val="en-US"/>
        </w:rPr>
      </w:pPr>
      <w:r w:rsidRPr="00F776F7">
        <w:rPr>
          <w:rFonts w:eastAsiaTheme="minorEastAsia"/>
          <w:sz w:val="24"/>
          <w:szCs w:val="24"/>
          <w:lang w:val="en-US"/>
        </w:rPr>
        <w:t xml:space="preserve">Where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</m:sup>
        </m:sSubSup>
      </m:oMath>
      <w:r w:rsidRPr="00F776F7">
        <w:rPr>
          <w:rFonts w:eastAsiaTheme="minorEastAsia"/>
          <w:sz w:val="24"/>
          <w:szCs w:val="24"/>
          <w:lang w:val="en-US"/>
        </w:rPr>
        <w:t xml:space="preserve"> represents a </w:t>
      </w:r>
      <w:r w:rsidR="00DD407E" w:rsidRPr="00F776F7">
        <w:rPr>
          <w:sz w:val="24"/>
          <w:szCs w:val="24"/>
          <w:lang w:val="en-US"/>
        </w:rPr>
        <w:t>potassium</w:t>
      </w:r>
      <w:r w:rsidR="00DD407E" w:rsidRPr="00F776F7">
        <w:rPr>
          <w:rFonts w:eastAsiaTheme="minorEastAsia"/>
          <w:sz w:val="24"/>
          <w:szCs w:val="24"/>
          <w:lang w:val="en-US"/>
        </w:rPr>
        <w:t xml:space="preserve"> </w:t>
      </w:r>
      <w:r w:rsidRPr="00F776F7">
        <w:rPr>
          <w:rFonts w:eastAsiaTheme="minorEastAsia"/>
          <w:sz w:val="24"/>
          <w:szCs w:val="24"/>
          <w:lang w:val="en-US"/>
        </w:rPr>
        <w:t xml:space="preserve">measurement for patient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i</m:t>
        </m:r>
      </m:oMath>
      <w:r w:rsidRPr="00F776F7">
        <w:rPr>
          <w:rFonts w:eastAsiaTheme="minorEastAsia"/>
          <w:sz w:val="24"/>
          <w:szCs w:val="24"/>
          <w:lang w:val="en-US"/>
        </w:rPr>
        <w:t xml:space="preserve"> made at time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j</m:t>
        </m:r>
      </m:oMath>
      <w:r w:rsidRPr="00F776F7">
        <w:rPr>
          <w:rFonts w:eastAsiaTheme="minorEastAsia"/>
          <w:sz w:val="24"/>
          <w:szCs w:val="24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Time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ijk</m:t>
            </m:r>
          </m:sub>
        </m:sSub>
      </m:oMath>
      <w:r w:rsidRPr="00F776F7">
        <w:rPr>
          <w:rFonts w:eastAsiaTheme="minorEastAsia"/>
          <w:sz w:val="24"/>
          <w:szCs w:val="24"/>
          <w:lang w:val="en-US"/>
        </w:rPr>
        <w:t xml:space="preserve"> is a time index of specification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k</m:t>
        </m:r>
      </m:oMath>
      <w:r w:rsidRPr="00F776F7">
        <w:rPr>
          <w:rFonts w:eastAsiaTheme="minorEastAsia"/>
          <w:sz w:val="24"/>
          <w:szCs w:val="24"/>
          <w:lang w:val="en-US"/>
        </w:rPr>
        <w:t xml:space="preserve">, representing patient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i</m:t>
        </m:r>
      </m:oMath>
      <w:r w:rsidRPr="00F776F7">
        <w:rPr>
          <w:rFonts w:eastAsiaTheme="minorEastAsia"/>
          <w:sz w:val="24"/>
          <w:szCs w:val="24"/>
          <w:lang w:val="en-US"/>
        </w:rPr>
        <w:t xml:space="preserve">‘s time at measurement occasion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j</m:t>
        </m:r>
      </m:oMath>
      <w:r w:rsidRPr="00F776F7">
        <w:rPr>
          <w:rFonts w:eastAsiaTheme="minorEastAsia"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F776F7">
        <w:rPr>
          <w:rFonts w:eastAsiaTheme="minorEastAsia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b>
        </m:sSub>
      </m:oMath>
      <w:r w:rsidRPr="00F776F7">
        <w:rPr>
          <w:rFonts w:eastAsiaTheme="minorEastAsia"/>
          <w:sz w:val="24"/>
          <w:szCs w:val="24"/>
          <w:lang w:val="en-US"/>
        </w:rPr>
        <w:t xml:space="preserve"> are fixed intercept and slope coefficients respectively, representing population-averaged baseline </w:t>
      </w:r>
      <w:r w:rsidR="00DD407E" w:rsidRPr="00F776F7">
        <w:rPr>
          <w:sz w:val="24"/>
          <w:szCs w:val="24"/>
          <w:lang w:val="en-US"/>
        </w:rPr>
        <w:t>potassium</w:t>
      </w:r>
      <w:r w:rsidR="00DD407E" w:rsidRPr="00F776F7">
        <w:rPr>
          <w:rFonts w:eastAsiaTheme="minorEastAsia"/>
          <w:sz w:val="24"/>
          <w:szCs w:val="24"/>
          <w:lang w:val="en-US"/>
        </w:rPr>
        <w:t xml:space="preserve"> </w:t>
      </w:r>
      <w:r w:rsidRPr="00F776F7">
        <w:rPr>
          <w:rFonts w:eastAsiaTheme="minorEastAsia"/>
          <w:sz w:val="24"/>
          <w:szCs w:val="24"/>
          <w:lang w:val="en-US"/>
        </w:rPr>
        <w:t xml:space="preserve">concentration and the association between </w:t>
      </w:r>
      <w:r w:rsidR="00DD407E" w:rsidRPr="00F776F7">
        <w:rPr>
          <w:sz w:val="24"/>
          <w:szCs w:val="24"/>
          <w:lang w:val="en-US"/>
        </w:rPr>
        <w:t>potassium</w:t>
      </w:r>
      <w:r w:rsidR="00DD407E" w:rsidRPr="00F776F7">
        <w:rPr>
          <w:rFonts w:eastAsiaTheme="minorEastAsia"/>
          <w:sz w:val="24"/>
          <w:szCs w:val="24"/>
          <w:lang w:val="en-US"/>
        </w:rPr>
        <w:t xml:space="preserve"> </w:t>
      </w:r>
      <w:r w:rsidRPr="00F776F7">
        <w:rPr>
          <w:rFonts w:eastAsiaTheme="minorEastAsia"/>
          <w:sz w:val="24"/>
          <w:szCs w:val="24"/>
          <w:lang w:val="en-US"/>
        </w:rPr>
        <w:t xml:space="preserve">and time;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F776F7">
        <w:rPr>
          <w:rFonts w:eastAsiaTheme="minorEastAsia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ik</m:t>
            </m:r>
          </m:sub>
        </m:sSub>
      </m:oMath>
      <w:r w:rsidRPr="00F776F7">
        <w:rPr>
          <w:rFonts w:eastAsiaTheme="minorEastAsia"/>
          <w:sz w:val="24"/>
          <w:szCs w:val="24"/>
          <w:lang w:val="en-US"/>
        </w:rPr>
        <w:t xml:space="preserve"> are random intercept and slope terms respectively, representing patient-specific effects for patient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i</m:t>
        </m:r>
      </m:oMath>
      <w:r w:rsidRPr="00F776F7">
        <w:rPr>
          <w:rFonts w:eastAsiaTheme="minorEastAsia"/>
          <w:sz w:val="24"/>
          <w:szCs w:val="24"/>
          <w:lang w:val="en-US"/>
        </w:rPr>
        <w:t xml:space="preserve"> (allowing levels and slopes of </w:t>
      </w:r>
      <w:r w:rsidR="00DD407E" w:rsidRPr="00F776F7">
        <w:rPr>
          <w:sz w:val="24"/>
          <w:szCs w:val="24"/>
          <w:lang w:val="en-US"/>
        </w:rPr>
        <w:t>potassium</w:t>
      </w:r>
      <w:r w:rsidR="00DD407E" w:rsidRPr="00F776F7">
        <w:rPr>
          <w:rFonts w:eastAsiaTheme="minorEastAsia"/>
          <w:sz w:val="24"/>
          <w:szCs w:val="24"/>
          <w:lang w:val="en-US"/>
        </w:rPr>
        <w:t xml:space="preserve"> </w:t>
      </w:r>
      <w:r w:rsidRPr="00F776F7">
        <w:rPr>
          <w:rFonts w:eastAsiaTheme="minorEastAsia"/>
          <w:sz w:val="24"/>
          <w:szCs w:val="24"/>
          <w:lang w:val="en-US"/>
        </w:rPr>
        <w:t xml:space="preserve">trajectories to vary by patient);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ij</m:t>
            </m:r>
          </m:sub>
        </m:sSub>
      </m:oMath>
      <w:r w:rsidRPr="00F776F7">
        <w:rPr>
          <w:rFonts w:eastAsiaTheme="minorEastAsia"/>
          <w:sz w:val="24"/>
          <w:szCs w:val="24"/>
          <w:lang w:val="en-US"/>
        </w:rPr>
        <w:t xml:space="preserve"> is a random error term for patient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i</m:t>
        </m:r>
      </m:oMath>
      <w:r w:rsidRPr="00F776F7">
        <w:rPr>
          <w:rFonts w:eastAsiaTheme="minorEastAsia"/>
          <w:sz w:val="24"/>
          <w:szCs w:val="24"/>
          <w:lang w:val="en-US"/>
        </w:rPr>
        <w:t xml:space="preserve"> at measurement occasion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j</m:t>
        </m:r>
      </m:oMath>
      <w:r w:rsidRPr="00F776F7">
        <w:rPr>
          <w:rFonts w:eastAsiaTheme="minorEastAsia"/>
          <w:sz w:val="24"/>
          <w:szCs w:val="24"/>
          <w:lang w:val="en-US"/>
        </w:rPr>
        <w:t xml:space="preserve">, capturing all sources of variation in </w:t>
      </w:r>
      <w:r w:rsidR="00DD407E" w:rsidRPr="00F776F7">
        <w:rPr>
          <w:sz w:val="24"/>
          <w:szCs w:val="24"/>
          <w:lang w:val="en-US"/>
        </w:rPr>
        <w:t>potassium</w:t>
      </w:r>
      <w:r w:rsidR="00DD407E" w:rsidRPr="00F776F7">
        <w:rPr>
          <w:rFonts w:eastAsiaTheme="minorEastAsia"/>
          <w:sz w:val="24"/>
          <w:szCs w:val="24"/>
          <w:lang w:val="en-US"/>
        </w:rPr>
        <w:t xml:space="preserve"> </w:t>
      </w:r>
      <w:r w:rsidRPr="00F776F7">
        <w:rPr>
          <w:rFonts w:eastAsiaTheme="minorEastAsia"/>
          <w:sz w:val="24"/>
          <w:szCs w:val="24"/>
          <w:lang w:val="en-US"/>
        </w:rPr>
        <w:t>not explained by the model.</w:t>
      </w:r>
    </w:p>
    <w:p w14:paraId="7F632A0B" w14:textId="08012670" w:rsidR="00227C92" w:rsidRDefault="008F3905" w:rsidP="00D278F5">
      <w:pPr>
        <w:spacing w:after="240"/>
        <w:rPr>
          <w:rFonts w:eastAsiaTheme="minorEastAsia"/>
          <w:sz w:val="24"/>
          <w:szCs w:val="24"/>
          <w:lang w:val="en-US"/>
        </w:rPr>
      </w:pPr>
      <w:r w:rsidRPr="00F776F7">
        <w:rPr>
          <w:sz w:val="24"/>
          <w:szCs w:val="24"/>
          <w:lang w:val="en-US"/>
        </w:rPr>
        <w:t xml:space="preserve">The measurement-level (level 1) random error term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ij</m:t>
            </m:r>
          </m:sub>
        </m:sSub>
      </m:oMath>
      <w:r w:rsidRPr="00F776F7">
        <w:rPr>
          <w:rFonts w:eastAsiaTheme="minorEastAsia"/>
          <w:sz w:val="24"/>
          <w:szCs w:val="24"/>
          <w:lang w:val="en-US"/>
        </w:rPr>
        <w:t xml:space="preserve"> is assumed to be normally distributed with mean 0 and constant variance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ij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</m:oMath>
      <w:r w:rsidRPr="00F776F7">
        <w:rPr>
          <w:rFonts w:eastAsiaTheme="minorEastAsia"/>
          <w:sz w:val="24"/>
          <w:szCs w:val="24"/>
          <w:lang w:val="en-US"/>
        </w:rPr>
        <w:t xml:space="preserve">. Like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ij</m:t>
            </m:r>
          </m:sub>
        </m:sSub>
      </m:oMath>
      <w:r w:rsidRPr="00F776F7">
        <w:rPr>
          <w:rFonts w:eastAsiaTheme="minorEastAsia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F776F7">
        <w:rPr>
          <w:rFonts w:eastAsiaTheme="minorEastAsia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ik</m:t>
            </m:r>
          </m:sub>
        </m:sSub>
      </m:oMath>
      <w:r w:rsidRPr="00F776F7">
        <w:rPr>
          <w:rFonts w:eastAsiaTheme="minorEastAsia"/>
          <w:sz w:val="24"/>
          <w:szCs w:val="24"/>
          <w:lang w:val="en-US"/>
        </w:rPr>
        <w:t xml:space="preserve"> are error terms with constant patient-level (level 2) variances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υ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</m:oMath>
      <w:r w:rsidRPr="00F776F7">
        <w:rPr>
          <w:rFonts w:eastAsiaTheme="minorEastAsia"/>
          <w:sz w:val="24"/>
          <w:szCs w:val="24"/>
          <w:lang w:val="en-US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ik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bSup>
      </m:oMath>
      <w:r w:rsidRPr="00F776F7">
        <w:rPr>
          <w:rFonts w:eastAsiaTheme="minorEastAsia"/>
          <w:sz w:val="24"/>
          <w:szCs w:val="24"/>
          <w:lang w:val="en-US"/>
        </w:rPr>
        <w:t xml:space="preserve"> respectively; it is these patient-level variances that must be estimated in the model to provide estimates of the random effects, in contrast to </w:t>
      </w: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 w:rsidRPr="00F776F7">
        <w:rPr>
          <w:rFonts w:eastAsiaTheme="minorEastAsia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b>
        </m:sSub>
      </m:oMath>
      <w:r w:rsidRPr="00F776F7">
        <w:rPr>
          <w:rFonts w:eastAsiaTheme="minorEastAsia"/>
          <w:sz w:val="24"/>
          <w:szCs w:val="24"/>
          <w:lang w:val="en-US"/>
        </w:rPr>
        <w:t xml:space="preserve"> which are global coefficients to be estimated to provide estimates of the fixed effects. The total variance in </w:t>
      </w:r>
      <w:r w:rsidR="00DD407E" w:rsidRPr="00F776F7">
        <w:rPr>
          <w:sz w:val="24"/>
          <w:szCs w:val="24"/>
          <w:lang w:val="en-US"/>
        </w:rPr>
        <w:t>potassium</w:t>
      </w:r>
      <w:r w:rsidR="00DD407E" w:rsidRPr="00F776F7">
        <w:rPr>
          <w:rFonts w:eastAsiaTheme="minorEastAsia"/>
          <w:sz w:val="24"/>
          <w:szCs w:val="24"/>
          <w:lang w:val="en-US"/>
        </w:rPr>
        <w:t xml:space="preserve"> </w:t>
      </w:r>
      <w:r w:rsidRPr="00F776F7">
        <w:rPr>
          <w:rFonts w:eastAsiaTheme="minorEastAsia"/>
          <w:sz w:val="24"/>
          <w:szCs w:val="24"/>
          <w:lang w:val="en-US"/>
        </w:rPr>
        <w:t xml:space="preserve">about the population-averaged time trend is equal to the sum of the individual level </w:t>
      </w:r>
      <w:r w:rsidRPr="00F776F7">
        <w:rPr>
          <w:rFonts w:eastAsiaTheme="minorEastAsia"/>
          <w:sz w:val="24"/>
          <w:szCs w:val="24"/>
          <w:lang w:val="en-US"/>
        </w:rPr>
        <w:lastRenderedPageBreak/>
        <w:t xml:space="preserve">1 and level 2 variance components,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k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ik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ij</m:t>
                </m:r>
              </m:sub>
            </m:sSub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bSup>
      </m:oMath>
      <w:r w:rsidRPr="00F776F7">
        <w:rPr>
          <w:rFonts w:eastAsiaTheme="minorEastAsia"/>
          <w:sz w:val="24"/>
          <w:szCs w:val="24"/>
          <w:lang w:val="en-US"/>
        </w:rPr>
        <w:t xml:space="preserve">. All else being equal: larger values of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bSup>
      </m:oMath>
      <w:r w:rsidRPr="00F776F7">
        <w:rPr>
          <w:rFonts w:eastAsiaTheme="minorEastAsia"/>
          <w:sz w:val="24"/>
          <w:szCs w:val="24"/>
          <w:lang w:val="en-US"/>
        </w:rPr>
        <w:t xml:space="preserve"> will increase the spread of patient-specific mean values about the global time trend; larger values of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ik</m:t>
                </m:r>
              </m:sub>
            </m:sSub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bSup>
      </m:oMath>
      <w:r w:rsidRPr="00F776F7">
        <w:rPr>
          <w:rFonts w:eastAsiaTheme="minorEastAsia"/>
          <w:sz w:val="24"/>
          <w:szCs w:val="24"/>
          <w:lang w:val="en-US"/>
        </w:rPr>
        <w:t xml:space="preserve"> will increase the spread of the slopes of patient-specific time trends; and larger values of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ij</m:t>
                </m:r>
              </m:sub>
            </m:sSub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bSup>
      </m:oMath>
      <w:r w:rsidRPr="00F776F7">
        <w:rPr>
          <w:rFonts w:eastAsiaTheme="minorEastAsia"/>
          <w:sz w:val="24"/>
          <w:szCs w:val="24"/>
          <w:lang w:val="en-US"/>
        </w:rPr>
        <w:t xml:space="preserve"> will increase the spread of measured K</w:t>
      </w:r>
      <w:r w:rsidRPr="00F776F7">
        <w:rPr>
          <w:rFonts w:eastAsiaTheme="minorEastAsia"/>
          <w:sz w:val="24"/>
          <w:szCs w:val="24"/>
          <w:vertAlign w:val="superscript"/>
          <w:lang w:val="en-US"/>
        </w:rPr>
        <w:t>+</w:t>
      </w:r>
      <w:r w:rsidRPr="00F776F7">
        <w:rPr>
          <w:rFonts w:eastAsiaTheme="minorEastAsia"/>
          <w:sz w:val="24"/>
          <w:szCs w:val="24"/>
          <w:lang w:val="en-US"/>
        </w:rPr>
        <w:t xml:space="preserve"> values about patient-specific time trends.</w:t>
      </w:r>
    </w:p>
    <w:p w14:paraId="2F2C575A" w14:textId="0D5CF6E8" w:rsidR="00254441" w:rsidRDefault="00254441" w:rsidP="00D278F5">
      <w:pPr>
        <w:spacing w:after="240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Note: In the model application presented in the main body of the article serum potassium levels of 4.5 mEq/L were modelled, representing maintained </w:t>
      </w:r>
      <w:proofErr w:type="spellStart"/>
      <w:r>
        <w:rPr>
          <w:rFonts w:eastAsiaTheme="minorEastAsia"/>
          <w:sz w:val="24"/>
          <w:szCs w:val="24"/>
          <w:lang w:val="en-US"/>
        </w:rPr>
        <w:t>normokalemia</w:t>
      </w:r>
      <w:proofErr w:type="spellEnd"/>
      <w:r>
        <w:rPr>
          <w:rFonts w:eastAsiaTheme="minorEastAsia"/>
          <w:sz w:val="24"/>
          <w:szCs w:val="24"/>
          <w:lang w:val="en-US"/>
        </w:rPr>
        <w:t>.</w:t>
      </w:r>
    </w:p>
    <w:p w14:paraId="1768529F" w14:textId="77777777" w:rsidR="00D278F5" w:rsidRPr="00D278F5" w:rsidRDefault="00D278F5" w:rsidP="00D278F5">
      <w:pPr>
        <w:spacing w:after="240"/>
        <w:rPr>
          <w:rFonts w:eastAsiaTheme="minorEastAsia"/>
          <w:sz w:val="24"/>
          <w:szCs w:val="24"/>
          <w:lang w:val="en-US"/>
        </w:rPr>
      </w:pPr>
    </w:p>
    <w:p w14:paraId="4996D43A" w14:textId="3F8F8161" w:rsidR="008F3905" w:rsidRPr="00F776F7" w:rsidRDefault="008F3905" w:rsidP="008F3905">
      <w:pPr>
        <w:pStyle w:val="Heading2"/>
        <w:rPr>
          <w:rFonts w:cs="Times New Roman"/>
          <w:sz w:val="24"/>
          <w:szCs w:val="24"/>
          <w:lang w:val="en-US"/>
        </w:rPr>
      </w:pPr>
      <w:r w:rsidRPr="00F776F7">
        <w:rPr>
          <w:rFonts w:cs="Times New Roman"/>
          <w:sz w:val="24"/>
          <w:szCs w:val="24"/>
          <w:lang w:val="en-US"/>
        </w:rPr>
        <w:t>Baseline patient characteristic inputs</w:t>
      </w:r>
    </w:p>
    <w:p w14:paraId="70B4A63B" w14:textId="2694DA0B" w:rsidR="008F3905" w:rsidRPr="00F776F7" w:rsidRDefault="008F3905" w:rsidP="008F3905">
      <w:pPr>
        <w:rPr>
          <w:b/>
          <w:bCs/>
          <w:sz w:val="24"/>
          <w:szCs w:val="24"/>
          <w:lang w:val="en-US"/>
        </w:rPr>
      </w:pPr>
      <w:bookmarkStart w:id="2" w:name="_Hlk522034735"/>
      <w:r w:rsidRPr="00F776F7">
        <w:rPr>
          <w:sz w:val="24"/>
          <w:szCs w:val="24"/>
          <w:lang w:val="en-US"/>
        </w:rPr>
        <w:t>Baseline parameters required by the</w:t>
      </w:r>
      <w:r w:rsidR="00FD66DA">
        <w:rPr>
          <w:sz w:val="24"/>
          <w:szCs w:val="24"/>
          <w:lang w:val="en-US"/>
        </w:rPr>
        <w:t xml:space="preserve"> health economic</w:t>
      </w:r>
      <w:r w:rsidRPr="00F776F7">
        <w:rPr>
          <w:sz w:val="24"/>
          <w:szCs w:val="24"/>
          <w:lang w:val="en-US"/>
        </w:rPr>
        <w:t xml:space="preserve"> model to inform risk calculations are </w:t>
      </w:r>
      <w:r w:rsidR="00F776F7" w:rsidRPr="00F776F7">
        <w:rPr>
          <w:sz w:val="24"/>
          <w:szCs w:val="24"/>
          <w:lang w:val="en-US"/>
        </w:rPr>
        <w:t>summarized</w:t>
      </w:r>
      <w:r w:rsidRPr="00F776F7">
        <w:rPr>
          <w:sz w:val="24"/>
          <w:szCs w:val="24"/>
          <w:lang w:val="en-US"/>
        </w:rPr>
        <w:t xml:space="preserve"> in Table S2. </w:t>
      </w:r>
      <w:r w:rsidR="00FE3FD3">
        <w:rPr>
          <w:sz w:val="24"/>
          <w:szCs w:val="24"/>
          <w:lang w:val="en-US"/>
        </w:rPr>
        <w:t>Where available, i</w:t>
      </w:r>
      <w:r w:rsidRPr="00F776F7">
        <w:rPr>
          <w:sz w:val="24"/>
          <w:szCs w:val="24"/>
          <w:lang w:val="en-US"/>
        </w:rPr>
        <w:t xml:space="preserve">nput values </w:t>
      </w:r>
      <w:r w:rsidR="00FE3FD3">
        <w:rPr>
          <w:sz w:val="24"/>
          <w:szCs w:val="24"/>
          <w:lang w:val="en-US"/>
        </w:rPr>
        <w:t xml:space="preserve">for each variable </w:t>
      </w:r>
      <w:r w:rsidRPr="00F776F7">
        <w:rPr>
          <w:sz w:val="24"/>
          <w:szCs w:val="24"/>
          <w:lang w:val="en-US"/>
        </w:rPr>
        <w:t>were de</w:t>
      </w:r>
      <w:r w:rsidR="007A491B" w:rsidRPr="00F776F7">
        <w:rPr>
          <w:sz w:val="24"/>
          <w:szCs w:val="24"/>
          <w:lang w:val="en-US"/>
        </w:rPr>
        <w:t xml:space="preserve">rived from </w:t>
      </w:r>
      <w:r w:rsidR="00A74DE5">
        <w:rPr>
          <w:sz w:val="24"/>
          <w:szCs w:val="24"/>
          <w:lang w:val="en-US"/>
        </w:rPr>
        <w:t>a</w:t>
      </w:r>
      <w:r w:rsidR="00FE3FD3">
        <w:rPr>
          <w:sz w:val="24"/>
          <w:szCs w:val="24"/>
          <w:lang w:val="en-US"/>
        </w:rPr>
        <w:t xml:space="preserve"> previous analysis of </w:t>
      </w:r>
      <w:r w:rsidR="007A491B" w:rsidRPr="00F776F7">
        <w:rPr>
          <w:sz w:val="24"/>
          <w:szCs w:val="24"/>
          <w:lang w:val="en-US"/>
        </w:rPr>
        <w:t>a cohort of 23,541 heart failure</w:t>
      </w:r>
      <w:r w:rsidRPr="00F776F7">
        <w:rPr>
          <w:sz w:val="24"/>
          <w:szCs w:val="24"/>
          <w:lang w:val="en-US"/>
        </w:rPr>
        <w:t xml:space="preserve"> patients listed in the UK Clin</w:t>
      </w:r>
      <w:r w:rsidR="007A491B" w:rsidRPr="00F776F7">
        <w:rPr>
          <w:sz w:val="24"/>
          <w:szCs w:val="24"/>
          <w:lang w:val="en-US"/>
        </w:rPr>
        <w:t xml:space="preserve">ical Practice Research Datalink </w:t>
      </w:r>
      <w:r w:rsidR="009E0984" w:rsidRPr="00F776F7">
        <w:rPr>
          <w:sz w:val="24"/>
          <w:szCs w:val="24"/>
          <w:lang w:val="en-US"/>
        </w:rPr>
        <w:t xml:space="preserve">(CPRD) </w:t>
      </w:r>
      <w:r w:rsidRPr="00F776F7">
        <w:rPr>
          <w:sz w:val="24"/>
          <w:szCs w:val="24"/>
          <w:lang w:val="en-US"/>
        </w:rPr>
        <w:t>between January 2006 and December 2015</w:t>
      </w:r>
      <w:r w:rsidRPr="00F776F7">
        <w:rPr>
          <w:sz w:val="24"/>
          <w:szCs w:val="24"/>
          <w:lang w:val="en-US"/>
        </w:rPr>
        <w:fldChar w:fldCharType="begin"/>
      </w:r>
      <w:r w:rsidR="0001088A" w:rsidRPr="00F776F7">
        <w:rPr>
          <w:sz w:val="24"/>
          <w:szCs w:val="24"/>
          <w:lang w:val="en-US"/>
        </w:rPr>
        <w:instrText xml:space="preserve"> ADDIN EN.CITE &lt;EndNote&gt;&lt;Cite&gt;&lt;Author&gt;Qin&lt;/Author&gt;&lt;Year&gt;2017&lt;/Year&gt;&lt;RecNum&gt;70&lt;/RecNum&gt;&lt;DisplayText&gt;&lt;style face="superscript"&gt;9&lt;/style&gt;&lt;/DisplayText&gt;&lt;record&gt;&lt;rec-number&gt;70&lt;/rec-number&gt;&lt;foreign-keys&gt;&lt;key app="EN" db-id="0dd9vfr0h5r9seeps0expepexftfz2pwwd25" timestamp="1507538363"&gt;70&lt;/key&gt;&lt;/foreign-keys&gt;&lt;ref-type name="Journal Article"&gt;17&lt;/ref-type&gt;&lt;contributors&gt;&lt;authors&gt;&lt;author&gt;Qin, L&lt;/author&gt;&lt;author&gt;McEwan, P&lt;/author&gt;&lt;author&gt;Evans, M&lt;/author&gt;&lt;author&gt;Bergenheim, K&lt;/author&gt;&lt;author&gt;Horne, L&lt;/author&gt;&lt;author&gt;Grandy, S&lt;/author&gt;&lt;/authors&gt;&lt;/contributors&gt;&lt;titles&gt;&lt;title&gt;Association between serum potassium and clinical outcomes in UK patients with heart failure&lt;/title&gt;&lt;secondary-title&gt;European Heart Journal&lt;/secondary-title&gt;&lt;/titles&gt;&lt;periodical&gt;&lt;full-title&gt;European heart journal&lt;/full-title&gt;&lt;/periodical&gt;&lt;pages&gt;P4901&lt;/pages&gt;&lt;volume&gt;38&lt;/volume&gt;&lt;number&gt;Suppl. 1&lt;/number&gt;&lt;dates&gt;&lt;year&gt;2017&lt;/year&gt;&lt;/dates&gt;&lt;urls&gt;&lt;/urls&gt;&lt;/record&gt;&lt;/Cite&gt;&lt;/EndNote&gt;</w:instrText>
      </w:r>
      <w:r w:rsidRPr="00F776F7">
        <w:rPr>
          <w:sz w:val="24"/>
          <w:szCs w:val="24"/>
          <w:lang w:val="en-US"/>
        </w:rPr>
        <w:fldChar w:fldCharType="separate"/>
      </w:r>
      <w:r w:rsidR="0001088A" w:rsidRPr="00F776F7">
        <w:rPr>
          <w:noProof/>
          <w:sz w:val="24"/>
          <w:szCs w:val="24"/>
          <w:vertAlign w:val="superscript"/>
          <w:lang w:val="en-US"/>
        </w:rPr>
        <w:t>9</w:t>
      </w:r>
      <w:r w:rsidRPr="00F776F7">
        <w:rPr>
          <w:sz w:val="24"/>
          <w:szCs w:val="24"/>
          <w:lang w:val="en-US"/>
        </w:rPr>
        <w:fldChar w:fldCharType="end"/>
      </w:r>
      <w:r w:rsidR="00FE3FD3">
        <w:rPr>
          <w:sz w:val="24"/>
          <w:szCs w:val="24"/>
          <w:lang w:val="en-US"/>
        </w:rPr>
        <w:t xml:space="preserve">. If the variable was not included in that CPRD analysis, </w:t>
      </w:r>
      <w:r w:rsidRPr="00F776F7">
        <w:rPr>
          <w:sz w:val="24"/>
          <w:szCs w:val="24"/>
          <w:lang w:val="en-US"/>
        </w:rPr>
        <w:t>inputs were consistent with the baseline profile of the S</w:t>
      </w:r>
      <w:r w:rsidR="00280EDA" w:rsidRPr="00F776F7">
        <w:rPr>
          <w:sz w:val="24"/>
          <w:szCs w:val="24"/>
          <w:lang w:val="en-US"/>
        </w:rPr>
        <w:t>eattle Heart Failure Model</w:t>
      </w:r>
      <w:r w:rsidRPr="00F776F7">
        <w:rPr>
          <w:sz w:val="24"/>
          <w:szCs w:val="24"/>
          <w:lang w:val="en-US"/>
        </w:rPr>
        <w:t xml:space="preserve"> derivation cohort</w:t>
      </w:r>
      <w:r w:rsidRPr="00F776F7">
        <w:rPr>
          <w:sz w:val="24"/>
          <w:szCs w:val="24"/>
          <w:lang w:val="en-US"/>
        </w:rPr>
        <w:fldChar w:fldCharType="begin"/>
      </w:r>
      <w:r w:rsidR="0001088A" w:rsidRPr="00F776F7">
        <w:rPr>
          <w:sz w:val="24"/>
          <w:szCs w:val="24"/>
          <w:lang w:val="en-US"/>
        </w:rPr>
        <w:instrText xml:space="preserve"> ADDIN EN.CITE &lt;EndNote&gt;&lt;Cite&gt;&lt;Author&gt;Levy&lt;/Author&gt;&lt;Year&gt;2006&lt;/Year&gt;&lt;RecNum&gt;58&lt;/RecNum&gt;&lt;DisplayText&gt;&lt;style face="superscript"&gt;7&lt;/style&gt;&lt;/DisplayText&gt;&lt;record&gt;&lt;rec-number&gt;58&lt;/rec-number&gt;&lt;foreign-keys&gt;&lt;key app="EN" db-id="0dd9vfr0h5r9seeps0expepexftfz2pwwd25" timestamp="1502200347"&gt;58&lt;/key&gt;&lt;/foreign-keys&gt;&lt;ref-type name="Journal Article"&gt;17&lt;/ref-type&gt;&lt;contributors&gt;&lt;authors&gt;&lt;author&gt;Levy, Wayne C&lt;/author&gt;&lt;author&gt;Mozaffarian, Dariush&lt;/author&gt;&lt;author&gt;Linker, David T&lt;/author&gt;&lt;author&gt;Sutradhar, Santosh C&lt;/author&gt;&lt;author&gt;Anker, Stefan D&lt;/author&gt;&lt;author&gt;Cropp, Anne B&lt;/author&gt;&lt;author&gt;Anand, Inder&lt;/author&gt;&lt;author&gt;Maggioni, Aldo&lt;/author&gt;&lt;author&gt;Burton, Paul&lt;/author&gt;&lt;author&gt;Sullivan, Mark D&lt;/author&gt;&lt;/authors&gt;&lt;/contributors&gt;&lt;titles&gt;&lt;title&gt;The Seattle Heart Failure Model prediction of survival in heart failure&lt;/title&gt;&lt;secondary-title&gt;Circulation&lt;/secondary-title&gt;&lt;/titles&gt;&lt;periodical&gt;&lt;full-title&gt;Circulation&lt;/full-title&gt;&lt;/periodical&gt;&lt;pages&gt;1424-1433&lt;/pages&gt;&lt;volume&gt;113&lt;/volume&gt;&lt;number&gt;11&lt;/number&gt;&lt;dates&gt;&lt;year&gt;2006&lt;/year&gt;&lt;/dates&gt;&lt;isbn&gt;0009-7322&lt;/isbn&gt;&lt;urls&gt;&lt;/urls&gt;&lt;/record&gt;&lt;/Cite&gt;&lt;/EndNote&gt;</w:instrText>
      </w:r>
      <w:r w:rsidRPr="00F776F7">
        <w:rPr>
          <w:sz w:val="24"/>
          <w:szCs w:val="24"/>
          <w:lang w:val="en-US"/>
        </w:rPr>
        <w:fldChar w:fldCharType="separate"/>
      </w:r>
      <w:r w:rsidR="0001088A" w:rsidRPr="00F776F7">
        <w:rPr>
          <w:noProof/>
          <w:sz w:val="24"/>
          <w:szCs w:val="24"/>
          <w:vertAlign w:val="superscript"/>
          <w:lang w:val="en-US"/>
        </w:rPr>
        <w:t>7</w:t>
      </w:r>
      <w:r w:rsidRPr="00F776F7">
        <w:rPr>
          <w:sz w:val="24"/>
          <w:szCs w:val="24"/>
          <w:lang w:val="en-US"/>
        </w:rPr>
        <w:fldChar w:fldCharType="end"/>
      </w:r>
      <w:r w:rsidR="00D8299C">
        <w:rPr>
          <w:sz w:val="24"/>
          <w:szCs w:val="24"/>
          <w:lang w:val="en-US"/>
        </w:rPr>
        <w:t>.</w:t>
      </w:r>
      <w:r w:rsidRPr="00F776F7">
        <w:rPr>
          <w:sz w:val="24"/>
          <w:szCs w:val="24"/>
          <w:lang w:val="en-US"/>
        </w:rPr>
        <w:t xml:space="preserve"> </w:t>
      </w:r>
      <w:r w:rsidR="00F55B7E" w:rsidRPr="00A74DE5">
        <w:rPr>
          <w:sz w:val="24"/>
          <w:szCs w:val="24"/>
          <w:lang w:val="en-US"/>
        </w:rPr>
        <w:t>This approach was deemed appropriate, in the absence of available data, since the variables</w:t>
      </w:r>
      <w:r w:rsidR="00F55B7E">
        <w:rPr>
          <w:sz w:val="24"/>
          <w:szCs w:val="24"/>
          <w:lang w:val="en-US"/>
        </w:rPr>
        <w:t xml:space="preserve"> for which CPRD results were not available</w:t>
      </w:r>
      <w:r w:rsidR="00F55B7E" w:rsidRPr="00A74DE5">
        <w:rPr>
          <w:sz w:val="24"/>
          <w:szCs w:val="24"/>
          <w:lang w:val="en-US"/>
        </w:rPr>
        <w:t xml:space="preserve"> impact the prediction of mortality risk via the Seattle Heart Failure Model only.</w:t>
      </w:r>
    </w:p>
    <w:bookmarkEnd w:id="2"/>
    <w:p w14:paraId="5AE0054B" w14:textId="77777777" w:rsidR="00D278F5" w:rsidRDefault="00D278F5">
      <w:pPr>
        <w:spacing w:after="160" w:line="259" w:lineRule="auto"/>
        <w:jc w:val="left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5D5A13A7" w14:textId="7E493E17" w:rsidR="008F3905" w:rsidRPr="00F776F7" w:rsidRDefault="008F3905" w:rsidP="008F3905">
      <w:pPr>
        <w:pStyle w:val="Caption"/>
        <w:keepNext/>
        <w:keepLines/>
        <w:spacing w:after="0" w:line="48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F776F7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Table S2</w:t>
      </w:r>
      <w:r w:rsidR="00227C92">
        <w:rPr>
          <w:rFonts w:ascii="Times New Roman" w:hAnsi="Times New Roman"/>
          <w:color w:val="auto"/>
          <w:sz w:val="24"/>
          <w:szCs w:val="24"/>
          <w:lang w:val="en-US"/>
        </w:rPr>
        <w:t>.</w:t>
      </w:r>
      <w:r w:rsidRPr="00F776F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F776F7">
        <w:rPr>
          <w:rFonts w:ascii="Times New Roman" w:hAnsi="Times New Roman"/>
          <w:b w:val="0"/>
          <w:color w:val="auto"/>
          <w:sz w:val="24"/>
          <w:szCs w:val="24"/>
          <w:lang w:val="en-US"/>
        </w:rPr>
        <w:t>Baseline patient characteristics applied in model analyses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6"/>
        <w:gridCol w:w="2601"/>
        <w:gridCol w:w="1779"/>
      </w:tblGrid>
      <w:tr w:rsidR="008F3905" w:rsidRPr="00F776F7" w14:paraId="3674056B" w14:textId="77777777" w:rsidTr="00247C10">
        <w:tc>
          <w:tcPr>
            <w:tcW w:w="2713" w:type="pct"/>
            <w:shd w:val="clear" w:color="auto" w:fill="E7E6E6" w:themeFill="background2"/>
          </w:tcPr>
          <w:p w14:paraId="63B0CEFF" w14:textId="77777777" w:rsidR="008F3905" w:rsidRPr="00F776F7" w:rsidRDefault="008F3905" w:rsidP="00EB7A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 characteristic</w:t>
            </w:r>
          </w:p>
        </w:tc>
        <w:tc>
          <w:tcPr>
            <w:tcW w:w="1358" w:type="pct"/>
            <w:shd w:val="clear" w:color="auto" w:fill="E7E6E6" w:themeFill="background2"/>
            <w:vAlign w:val="center"/>
          </w:tcPr>
          <w:p w14:paraId="11020AF8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Input value</w:t>
            </w:r>
          </w:p>
        </w:tc>
        <w:tc>
          <w:tcPr>
            <w:tcW w:w="929" w:type="pct"/>
            <w:shd w:val="clear" w:color="auto" w:fill="E7E6E6" w:themeFill="background2"/>
            <w:vAlign w:val="center"/>
          </w:tcPr>
          <w:p w14:paraId="166B8903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Source</w:t>
            </w:r>
          </w:p>
        </w:tc>
      </w:tr>
      <w:tr w:rsidR="008F3905" w:rsidRPr="00F776F7" w14:paraId="7A213561" w14:textId="77777777" w:rsidTr="00247C10">
        <w:trPr>
          <w:trHeight w:val="192"/>
        </w:trPr>
        <w:tc>
          <w:tcPr>
            <w:tcW w:w="2713" w:type="pct"/>
            <w:vAlign w:val="center"/>
          </w:tcPr>
          <w:p w14:paraId="1C009EBC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1358" w:type="pct"/>
            <w:vAlign w:val="center"/>
          </w:tcPr>
          <w:p w14:paraId="5ED64300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73</w:t>
            </w:r>
          </w:p>
        </w:tc>
        <w:tc>
          <w:tcPr>
            <w:tcW w:w="929" w:type="pct"/>
            <w:vMerge w:val="restart"/>
            <w:vAlign w:val="center"/>
          </w:tcPr>
          <w:p w14:paraId="5CD53363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CPRD</w:t>
            </w:r>
          </w:p>
        </w:tc>
      </w:tr>
      <w:tr w:rsidR="008F3905" w:rsidRPr="00F776F7" w14:paraId="33955CE8" w14:textId="77777777" w:rsidTr="00247C10">
        <w:trPr>
          <w:trHeight w:val="192"/>
        </w:trPr>
        <w:tc>
          <w:tcPr>
            <w:tcW w:w="2713" w:type="pct"/>
            <w:vAlign w:val="center"/>
          </w:tcPr>
          <w:p w14:paraId="6709B0F7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Proportion female </w:t>
            </w:r>
          </w:p>
        </w:tc>
        <w:tc>
          <w:tcPr>
            <w:tcW w:w="1358" w:type="pct"/>
            <w:vAlign w:val="center"/>
          </w:tcPr>
          <w:p w14:paraId="79D6CEC4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0.43</w:t>
            </w:r>
          </w:p>
        </w:tc>
        <w:tc>
          <w:tcPr>
            <w:tcW w:w="929" w:type="pct"/>
            <w:vMerge/>
            <w:vAlign w:val="center"/>
          </w:tcPr>
          <w:p w14:paraId="40C729A4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8F3905" w:rsidRPr="00F776F7" w14:paraId="7C3B6CB6" w14:textId="77777777" w:rsidTr="00247C10">
        <w:trPr>
          <w:trHeight w:val="192"/>
        </w:trPr>
        <w:tc>
          <w:tcPr>
            <w:tcW w:w="2713" w:type="pct"/>
            <w:vAlign w:val="center"/>
          </w:tcPr>
          <w:p w14:paraId="041A1271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eGFR (mL/min/1.73m</w:t>
            </w:r>
            <w:r w:rsidRPr="00F776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776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58" w:type="pct"/>
            <w:vAlign w:val="center"/>
          </w:tcPr>
          <w:p w14:paraId="77422A93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67</w:t>
            </w:r>
          </w:p>
        </w:tc>
        <w:tc>
          <w:tcPr>
            <w:tcW w:w="929" w:type="pct"/>
            <w:vMerge/>
            <w:vAlign w:val="center"/>
          </w:tcPr>
          <w:p w14:paraId="40684C14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8F3905" w:rsidRPr="00F776F7" w14:paraId="280B6159" w14:textId="77777777" w:rsidTr="00247C10">
        <w:trPr>
          <w:trHeight w:val="192"/>
        </w:trPr>
        <w:tc>
          <w:tcPr>
            <w:tcW w:w="2713" w:type="pct"/>
            <w:vAlign w:val="center"/>
          </w:tcPr>
          <w:p w14:paraId="0EC66CF8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Proportion in NYHA functional class I, II, III, IV</w:t>
            </w:r>
          </w:p>
        </w:tc>
        <w:tc>
          <w:tcPr>
            <w:tcW w:w="1358" w:type="pct"/>
            <w:vAlign w:val="center"/>
          </w:tcPr>
          <w:p w14:paraId="6D4F1A77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0.4, 0.3, 0.2, 0.1</w:t>
            </w:r>
          </w:p>
        </w:tc>
        <w:tc>
          <w:tcPr>
            <w:tcW w:w="929" w:type="pct"/>
            <w:vAlign w:val="center"/>
          </w:tcPr>
          <w:p w14:paraId="0EB7462A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Assumption</w:t>
            </w:r>
          </w:p>
        </w:tc>
      </w:tr>
      <w:tr w:rsidR="008F3905" w:rsidRPr="00F776F7" w14:paraId="1067D819" w14:textId="77777777" w:rsidTr="00247C10">
        <w:tc>
          <w:tcPr>
            <w:tcW w:w="2713" w:type="pct"/>
            <w:shd w:val="clear" w:color="auto" w:fill="auto"/>
            <w:vAlign w:val="center"/>
          </w:tcPr>
          <w:p w14:paraId="57A24DA0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Systolic blood pressure (mmHg)</w:t>
            </w:r>
          </w:p>
        </w:tc>
        <w:tc>
          <w:tcPr>
            <w:tcW w:w="1358" w:type="pct"/>
            <w:vAlign w:val="center"/>
          </w:tcPr>
          <w:p w14:paraId="0888D91B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129</w:t>
            </w:r>
          </w:p>
        </w:tc>
        <w:tc>
          <w:tcPr>
            <w:tcW w:w="929" w:type="pct"/>
            <w:vMerge w:val="restart"/>
            <w:vAlign w:val="center"/>
          </w:tcPr>
          <w:p w14:paraId="04FD9C75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CPRD</w:t>
            </w:r>
          </w:p>
        </w:tc>
      </w:tr>
      <w:tr w:rsidR="008F3905" w:rsidRPr="00F776F7" w14:paraId="5B2F3542" w14:textId="77777777" w:rsidTr="00247C10">
        <w:trPr>
          <w:trHeight w:val="70"/>
        </w:trPr>
        <w:tc>
          <w:tcPr>
            <w:tcW w:w="2713" w:type="pct"/>
            <w:shd w:val="clear" w:color="auto" w:fill="auto"/>
            <w:vAlign w:val="center"/>
          </w:tcPr>
          <w:p w14:paraId="7AD9F545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Total cholesterol (mg/dL)</w:t>
            </w:r>
          </w:p>
        </w:tc>
        <w:tc>
          <w:tcPr>
            <w:tcW w:w="1358" w:type="pct"/>
            <w:vAlign w:val="center"/>
          </w:tcPr>
          <w:p w14:paraId="16A34F21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169</w:t>
            </w:r>
          </w:p>
        </w:tc>
        <w:tc>
          <w:tcPr>
            <w:tcW w:w="929" w:type="pct"/>
            <w:vMerge/>
            <w:vAlign w:val="center"/>
          </w:tcPr>
          <w:p w14:paraId="121F7098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8F3905" w:rsidRPr="00F776F7" w14:paraId="11DA670D" w14:textId="77777777" w:rsidTr="00247C10">
        <w:tc>
          <w:tcPr>
            <w:tcW w:w="2713" w:type="pct"/>
            <w:shd w:val="clear" w:color="auto" w:fill="auto"/>
            <w:vAlign w:val="center"/>
          </w:tcPr>
          <w:p w14:paraId="3D1B0E1A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Haemoglobin (g/dL)</w:t>
            </w:r>
          </w:p>
        </w:tc>
        <w:tc>
          <w:tcPr>
            <w:tcW w:w="1358" w:type="pct"/>
            <w:vAlign w:val="center"/>
          </w:tcPr>
          <w:p w14:paraId="51F8CF37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13.9</w:t>
            </w:r>
          </w:p>
        </w:tc>
        <w:tc>
          <w:tcPr>
            <w:tcW w:w="929" w:type="pct"/>
            <w:vMerge/>
            <w:vAlign w:val="center"/>
          </w:tcPr>
          <w:p w14:paraId="51324DAB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8F3905" w:rsidRPr="00F776F7" w14:paraId="63C776DD" w14:textId="77777777" w:rsidTr="00247C10">
        <w:tc>
          <w:tcPr>
            <w:tcW w:w="2713" w:type="pct"/>
            <w:shd w:val="clear" w:color="auto" w:fill="auto"/>
            <w:vAlign w:val="center"/>
          </w:tcPr>
          <w:p w14:paraId="02B00D9B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Lymphocytes (%)</w:t>
            </w:r>
          </w:p>
        </w:tc>
        <w:tc>
          <w:tcPr>
            <w:tcW w:w="1358" w:type="pct"/>
            <w:vAlign w:val="center"/>
          </w:tcPr>
          <w:p w14:paraId="3706A968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26</w:t>
            </w:r>
          </w:p>
        </w:tc>
        <w:tc>
          <w:tcPr>
            <w:tcW w:w="929" w:type="pct"/>
            <w:vMerge w:val="restart"/>
            <w:vAlign w:val="center"/>
          </w:tcPr>
          <w:p w14:paraId="159DDA2C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SHFM</w:t>
            </w:r>
          </w:p>
        </w:tc>
      </w:tr>
      <w:tr w:rsidR="008F3905" w:rsidRPr="00F776F7" w14:paraId="0C250D83" w14:textId="77777777" w:rsidTr="00247C10">
        <w:tc>
          <w:tcPr>
            <w:tcW w:w="2713" w:type="pct"/>
            <w:shd w:val="clear" w:color="auto" w:fill="auto"/>
            <w:vAlign w:val="center"/>
          </w:tcPr>
          <w:p w14:paraId="7627F4EB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Sodium (mEq/L)</w:t>
            </w:r>
          </w:p>
        </w:tc>
        <w:tc>
          <w:tcPr>
            <w:tcW w:w="1358" w:type="pct"/>
            <w:vAlign w:val="center"/>
          </w:tcPr>
          <w:p w14:paraId="75EBC624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139</w:t>
            </w:r>
          </w:p>
        </w:tc>
        <w:tc>
          <w:tcPr>
            <w:tcW w:w="929" w:type="pct"/>
            <w:vMerge/>
            <w:vAlign w:val="center"/>
          </w:tcPr>
          <w:p w14:paraId="711D4D22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8F3905" w:rsidRPr="00F776F7" w14:paraId="5AC6A7E7" w14:textId="77777777" w:rsidTr="00247C10">
        <w:tc>
          <w:tcPr>
            <w:tcW w:w="2713" w:type="pct"/>
            <w:shd w:val="clear" w:color="auto" w:fill="auto"/>
            <w:vAlign w:val="center"/>
          </w:tcPr>
          <w:p w14:paraId="04840D52" w14:textId="77777777" w:rsidR="008F3905" w:rsidRPr="00F776F7" w:rsidRDefault="008F3905" w:rsidP="00EB7A3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Uric acid (mg/dL)</w:t>
            </w:r>
          </w:p>
        </w:tc>
        <w:tc>
          <w:tcPr>
            <w:tcW w:w="1358" w:type="pct"/>
            <w:vAlign w:val="center"/>
          </w:tcPr>
          <w:p w14:paraId="58FFB524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8.9</w:t>
            </w:r>
          </w:p>
        </w:tc>
        <w:tc>
          <w:tcPr>
            <w:tcW w:w="929" w:type="pct"/>
            <w:vMerge/>
            <w:vAlign w:val="center"/>
          </w:tcPr>
          <w:p w14:paraId="64D50250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8F3905" w:rsidRPr="00F776F7" w14:paraId="4BFFD292" w14:textId="77777777" w:rsidTr="00247C10">
        <w:tc>
          <w:tcPr>
            <w:tcW w:w="2713" w:type="pct"/>
            <w:shd w:val="clear" w:color="auto" w:fill="auto"/>
            <w:vAlign w:val="bottom"/>
          </w:tcPr>
          <w:p w14:paraId="122437E4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Proportion beta blocker use</w:t>
            </w:r>
          </w:p>
        </w:tc>
        <w:tc>
          <w:tcPr>
            <w:tcW w:w="1358" w:type="pct"/>
            <w:vAlign w:val="center"/>
          </w:tcPr>
          <w:p w14:paraId="1280D9AE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0.45</w:t>
            </w:r>
          </w:p>
        </w:tc>
        <w:tc>
          <w:tcPr>
            <w:tcW w:w="929" w:type="pct"/>
            <w:vAlign w:val="center"/>
          </w:tcPr>
          <w:p w14:paraId="742BB65C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CPRD</w:t>
            </w:r>
          </w:p>
        </w:tc>
      </w:tr>
      <w:tr w:rsidR="008F3905" w:rsidRPr="00F776F7" w14:paraId="267E020B" w14:textId="77777777" w:rsidTr="00247C10">
        <w:tc>
          <w:tcPr>
            <w:tcW w:w="2713" w:type="pct"/>
            <w:shd w:val="clear" w:color="auto" w:fill="auto"/>
            <w:vAlign w:val="center"/>
          </w:tcPr>
          <w:p w14:paraId="303DFB4A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Proportion allopurinol use</w:t>
            </w:r>
          </w:p>
        </w:tc>
        <w:tc>
          <w:tcPr>
            <w:tcW w:w="1358" w:type="pct"/>
            <w:vAlign w:val="center"/>
          </w:tcPr>
          <w:p w14:paraId="54DE0DF6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0.1</w:t>
            </w:r>
          </w:p>
        </w:tc>
        <w:tc>
          <w:tcPr>
            <w:tcW w:w="929" w:type="pct"/>
            <w:vMerge w:val="restart"/>
            <w:vAlign w:val="center"/>
          </w:tcPr>
          <w:p w14:paraId="65CA8C87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SHFM</w:t>
            </w:r>
          </w:p>
        </w:tc>
      </w:tr>
      <w:tr w:rsidR="008F3905" w:rsidRPr="00F776F7" w14:paraId="64318CB4" w14:textId="77777777" w:rsidTr="00247C10">
        <w:tc>
          <w:tcPr>
            <w:tcW w:w="2713" w:type="pct"/>
            <w:shd w:val="clear" w:color="auto" w:fill="auto"/>
            <w:vAlign w:val="center"/>
          </w:tcPr>
          <w:p w14:paraId="4B212228" w14:textId="77777777" w:rsidR="008F3905" w:rsidRPr="00F776F7" w:rsidRDefault="008F3905" w:rsidP="00EB7A3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Proportion K</w:t>
            </w: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+</w:t>
            </w: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-sparing diuretic use</w:t>
            </w:r>
          </w:p>
        </w:tc>
        <w:tc>
          <w:tcPr>
            <w:tcW w:w="1358" w:type="pct"/>
            <w:vAlign w:val="center"/>
          </w:tcPr>
          <w:p w14:paraId="51284148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29" w:type="pct"/>
            <w:vMerge/>
            <w:vAlign w:val="center"/>
          </w:tcPr>
          <w:p w14:paraId="105D3E73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8F3905" w:rsidRPr="00F776F7" w14:paraId="4E298242" w14:textId="77777777" w:rsidTr="00247C10">
        <w:tc>
          <w:tcPr>
            <w:tcW w:w="2713" w:type="pct"/>
            <w:shd w:val="clear" w:color="auto" w:fill="auto"/>
            <w:vAlign w:val="center"/>
          </w:tcPr>
          <w:p w14:paraId="5BEFC7CE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Diuretic dose (mg/kg)</w:t>
            </w:r>
          </w:p>
        </w:tc>
        <w:tc>
          <w:tcPr>
            <w:tcW w:w="1358" w:type="pct"/>
            <w:vAlign w:val="center"/>
          </w:tcPr>
          <w:p w14:paraId="18D111B0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1.45</w:t>
            </w:r>
          </w:p>
        </w:tc>
        <w:tc>
          <w:tcPr>
            <w:tcW w:w="929" w:type="pct"/>
            <w:vMerge/>
            <w:vAlign w:val="center"/>
          </w:tcPr>
          <w:p w14:paraId="27A05D56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8F3905" w:rsidRPr="00F776F7" w14:paraId="18425107" w14:textId="77777777" w:rsidTr="00247C10">
        <w:tc>
          <w:tcPr>
            <w:tcW w:w="2713" w:type="pct"/>
            <w:shd w:val="clear" w:color="auto" w:fill="auto"/>
            <w:vAlign w:val="center"/>
          </w:tcPr>
          <w:p w14:paraId="29770BE6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Proportion ICD use </w:t>
            </w:r>
          </w:p>
        </w:tc>
        <w:tc>
          <w:tcPr>
            <w:tcW w:w="1358" w:type="pct"/>
            <w:vAlign w:val="center"/>
          </w:tcPr>
          <w:p w14:paraId="57103BF0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929" w:type="pct"/>
            <w:vMerge/>
            <w:vAlign w:val="center"/>
          </w:tcPr>
          <w:p w14:paraId="24D847AC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8F3905" w:rsidRPr="00F776F7" w14:paraId="6D1507F1" w14:textId="77777777" w:rsidTr="00247C10">
        <w:tc>
          <w:tcPr>
            <w:tcW w:w="2713" w:type="pct"/>
            <w:shd w:val="clear" w:color="auto" w:fill="auto"/>
            <w:vAlign w:val="center"/>
          </w:tcPr>
          <w:p w14:paraId="432B2E38" w14:textId="77777777" w:rsidR="008F3905" w:rsidRPr="00F776F7" w:rsidRDefault="008F3905" w:rsidP="00EB7A3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Proportion CRT-D use </w:t>
            </w:r>
          </w:p>
        </w:tc>
        <w:tc>
          <w:tcPr>
            <w:tcW w:w="1358" w:type="pct"/>
            <w:vAlign w:val="center"/>
          </w:tcPr>
          <w:p w14:paraId="6A98E86B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F776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929" w:type="pct"/>
            <w:vMerge/>
            <w:vAlign w:val="center"/>
          </w:tcPr>
          <w:p w14:paraId="0719350E" w14:textId="77777777" w:rsidR="008F3905" w:rsidRPr="00F776F7" w:rsidRDefault="008F3905" w:rsidP="00EB7A3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</w:tc>
      </w:tr>
      <w:tr w:rsidR="008F3905" w:rsidRPr="00227C92" w14:paraId="262E7D37" w14:textId="77777777" w:rsidTr="006A105A">
        <w:trPr>
          <w:trHeight w:val="477"/>
        </w:trPr>
        <w:tc>
          <w:tcPr>
            <w:tcW w:w="5000" w:type="pct"/>
            <w:gridSpan w:val="3"/>
            <w:vAlign w:val="center"/>
          </w:tcPr>
          <w:p w14:paraId="5ADE88AF" w14:textId="598FA279" w:rsidR="008F3905" w:rsidRPr="00227C92" w:rsidRDefault="008F3905" w:rsidP="00EB7A3C">
            <w:pPr>
              <w:pStyle w:val="NoSpacing"/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4"/>
                <w:lang w:val="en-US"/>
              </w:rPr>
            </w:pPr>
            <w:r w:rsidRPr="00227C92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4"/>
                <w:lang w:val="en-US"/>
              </w:rPr>
              <w:t>CPRD: Clinical Practice Research Datalink;</w:t>
            </w:r>
            <w:r w:rsidRPr="00227C92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CRT-D: </w:t>
            </w:r>
            <w:r w:rsidRPr="00227C92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4"/>
                <w:lang w:val="en-US"/>
              </w:rPr>
              <w:t xml:space="preserve">cardiac resynchronization therapy defibrillator; ICD: </w:t>
            </w:r>
            <w:r w:rsidRPr="00227C92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implantable cardioverter-defibrillator</w:t>
            </w:r>
            <w:r w:rsidRPr="00227C92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4"/>
                <w:lang w:val="en-US"/>
              </w:rPr>
              <w:t>; NYHA: New York Heart Association; SHFM: Seattle Heart Failure Model</w:t>
            </w:r>
          </w:p>
        </w:tc>
      </w:tr>
    </w:tbl>
    <w:p w14:paraId="4FB908B5" w14:textId="77777777" w:rsidR="00DC5FB2" w:rsidRDefault="00DC5FB2" w:rsidP="004D762D">
      <w:pPr>
        <w:rPr>
          <w:lang w:val="en-US"/>
        </w:rPr>
      </w:pPr>
    </w:p>
    <w:p w14:paraId="11CAB692" w14:textId="37FF1442" w:rsidR="008F3905" w:rsidRDefault="00DC5FB2" w:rsidP="00DC5FB2">
      <w:pPr>
        <w:pStyle w:val="Heading2"/>
        <w:rPr>
          <w:rFonts w:cs="Times New Roman"/>
          <w:sz w:val="24"/>
          <w:szCs w:val="24"/>
          <w:lang w:val="en-US"/>
        </w:rPr>
      </w:pPr>
      <w:r w:rsidRPr="004D762D">
        <w:rPr>
          <w:rFonts w:cs="Times New Roman"/>
          <w:sz w:val="24"/>
          <w:szCs w:val="24"/>
          <w:lang w:val="en-US"/>
        </w:rPr>
        <w:t>Event rates estimated from the model</w:t>
      </w:r>
    </w:p>
    <w:p w14:paraId="4955729B" w14:textId="0DA2A3F0" w:rsidR="00F55B7E" w:rsidRDefault="00F55B7E" w:rsidP="00F55B7E">
      <w:pPr>
        <w:rPr>
          <w:sz w:val="24"/>
          <w:szCs w:val="24"/>
          <w:lang w:val="en-US"/>
        </w:rPr>
      </w:pPr>
      <w:r w:rsidRPr="004D762D">
        <w:rPr>
          <w:sz w:val="24"/>
          <w:szCs w:val="24"/>
          <w:lang w:val="en-US"/>
        </w:rPr>
        <w:t xml:space="preserve">To aid interpretation of </w:t>
      </w:r>
      <w:r>
        <w:rPr>
          <w:sz w:val="24"/>
          <w:szCs w:val="24"/>
          <w:lang w:val="en-US"/>
        </w:rPr>
        <w:t>the relationship between key patient characteristics</w:t>
      </w:r>
      <w:r w:rsidR="00D525A9">
        <w:rPr>
          <w:sz w:val="24"/>
          <w:szCs w:val="24"/>
          <w:lang w:val="en-US"/>
        </w:rPr>
        <w:t xml:space="preserve"> and modelled </w:t>
      </w:r>
      <w:r>
        <w:rPr>
          <w:sz w:val="24"/>
          <w:szCs w:val="24"/>
          <w:lang w:val="en-US"/>
        </w:rPr>
        <w:t>event rates</w:t>
      </w:r>
      <w:r w:rsidRPr="004D762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the </w:t>
      </w:r>
      <w:r w:rsidR="00D525A9">
        <w:rPr>
          <w:sz w:val="24"/>
          <w:szCs w:val="24"/>
          <w:lang w:val="en-US"/>
        </w:rPr>
        <w:t>cumulative number of</w:t>
      </w:r>
      <w:r>
        <w:rPr>
          <w:sz w:val="24"/>
          <w:szCs w:val="24"/>
          <w:lang w:val="en-US"/>
        </w:rPr>
        <w:t xml:space="preserve"> mortality and </w:t>
      </w:r>
      <w:r w:rsidR="00D525A9">
        <w:rPr>
          <w:sz w:val="24"/>
          <w:szCs w:val="24"/>
          <w:lang w:val="en-US"/>
        </w:rPr>
        <w:t>hospitalization events</w:t>
      </w:r>
      <w:r>
        <w:rPr>
          <w:sz w:val="24"/>
          <w:szCs w:val="24"/>
          <w:lang w:val="en-US"/>
        </w:rPr>
        <w:t xml:space="preserve"> estimated by the model </w:t>
      </w:r>
      <w:r w:rsidR="00D525A9">
        <w:rPr>
          <w:sz w:val="24"/>
          <w:szCs w:val="24"/>
          <w:lang w:val="en-US"/>
        </w:rPr>
        <w:t xml:space="preserve">are presented in Figure S1, </w:t>
      </w:r>
      <w:r>
        <w:rPr>
          <w:sz w:val="24"/>
          <w:szCs w:val="24"/>
          <w:lang w:val="en-US"/>
        </w:rPr>
        <w:t xml:space="preserve">according to heart failure severity (defined according to New York Heart Association (NYHA) class), </w:t>
      </w:r>
      <w:r w:rsidRPr="00BD4C7F">
        <w:rPr>
          <w:sz w:val="24"/>
          <w:szCs w:val="24"/>
          <w:lang w:val="en-US"/>
        </w:rPr>
        <w:t>renin-angiotensin-aldosterone system inhibitor</w:t>
      </w:r>
      <w:r>
        <w:rPr>
          <w:sz w:val="24"/>
          <w:szCs w:val="24"/>
          <w:lang w:val="en-US"/>
        </w:rPr>
        <w:t xml:space="preserve"> (RAASi) use and serum potassium status (normokalaemia or </w:t>
      </w:r>
      <w:proofErr w:type="spellStart"/>
      <w:r>
        <w:rPr>
          <w:sz w:val="24"/>
          <w:szCs w:val="24"/>
          <w:lang w:val="en-US"/>
        </w:rPr>
        <w:t>hyperkalaemia</w:t>
      </w:r>
      <w:proofErr w:type="spellEnd"/>
      <w:r>
        <w:rPr>
          <w:sz w:val="24"/>
          <w:szCs w:val="24"/>
          <w:lang w:val="en-US"/>
        </w:rPr>
        <w:t>).</w:t>
      </w:r>
    </w:p>
    <w:p w14:paraId="556BB4CD" w14:textId="77777777" w:rsidR="00F55B7E" w:rsidRDefault="00F55B7E" w:rsidP="00F55B7E">
      <w:pPr>
        <w:rPr>
          <w:sz w:val="24"/>
          <w:szCs w:val="24"/>
          <w:lang w:val="en-US"/>
        </w:rPr>
      </w:pPr>
    </w:p>
    <w:p w14:paraId="6E1A850A" w14:textId="354BE5B4" w:rsidR="00F55B7E" w:rsidRDefault="00F55B7E" w:rsidP="00F55B7E">
      <w:pPr>
        <w:rPr>
          <w:sz w:val="24"/>
          <w:szCs w:val="24"/>
          <w:lang w:val="en-US"/>
        </w:rPr>
      </w:pPr>
      <w:r w:rsidRPr="00961F73">
        <w:rPr>
          <w:sz w:val="24"/>
          <w:szCs w:val="24"/>
          <w:lang w:val="en-US"/>
        </w:rPr>
        <w:t>All settings were as described in the base</w:t>
      </w:r>
      <w:r>
        <w:rPr>
          <w:sz w:val="24"/>
          <w:szCs w:val="24"/>
          <w:lang w:val="en-US"/>
        </w:rPr>
        <w:t xml:space="preserve"> </w:t>
      </w:r>
      <w:r w:rsidRPr="00961F73">
        <w:rPr>
          <w:sz w:val="24"/>
          <w:szCs w:val="24"/>
          <w:lang w:val="en-US"/>
        </w:rPr>
        <w:t>case scenario</w:t>
      </w:r>
      <w:r w:rsidR="00D525A9">
        <w:rPr>
          <w:sz w:val="24"/>
          <w:szCs w:val="24"/>
          <w:lang w:val="en-US"/>
        </w:rPr>
        <w:t xml:space="preserve"> with</w:t>
      </w:r>
      <w:r w:rsidRPr="00961F73">
        <w:rPr>
          <w:sz w:val="24"/>
          <w:szCs w:val="24"/>
          <w:lang w:val="en-US"/>
        </w:rPr>
        <w:t xml:space="preserve"> RAASi use, unless otherwise specified. </w:t>
      </w:r>
      <w:r>
        <w:rPr>
          <w:sz w:val="24"/>
          <w:szCs w:val="24"/>
          <w:lang w:val="en-US"/>
        </w:rPr>
        <w:t>NYHA class was held constant. In the n</w:t>
      </w:r>
      <w:r w:rsidRPr="00961F73">
        <w:rPr>
          <w:sz w:val="24"/>
          <w:szCs w:val="24"/>
          <w:lang w:val="en-US"/>
        </w:rPr>
        <w:t xml:space="preserve">ormokalaemia </w:t>
      </w:r>
      <w:r>
        <w:rPr>
          <w:sz w:val="24"/>
          <w:szCs w:val="24"/>
          <w:lang w:val="en-US"/>
        </w:rPr>
        <w:t xml:space="preserve">scenario </w:t>
      </w:r>
      <w:r w:rsidRPr="00961F73">
        <w:rPr>
          <w:sz w:val="24"/>
          <w:szCs w:val="24"/>
          <w:lang w:val="en-US"/>
        </w:rPr>
        <w:t>potassium level</w:t>
      </w:r>
      <w:r>
        <w:rPr>
          <w:sz w:val="24"/>
          <w:szCs w:val="24"/>
          <w:lang w:val="en-US"/>
        </w:rPr>
        <w:t>s</w:t>
      </w:r>
      <w:r w:rsidRPr="00961F73">
        <w:rPr>
          <w:sz w:val="24"/>
          <w:szCs w:val="24"/>
          <w:lang w:val="en-US"/>
        </w:rPr>
        <w:t xml:space="preserve"> of 4.5 mEq/L</w:t>
      </w:r>
      <w:r>
        <w:rPr>
          <w:sz w:val="24"/>
          <w:szCs w:val="24"/>
          <w:lang w:val="en-US"/>
        </w:rPr>
        <w:t xml:space="preserve"> were modelled</w:t>
      </w:r>
      <w:r w:rsidRPr="00961F73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 xml:space="preserve">while in the hyperkalemia scenario </w:t>
      </w:r>
      <w:r w:rsidRPr="00961F73">
        <w:rPr>
          <w:sz w:val="24"/>
          <w:szCs w:val="24"/>
          <w:lang w:val="en-US"/>
        </w:rPr>
        <w:t>potassium levels were sampled around this point using a</w:t>
      </w:r>
      <w:r>
        <w:rPr>
          <w:sz w:val="24"/>
          <w:szCs w:val="24"/>
          <w:lang w:val="en-US"/>
        </w:rPr>
        <w:t xml:space="preserve"> standard deviation</w:t>
      </w:r>
      <w:r w:rsidRPr="00961F73">
        <w:rPr>
          <w:sz w:val="24"/>
          <w:szCs w:val="24"/>
          <w:lang w:val="en-US"/>
        </w:rPr>
        <w:t xml:space="preserve"> of 0.5.mEq/L to allow the incidence of hyperkalemia events.</w:t>
      </w:r>
    </w:p>
    <w:p w14:paraId="4C6EBEA9" w14:textId="6DDBD67D" w:rsidR="00F55B7E" w:rsidRDefault="00F55B7E" w:rsidP="004D762D">
      <w:pPr>
        <w:rPr>
          <w:sz w:val="24"/>
          <w:szCs w:val="24"/>
          <w:lang w:val="en-US"/>
        </w:rPr>
        <w:sectPr w:rsidR="00F55B7E" w:rsidSect="00257362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3797E13" w14:textId="447F32FA" w:rsidR="00265D27" w:rsidRPr="00265D27" w:rsidRDefault="00BD4C7F" w:rsidP="00265D27">
      <w:pPr>
        <w:pStyle w:val="Caption"/>
        <w:keepNext/>
        <w:keepLines/>
        <w:spacing w:after="0" w:line="480" w:lineRule="auto"/>
        <w:rPr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Figure</w:t>
      </w:r>
      <w:r w:rsidRPr="00F776F7">
        <w:rPr>
          <w:rFonts w:ascii="Times New Roman" w:hAnsi="Times New Roman"/>
          <w:color w:val="auto"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1.</w:t>
      </w:r>
      <w:r w:rsidRPr="00F776F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B248B7">
        <w:rPr>
          <w:rFonts w:ascii="Times New Roman" w:hAnsi="Times New Roman"/>
          <w:b w:val="0"/>
          <w:color w:val="auto"/>
          <w:sz w:val="24"/>
          <w:szCs w:val="24"/>
          <w:lang w:val="en-US"/>
        </w:rPr>
        <w:t>Model-estimated cumulative events over five years, according to NYHA class (a and c), RAASi use (b and d) and incidence of hyperkalemia (e)</w:t>
      </w:r>
    </w:p>
    <w:p w14:paraId="560F953B" w14:textId="4BC2F064" w:rsidR="00BD4C7F" w:rsidRPr="004D762D" w:rsidRDefault="00F604FA" w:rsidP="004D762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108D0B57" wp14:editId="72F5B64E">
            <wp:extent cx="8402091" cy="443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ot v0.4.tif"/>
                    <pic:cNvPicPr/>
                  </pic:nvPicPr>
                  <pic:blipFill rotWithShape="1">
                    <a:blip r:embed="rId9"/>
                    <a:srcRect l="1158" t="3607" r="2662" b="3240"/>
                    <a:stretch/>
                  </pic:blipFill>
                  <pic:spPr bwMode="auto">
                    <a:xfrm>
                      <a:off x="0" y="0"/>
                      <a:ext cx="8403949" cy="4439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665E8" w14:textId="77777777" w:rsidR="004D4639" w:rsidRDefault="004D4639" w:rsidP="004D4639">
      <w:pPr>
        <w:rPr>
          <w:rFonts w:eastAsiaTheme="minorHAnsi"/>
          <w:i/>
          <w:color w:val="000000"/>
          <w:kern w:val="24"/>
          <w:szCs w:val="24"/>
          <w:lang w:val="en-US" w:eastAsia="en-US"/>
        </w:rPr>
      </w:pPr>
      <w:r>
        <w:rPr>
          <w:rFonts w:eastAsiaTheme="minorHAnsi"/>
          <w:i/>
          <w:color w:val="000000"/>
          <w:kern w:val="24"/>
          <w:szCs w:val="24"/>
          <w:lang w:val="en-US" w:eastAsia="en-US"/>
        </w:rPr>
        <w:t xml:space="preserve">NYHA: New York Heart Association; </w:t>
      </w:r>
      <w:r w:rsidRPr="004D4639">
        <w:rPr>
          <w:rFonts w:eastAsiaTheme="minorHAnsi"/>
          <w:i/>
          <w:color w:val="000000"/>
          <w:kern w:val="24"/>
          <w:szCs w:val="24"/>
          <w:lang w:val="en-US" w:eastAsia="en-US"/>
        </w:rPr>
        <w:t>RAASi: renin-angiotensin-aldosterone system inhibitor</w:t>
      </w:r>
    </w:p>
    <w:p w14:paraId="6BA1EC3B" w14:textId="77777777" w:rsidR="00961F73" w:rsidRDefault="00961F73" w:rsidP="005716D6">
      <w:pPr>
        <w:pStyle w:val="Heading2"/>
        <w:jc w:val="left"/>
        <w:rPr>
          <w:sz w:val="24"/>
          <w:szCs w:val="24"/>
          <w:lang w:val="en-US"/>
        </w:rPr>
        <w:sectPr w:rsidR="00961F73" w:rsidSect="00961F7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3" w:name="_GoBack"/>
      <w:bookmarkEnd w:id="3"/>
    </w:p>
    <w:p w14:paraId="614A6861" w14:textId="6540379A" w:rsidR="005716D6" w:rsidRDefault="008F3905" w:rsidP="005716D6">
      <w:pPr>
        <w:pStyle w:val="Heading2"/>
        <w:jc w:val="left"/>
        <w:rPr>
          <w:sz w:val="24"/>
          <w:szCs w:val="24"/>
          <w:lang w:val="en-US"/>
        </w:rPr>
      </w:pPr>
      <w:r w:rsidRPr="00F776F7">
        <w:rPr>
          <w:sz w:val="24"/>
          <w:szCs w:val="24"/>
          <w:lang w:val="en-US"/>
        </w:rPr>
        <w:lastRenderedPageBreak/>
        <w:t xml:space="preserve">References </w:t>
      </w:r>
    </w:p>
    <w:p w14:paraId="3E3A44D2" w14:textId="77777777" w:rsidR="00A74DE5" w:rsidRPr="00A74DE5" w:rsidRDefault="00B428DE" w:rsidP="004D762D">
      <w:pPr>
        <w:pStyle w:val="EndNoteBibliography"/>
        <w:numPr>
          <w:ilvl w:val="0"/>
          <w:numId w:val="0"/>
        </w:numPr>
      </w:pPr>
      <w:r w:rsidRPr="00045EEB">
        <w:rPr>
          <w:sz w:val="24"/>
          <w:szCs w:val="24"/>
          <w:lang w:val="en-US"/>
        </w:rPr>
        <w:fldChar w:fldCharType="begin"/>
      </w:r>
      <w:r w:rsidRPr="00045EEB">
        <w:rPr>
          <w:sz w:val="24"/>
          <w:szCs w:val="24"/>
          <w:lang w:val="en-US"/>
        </w:rPr>
        <w:instrText xml:space="preserve"> ADDIN EN.REFLIST </w:instrText>
      </w:r>
      <w:r w:rsidRPr="00045EEB">
        <w:rPr>
          <w:sz w:val="24"/>
          <w:szCs w:val="24"/>
          <w:lang w:val="en-US"/>
        </w:rPr>
        <w:fldChar w:fldCharType="separate"/>
      </w:r>
      <w:r w:rsidR="00A74DE5" w:rsidRPr="00A74DE5">
        <w:t>1.</w:t>
      </w:r>
      <w:r w:rsidR="00A74DE5" w:rsidRPr="00A74DE5">
        <w:tab/>
        <w:t>Yao G, Freemantle N, Calvert MJ, et al. The long-term cost-effectiveness of cardiac resynchronization therapy with or without an implantable cardioverter-defibrillator. European heart journal. 2007;28(1):42-51.</w:t>
      </w:r>
    </w:p>
    <w:p w14:paraId="66A7A27A" w14:textId="77777777" w:rsidR="00A74DE5" w:rsidRPr="00A74DE5" w:rsidRDefault="00A74DE5" w:rsidP="004D762D">
      <w:pPr>
        <w:pStyle w:val="EndNoteBibliography"/>
        <w:numPr>
          <w:ilvl w:val="0"/>
          <w:numId w:val="0"/>
        </w:numPr>
      </w:pPr>
      <w:r w:rsidRPr="00A74DE5">
        <w:t>2.</w:t>
      </w:r>
      <w:r w:rsidRPr="00A74DE5">
        <w:tab/>
        <w:t>Epstein M, Reaven NL, Funk SE, et al. Evaluation of the treatment gap between clinical guidelines and the utilization of renin-angiotensin-aldosterone system inhibitors. The American journal of managed care. 2015;21(11 Suppl):s212-20.</w:t>
      </w:r>
    </w:p>
    <w:p w14:paraId="1BFF7476" w14:textId="77777777" w:rsidR="00A74DE5" w:rsidRPr="00A74DE5" w:rsidRDefault="00A74DE5" w:rsidP="004D762D">
      <w:pPr>
        <w:pStyle w:val="EndNoteBibliography"/>
        <w:numPr>
          <w:ilvl w:val="0"/>
          <w:numId w:val="0"/>
        </w:numPr>
      </w:pPr>
      <w:r w:rsidRPr="00A74DE5">
        <w:t>3.</w:t>
      </w:r>
      <w:r w:rsidRPr="00A74DE5">
        <w:tab/>
        <w:t>Colquitt JL, Mendes D, Clegg AJ, et al. Implantable cardioverter defibrillators for the treatment of arrhythmias and cardiac resynchronisation therapy for the treatment of heart failure: systematic review and economic evaluation. Health Technology Assessment. 2014;18(56).</w:t>
      </w:r>
    </w:p>
    <w:p w14:paraId="305022E0" w14:textId="77777777" w:rsidR="00A74DE5" w:rsidRPr="00A74DE5" w:rsidRDefault="00A74DE5" w:rsidP="004D762D">
      <w:pPr>
        <w:pStyle w:val="EndNoteBibliography"/>
        <w:numPr>
          <w:ilvl w:val="0"/>
          <w:numId w:val="0"/>
        </w:numPr>
      </w:pPr>
      <w:r w:rsidRPr="00A74DE5">
        <w:t>4.</w:t>
      </w:r>
      <w:r w:rsidRPr="00A74DE5">
        <w:tab/>
        <w:t>Luo J, Brunelli SM, Jensen DE, et al. Association between serum potassium and outcomes in patients with reduced kidney function. Clinical journal of the American Society of Nephrology. 2016;11(1):90-100.</w:t>
      </w:r>
    </w:p>
    <w:p w14:paraId="5AB69189" w14:textId="77777777" w:rsidR="00A74DE5" w:rsidRPr="00A74DE5" w:rsidRDefault="00A74DE5" w:rsidP="004D762D">
      <w:pPr>
        <w:pStyle w:val="EndNoteBibliography"/>
        <w:numPr>
          <w:ilvl w:val="0"/>
          <w:numId w:val="0"/>
        </w:numPr>
      </w:pPr>
      <w:r w:rsidRPr="00A74DE5">
        <w:t>5.</w:t>
      </w:r>
      <w:r w:rsidRPr="00A74DE5">
        <w:tab/>
        <w:t>Ford E, Adams J, Graves N. Development of an economic model to assess the cost-effectiveness of hawthorn extract as an adjunct treatment for heart failure in Australia. BMJ open. 2012;2(5):e001094.</w:t>
      </w:r>
    </w:p>
    <w:p w14:paraId="3FF57BBF" w14:textId="77777777" w:rsidR="00A74DE5" w:rsidRPr="00A74DE5" w:rsidRDefault="00A74DE5" w:rsidP="004D762D">
      <w:pPr>
        <w:pStyle w:val="EndNoteBibliography"/>
        <w:numPr>
          <w:ilvl w:val="0"/>
          <w:numId w:val="0"/>
        </w:numPr>
      </w:pPr>
      <w:r w:rsidRPr="00A74DE5">
        <w:t>6.</w:t>
      </w:r>
      <w:r w:rsidRPr="00A74DE5">
        <w:tab/>
        <w:t>Flather MD, Yusuf S, Køber L, et al. Long-term ACE-inhibitor therapy in patients with heart failure or left-ventricular dysfunction: a systematic overview of data from individual patients. The Lancet. 2000;355(9215):1575-81.</w:t>
      </w:r>
    </w:p>
    <w:p w14:paraId="59FC66FE" w14:textId="77777777" w:rsidR="00A74DE5" w:rsidRPr="00A74DE5" w:rsidRDefault="00A74DE5" w:rsidP="004D762D">
      <w:pPr>
        <w:pStyle w:val="EndNoteBibliography"/>
        <w:numPr>
          <w:ilvl w:val="0"/>
          <w:numId w:val="0"/>
        </w:numPr>
      </w:pPr>
      <w:r w:rsidRPr="00A74DE5">
        <w:t>7.</w:t>
      </w:r>
      <w:r w:rsidRPr="00A74DE5">
        <w:tab/>
        <w:t>Levy WC, Mozaffarian D, Linker DT, et al. The Seattle Heart Failure Model prediction of survival in heart failure. Circulation. 2006;113(11):1424-33.</w:t>
      </w:r>
    </w:p>
    <w:p w14:paraId="0805E1C1" w14:textId="77777777" w:rsidR="00A74DE5" w:rsidRPr="00A74DE5" w:rsidRDefault="00A74DE5" w:rsidP="004D762D">
      <w:pPr>
        <w:pStyle w:val="EndNoteBibliography"/>
        <w:numPr>
          <w:ilvl w:val="0"/>
          <w:numId w:val="0"/>
        </w:numPr>
      </w:pPr>
      <w:r w:rsidRPr="00A74DE5">
        <w:t>8.</w:t>
      </w:r>
      <w:r w:rsidRPr="00A74DE5">
        <w:tab/>
        <w:t>Krogager ML, Eggers-Kaas L, Aasbjerg K, et al. Short-term mortality risk of serum potassium levels in acute heart failure following myocardial infarction. European Heart Journal - Cardiovascular Pharmacotherapy. 2015;1(4):245-51.</w:t>
      </w:r>
    </w:p>
    <w:p w14:paraId="64B0F6EF" w14:textId="77777777" w:rsidR="00A74DE5" w:rsidRPr="00A74DE5" w:rsidRDefault="00A74DE5" w:rsidP="004D762D">
      <w:pPr>
        <w:pStyle w:val="EndNoteBibliography"/>
        <w:numPr>
          <w:ilvl w:val="0"/>
          <w:numId w:val="0"/>
        </w:numPr>
      </w:pPr>
      <w:r w:rsidRPr="00A74DE5">
        <w:t>9.</w:t>
      </w:r>
      <w:r w:rsidRPr="00A74DE5">
        <w:tab/>
        <w:t>Qin L, McEwan P, Evans M, et al. Association between serum potassium and clinical outcomes in UK patients with heart failure. European heart journal. 2017;38(Suppl. 1):P4901.</w:t>
      </w:r>
    </w:p>
    <w:p w14:paraId="08775228" w14:textId="0E65ABC1" w:rsidR="00DA2680" w:rsidRPr="00F776F7" w:rsidRDefault="00B428DE" w:rsidP="004D762D">
      <w:pPr>
        <w:jc w:val="left"/>
        <w:rPr>
          <w:sz w:val="24"/>
          <w:szCs w:val="24"/>
          <w:lang w:val="en-US"/>
        </w:rPr>
      </w:pPr>
      <w:r w:rsidRPr="00045EEB">
        <w:rPr>
          <w:sz w:val="24"/>
          <w:szCs w:val="24"/>
          <w:lang w:val="en-US"/>
        </w:rPr>
        <w:fldChar w:fldCharType="end"/>
      </w:r>
    </w:p>
    <w:sectPr w:rsidR="00DA2680" w:rsidRPr="00F776F7" w:rsidSect="00257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EB79" w14:textId="77777777" w:rsidR="00EB7A3C" w:rsidRDefault="00EB7A3C" w:rsidP="007924C9">
      <w:pPr>
        <w:spacing w:line="240" w:lineRule="auto"/>
      </w:pPr>
      <w:r>
        <w:separator/>
      </w:r>
    </w:p>
  </w:endnote>
  <w:endnote w:type="continuationSeparator" w:id="0">
    <w:p w14:paraId="218BE308" w14:textId="77777777" w:rsidR="00EB7A3C" w:rsidRDefault="00EB7A3C" w:rsidP="00792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343A" w14:textId="0FA52373" w:rsidR="00EB7A3C" w:rsidRDefault="00EB7A3C" w:rsidP="00191C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02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CB3A" w14:textId="77777777" w:rsidR="00EB7A3C" w:rsidRDefault="00EB7A3C" w:rsidP="007924C9">
      <w:pPr>
        <w:spacing w:line="240" w:lineRule="auto"/>
      </w:pPr>
      <w:r>
        <w:separator/>
      </w:r>
    </w:p>
  </w:footnote>
  <w:footnote w:type="continuationSeparator" w:id="0">
    <w:p w14:paraId="395688E0" w14:textId="77777777" w:rsidR="00EB7A3C" w:rsidRDefault="00EB7A3C" w:rsidP="00792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42"/>
    <w:multiLevelType w:val="hybridMultilevel"/>
    <w:tmpl w:val="D948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892"/>
    <w:multiLevelType w:val="hybridMultilevel"/>
    <w:tmpl w:val="3CE8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7340"/>
    <w:multiLevelType w:val="hybridMultilevel"/>
    <w:tmpl w:val="76868810"/>
    <w:lvl w:ilvl="0" w:tplc="B178F0D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47017"/>
    <w:multiLevelType w:val="hybridMultilevel"/>
    <w:tmpl w:val="FCAE6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713E1"/>
    <w:multiLevelType w:val="hybridMultilevel"/>
    <w:tmpl w:val="FDECF944"/>
    <w:lvl w:ilvl="0" w:tplc="448E4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26E"/>
    <w:multiLevelType w:val="hybridMultilevel"/>
    <w:tmpl w:val="9418C73A"/>
    <w:lvl w:ilvl="0" w:tplc="B178F0D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64AEF"/>
    <w:multiLevelType w:val="hybridMultilevel"/>
    <w:tmpl w:val="1382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242B"/>
    <w:multiLevelType w:val="hybridMultilevel"/>
    <w:tmpl w:val="FF30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65E5"/>
    <w:multiLevelType w:val="hybridMultilevel"/>
    <w:tmpl w:val="52C2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45AFC"/>
    <w:multiLevelType w:val="hybridMultilevel"/>
    <w:tmpl w:val="DFF6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87B2B"/>
    <w:multiLevelType w:val="hybridMultilevel"/>
    <w:tmpl w:val="E36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762F9"/>
    <w:multiLevelType w:val="hybridMultilevel"/>
    <w:tmpl w:val="8E5619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0476C"/>
    <w:multiLevelType w:val="hybridMultilevel"/>
    <w:tmpl w:val="458C87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D2CB4"/>
    <w:multiLevelType w:val="hybridMultilevel"/>
    <w:tmpl w:val="518A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5CAF"/>
    <w:multiLevelType w:val="hybridMultilevel"/>
    <w:tmpl w:val="FD08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212E4"/>
    <w:multiLevelType w:val="hybridMultilevel"/>
    <w:tmpl w:val="C9FE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20FE0"/>
    <w:multiLevelType w:val="hybridMultilevel"/>
    <w:tmpl w:val="8B663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5651E"/>
    <w:multiLevelType w:val="hybridMultilevel"/>
    <w:tmpl w:val="1A14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B23AE"/>
    <w:multiLevelType w:val="hybridMultilevel"/>
    <w:tmpl w:val="0656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D7B2B"/>
    <w:multiLevelType w:val="hybridMultilevel"/>
    <w:tmpl w:val="D73A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3525"/>
    <w:multiLevelType w:val="hybridMultilevel"/>
    <w:tmpl w:val="F178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B62AC"/>
    <w:multiLevelType w:val="hybridMultilevel"/>
    <w:tmpl w:val="5518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C3C71"/>
    <w:multiLevelType w:val="hybridMultilevel"/>
    <w:tmpl w:val="5B3C6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B2A16"/>
    <w:multiLevelType w:val="hybridMultilevel"/>
    <w:tmpl w:val="9B08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D7CE9"/>
    <w:multiLevelType w:val="hybridMultilevel"/>
    <w:tmpl w:val="82F8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A16C3"/>
    <w:multiLevelType w:val="hybridMultilevel"/>
    <w:tmpl w:val="B8F2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06BD6"/>
    <w:multiLevelType w:val="hybridMultilevel"/>
    <w:tmpl w:val="0F12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6F37"/>
    <w:multiLevelType w:val="hybridMultilevel"/>
    <w:tmpl w:val="CCC0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1669C"/>
    <w:multiLevelType w:val="hybridMultilevel"/>
    <w:tmpl w:val="91AC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46F20"/>
    <w:multiLevelType w:val="hybridMultilevel"/>
    <w:tmpl w:val="C23CEA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646A3"/>
    <w:multiLevelType w:val="hybridMultilevel"/>
    <w:tmpl w:val="60426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D93815"/>
    <w:multiLevelType w:val="hybridMultilevel"/>
    <w:tmpl w:val="5B46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73341"/>
    <w:multiLevelType w:val="hybridMultilevel"/>
    <w:tmpl w:val="19A2CF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F50A2"/>
    <w:multiLevelType w:val="hybridMultilevel"/>
    <w:tmpl w:val="D9449D24"/>
    <w:lvl w:ilvl="0" w:tplc="B178F0D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875DA1"/>
    <w:multiLevelType w:val="hybridMultilevel"/>
    <w:tmpl w:val="FE803CF4"/>
    <w:lvl w:ilvl="0" w:tplc="5F40B31A">
      <w:start w:val="1"/>
      <w:numFmt w:val="bullet"/>
      <w:pStyle w:val="EndNoteBibliography"/>
      <w:lvlText w:val=""/>
      <w:lvlJc w:val="left"/>
      <w:pPr>
        <w:ind w:left="-20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</w:abstractNum>
  <w:abstractNum w:abstractNumId="35" w15:restartNumberingAfterBreak="0">
    <w:nsid w:val="765867F6"/>
    <w:multiLevelType w:val="hybridMultilevel"/>
    <w:tmpl w:val="3428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26D11"/>
    <w:multiLevelType w:val="hybridMultilevel"/>
    <w:tmpl w:val="EDC89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0508B2"/>
    <w:multiLevelType w:val="hybridMultilevel"/>
    <w:tmpl w:val="4FBAE1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B02B2"/>
    <w:multiLevelType w:val="hybridMultilevel"/>
    <w:tmpl w:val="378A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2"/>
  </w:num>
  <w:num w:numId="4">
    <w:abstractNumId w:val="35"/>
  </w:num>
  <w:num w:numId="5">
    <w:abstractNumId w:val="6"/>
  </w:num>
  <w:num w:numId="6">
    <w:abstractNumId w:val="36"/>
  </w:num>
  <w:num w:numId="7">
    <w:abstractNumId w:val="3"/>
  </w:num>
  <w:num w:numId="8">
    <w:abstractNumId w:val="19"/>
  </w:num>
  <w:num w:numId="9">
    <w:abstractNumId w:val="25"/>
  </w:num>
  <w:num w:numId="10">
    <w:abstractNumId w:val="18"/>
  </w:num>
  <w:num w:numId="11">
    <w:abstractNumId w:val="21"/>
  </w:num>
  <w:num w:numId="12">
    <w:abstractNumId w:val="10"/>
  </w:num>
  <w:num w:numId="13">
    <w:abstractNumId w:val="32"/>
  </w:num>
  <w:num w:numId="14">
    <w:abstractNumId w:val="0"/>
  </w:num>
  <w:num w:numId="15">
    <w:abstractNumId w:val="28"/>
  </w:num>
  <w:num w:numId="16">
    <w:abstractNumId w:val="29"/>
  </w:num>
  <w:num w:numId="17">
    <w:abstractNumId w:val="1"/>
  </w:num>
  <w:num w:numId="18">
    <w:abstractNumId w:val="13"/>
  </w:num>
  <w:num w:numId="19">
    <w:abstractNumId w:val="23"/>
  </w:num>
  <w:num w:numId="20">
    <w:abstractNumId w:val="24"/>
  </w:num>
  <w:num w:numId="21">
    <w:abstractNumId w:val="12"/>
  </w:num>
  <w:num w:numId="22">
    <w:abstractNumId w:val="30"/>
  </w:num>
  <w:num w:numId="23">
    <w:abstractNumId w:val="2"/>
  </w:num>
  <w:num w:numId="24">
    <w:abstractNumId w:val="5"/>
  </w:num>
  <w:num w:numId="25">
    <w:abstractNumId w:val="33"/>
  </w:num>
  <w:num w:numId="26">
    <w:abstractNumId w:val="4"/>
  </w:num>
  <w:num w:numId="27">
    <w:abstractNumId w:val="11"/>
  </w:num>
  <w:num w:numId="28">
    <w:abstractNumId w:val="26"/>
  </w:num>
  <w:num w:numId="29">
    <w:abstractNumId w:val="31"/>
  </w:num>
  <w:num w:numId="30">
    <w:abstractNumId w:val="17"/>
  </w:num>
  <w:num w:numId="31">
    <w:abstractNumId w:val="37"/>
  </w:num>
  <w:num w:numId="32">
    <w:abstractNumId w:val="15"/>
  </w:num>
  <w:num w:numId="33">
    <w:abstractNumId w:val="38"/>
  </w:num>
  <w:num w:numId="34">
    <w:abstractNumId w:val="7"/>
  </w:num>
  <w:num w:numId="35">
    <w:abstractNumId w:val="9"/>
  </w:num>
  <w:num w:numId="36">
    <w:abstractNumId w:val="16"/>
  </w:num>
  <w:num w:numId="37">
    <w:abstractNumId w:val="14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wfswpez9faadext2ivs5t7asfaxva9ds22&quot;&gt;HF DB manuscript&lt;record-ids&gt;&lt;item&gt;5&lt;/item&gt;&lt;item&gt;16&lt;/item&gt;&lt;/record-ids&gt;&lt;/item&gt;&lt;/Libraries&gt;"/>
  </w:docVars>
  <w:rsids>
    <w:rsidRoot w:val="00E30B58"/>
    <w:rsid w:val="000002BB"/>
    <w:rsid w:val="0000149D"/>
    <w:rsid w:val="000041CE"/>
    <w:rsid w:val="000043FC"/>
    <w:rsid w:val="000049FB"/>
    <w:rsid w:val="0000550A"/>
    <w:rsid w:val="00005AC0"/>
    <w:rsid w:val="000071D9"/>
    <w:rsid w:val="000077DF"/>
    <w:rsid w:val="00007B8C"/>
    <w:rsid w:val="000104CB"/>
    <w:rsid w:val="0001083F"/>
    <w:rsid w:val="0001088A"/>
    <w:rsid w:val="0001199B"/>
    <w:rsid w:val="00011DE0"/>
    <w:rsid w:val="00012D32"/>
    <w:rsid w:val="000149D0"/>
    <w:rsid w:val="00015367"/>
    <w:rsid w:val="0001607D"/>
    <w:rsid w:val="0001624C"/>
    <w:rsid w:val="00016822"/>
    <w:rsid w:val="00020361"/>
    <w:rsid w:val="0002077C"/>
    <w:rsid w:val="00021003"/>
    <w:rsid w:val="00021F7D"/>
    <w:rsid w:val="00022C58"/>
    <w:rsid w:val="00023914"/>
    <w:rsid w:val="000253DE"/>
    <w:rsid w:val="00026134"/>
    <w:rsid w:val="00027328"/>
    <w:rsid w:val="00030F46"/>
    <w:rsid w:val="0003176A"/>
    <w:rsid w:val="000330B1"/>
    <w:rsid w:val="00034CC4"/>
    <w:rsid w:val="00035B62"/>
    <w:rsid w:val="00035DAD"/>
    <w:rsid w:val="00036829"/>
    <w:rsid w:val="0003699F"/>
    <w:rsid w:val="00042614"/>
    <w:rsid w:val="00043A55"/>
    <w:rsid w:val="00043FAE"/>
    <w:rsid w:val="00044ACE"/>
    <w:rsid w:val="00045EEB"/>
    <w:rsid w:val="00047A71"/>
    <w:rsid w:val="00047EC6"/>
    <w:rsid w:val="000500D9"/>
    <w:rsid w:val="000501F4"/>
    <w:rsid w:val="00050290"/>
    <w:rsid w:val="00050457"/>
    <w:rsid w:val="0005109A"/>
    <w:rsid w:val="00051434"/>
    <w:rsid w:val="00052511"/>
    <w:rsid w:val="0005297D"/>
    <w:rsid w:val="00053843"/>
    <w:rsid w:val="00054545"/>
    <w:rsid w:val="000546DF"/>
    <w:rsid w:val="00054D97"/>
    <w:rsid w:val="00056FB3"/>
    <w:rsid w:val="0005711D"/>
    <w:rsid w:val="00057B51"/>
    <w:rsid w:val="000607B4"/>
    <w:rsid w:val="00061E0D"/>
    <w:rsid w:val="000622FD"/>
    <w:rsid w:val="000627AE"/>
    <w:rsid w:val="00062854"/>
    <w:rsid w:val="00062A66"/>
    <w:rsid w:val="00062FEA"/>
    <w:rsid w:val="00064666"/>
    <w:rsid w:val="00065102"/>
    <w:rsid w:val="00066DBF"/>
    <w:rsid w:val="00066F05"/>
    <w:rsid w:val="00070797"/>
    <w:rsid w:val="00071717"/>
    <w:rsid w:val="00072405"/>
    <w:rsid w:val="00072577"/>
    <w:rsid w:val="00072FA0"/>
    <w:rsid w:val="00075491"/>
    <w:rsid w:val="0007560D"/>
    <w:rsid w:val="00075E17"/>
    <w:rsid w:val="00076A19"/>
    <w:rsid w:val="00077954"/>
    <w:rsid w:val="000805A4"/>
    <w:rsid w:val="00081968"/>
    <w:rsid w:val="00081CB3"/>
    <w:rsid w:val="00082F01"/>
    <w:rsid w:val="00083036"/>
    <w:rsid w:val="00083984"/>
    <w:rsid w:val="000841BC"/>
    <w:rsid w:val="00084E22"/>
    <w:rsid w:val="00085069"/>
    <w:rsid w:val="000862E8"/>
    <w:rsid w:val="000901A2"/>
    <w:rsid w:val="00090B02"/>
    <w:rsid w:val="0009159F"/>
    <w:rsid w:val="00091DCA"/>
    <w:rsid w:val="000934D8"/>
    <w:rsid w:val="00093F4B"/>
    <w:rsid w:val="00094D63"/>
    <w:rsid w:val="00094FA9"/>
    <w:rsid w:val="00096737"/>
    <w:rsid w:val="00097245"/>
    <w:rsid w:val="00097CF2"/>
    <w:rsid w:val="000A0054"/>
    <w:rsid w:val="000A087B"/>
    <w:rsid w:val="000A5106"/>
    <w:rsid w:val="000A5228"/>
    <w:rsid w:val="000A573F"/>
    <w:rsid w:val="000A5822"/>
    <w:rsid w:val="000A7525"/>
    <w:rsid w:val="000A7D47"/>
    <w:rsid w:val="000B0178"/>
    <w:rsid w:val="000B0400"/>
    <w:rsid w:val="000B0CA4"/>
    <w:rsid w:val="000B147C"/>
    <w:rsid w:val="000B51D9"/>
    <w:rsid w:val="000B5CC3"/>
    <w:rsid w:val="000B5E14"/>
    <w:rsid w:val="000B6BDF"/>
    <w:rsid w:val="000B7B9D"/>
    <w:rsid w:val="000C04EC"/>
    <w:rsid w:val="000C0D6D"/>
    <w:rsid w:val="000C21E2"/>
    <w:rsid w:val="000C2672"/>
    <w:rsid w:val="000C3717"/>
    <w:rsid w:val="000C39E3"/>
    <w:rsid w:val="000C4689"/>
    <w:rsid w:val="000C541A"/>
    <w:rsid w:val="000C5DFF"/>
    <w:rsid w:val="000C72D7"/>
    <w:rsid w:val="000C750F"/>
    <w:rsid w:val="000C7EB0"/>
    <w:rsid w:val="000D0176"/>
    <w:rsid w:val="000D140D"/>
    <w:rsid w:val="000D18B7"/>
    <w:rsid w:val="000D2600"/>
    <w:rsid w:val="000D2986"/>
    <w:rsid w:val="000D3C51"/>
    <w:rsid w:val="000D3F66"/>
    <w:rsid w:val="000D53D4"/>
    <w:rsid w:val="000D5AE5"/>
    <w:rsid w:val="000D5F21"/>
    <w:rsid w:val="000D6782"/>
    <w:rsid w:val="000D7006"/>
    <w:rsid w:val="000E0EA8"/>
    <w:rsid w:val="000E0ED8"/>
    <w:rsid w:val="000E1D29"/>
    <w:rsid w:val="000E25AF"/>
    <w:rsid w:val="000E3F33"/>
    <w:rsid w:val="000E44C8"/>
    <w:rsid w:val="000E46D5"/>
    <w:rsid w:val="000E6502"/>
    <w:rsid w:val="000E70C8"/>
    <w:rsid w:val="000F014D"/>
    <w:rsid w:val="000F1935"/>
    <w:rsid w:val="000F3BB8"/>
    <w:rsid w:val="000F466D"/>
    <w:rsid w:val="000F5487"/>
    <w:rsid w:val="000F56CB"/>
    <w:rsid w:val="000F625C"/>
    <w:rsid w:val="000F7267"/>
    <w:rsid w:val="000F77C4"/>
    <w:rsid w:val="001004F4"/>
    <w:rsid w:val="001012BB"/>
    <w:rsid w:val="00101BEF"/>
    <w:rsid w:val="00103BFF"/>
    <w:rsid w:val="0010465B"/>
    <w:rsid w:val="00104F64"/>
    <w:rsid w:val="0011054C"/>
    <w:rsid w:val="001106B6"/>
    <w:rsid w:val="00110F76"/>
    <w:rsid w:val="00111CB1"/>
    <w:rsid w:val="0011348C"/>
    <w:rsid w:val="00113B5A"/>
    <w:rsid w:val="00113D2F"/>
    <w:rsid w:val="00113E10"/>
    <w:rsid w:val="00115280"/>
    <w:rsid w:val="00116590"/>
    <w:rsid w:val="00116802"/>
    <w:rsid w:val="00116E0F"/>
    <w:rsid w:val="001200CC"/>
    <w:rsid w:val="001201AD"/>
    <w:rsid w:val="0012065C"/>
    <w:rsid w:val="001209A6"/>
    <w:rsid w:val="00122421"/>
    <w:rsid w:val="001241FC"/>
    <w:rsid w:val="00124235"/>
    <w:rsid w:val="00124F79"/>
    <w:rsid w:val="0012547E"/>
    <w:rsid w:val="00125B6B"/>
    <w:rsid w:val="001261CA"/>
    <w:rsid w:val="001269B9"/>
    <w:rsid w:val="0012767A"/>
    <w:rsid w:val="001277EA"/>
    <w:rsid w:val="00130485"/>
    <w:rsid w:val="00130538"/>
    <w:rsid w:val="00130908"/>
    <w:rsid w:val="00131748"/>
    <w:rsid w:val="001330CF"/>
    <w:rsid w:val="00134B98"/>
    <w:rsid w:val="001355BC"/>
    <w:rsid w:val="00136879"/>
    <w:rsid w:val="00136F1B"/>
    <w:rsid w:val="0014004C"/>
    <w:rsid w:val="00140260"/>
    <w:rsid w:val="00140A5D"/>
    <w:rsid w:val="001428C0"/>
    <w:rsid w:val="00143ACF"/>
    <w:rsid w:val="001440C0"/>
    <w:rsid w:val="001441C7"/>
    <w:rsid w:val="00144405"/>
    <w:rsid w:val="00144987"/>
    <w:rsid w:val="00144AC4"/>
    <w:rsid w:val="001453CC"/>
    <w:rsid w:val="00145928"/>
    <w:rsid w:val="001461DF"/>
    <w:rsid w:val="00146A91"/>
    <w:rsid w:val="001502D7"/>
    <w:rsid w:val="00150AF4"/>
    <w:rsid w:val="00150F69"/>
    <w:rsid w:val="00152AAF"/>
    <w:rsid w:val="001539DA"/>
    <w:rsid w:val="00154E36"/>
    <w:rsid w:val="00155655"/>
    <w:rsid w:val="001558C5"/>
    <w:rsid w:val="00155E3A"/>
    <w:rsid w:val="001563FA"/>
    <w:rsid w:val="0015792A"/>
    <w:rsid w:val="00160110"/>
    <w:rsid w:val="001615FD"/>
    <w:rsid w:val="00161C84"/>
    <w:rsid w:val="001635CB"/>
    <w:rsid w:val="00163CBD"/>
    <w:rsid w:val="00165DA3"/>
    <w:rsid w:val="00165F73"/>
    <w:rsid w:val="0016631F"/>
    <w:rsid w:val="001667F7"/>
    <w:rsid w:val="00166A82"/>
    <w:rsid w:val="00166DDA"/>
    <w:rsid w:val="00167777"/>
    <w:rsid w:val="001709F4"/>
    <w:rsid w:val="00170A28"/>
    <w:rsid w:val="00170B81"/>
    <w:rsid w:val="0017362F"/>
    <w:rsid w:val="0017398B"/>
    <w:rsid w:val="001739FF"/>
    <w:rsid w:val="00173F89"/>
    <w:rsid w:val="001760B7"/>
    <w:rsid w:val="00176656"/>
    <w:rsid w:val="00180370"/>
    <w:rsid w:val="0018051E"/>
    <w:rsid w:val="00181DE6"/>
    <w:rsid w:val="00183A74"/>
    <w:rsid w:val="00184D52"/>
    <w:rsid w:val="00185FCE"/>
    <w:rsid w:val="001865CC"/>
    <w:rsid w:val="00186B32"/>
    <w:rsid w:val="00187BAB"/>
    <w:rsid w:val="001900AC"/>
    <w:rsid w:val="00191CEB"/>
    <w:rsid w:val="00191D89"/>
    <w:rsid w:val="00191F7F"/>
    <w:rsid w:val="001925A6"/>
    <w:rsid w:val="00192EFD"/>
    <w:rsid w:val="00195F45"/>
    <w:rsid w:val="001A0C28"/>
    <w:rsid w:val="001A1917"/>
    <w:rsid w:val="001A4BB6"/>
    <w:rsid w:val="001A583B"/>
    <w:rsid w:val="001A5FCA"/>
    <w:rsid w:val="001A6148"/>
    <w:rsid w:val="001A6A5C"/>
    <w:rsid w:val="001A6D9E"/>
    <w:rsid w:val="001A7DBA"/>
    <w:rsid w:val="001B1D6E"/>
    <w:rsid w:val="001B2EB7"/>
    <w:rsid w:val="001B2F1C"/>
    <w:rsid w:val="001B3394"/>
    <w:rsid w:val="001B4074"/>
    <w:rsid w:val="001B41CC"/>
    <w:rsid w:val="001B5B37"/>
    <w:rsid w:val="001B66BD"/>
    <w:rsid w:val="001C0040"/>
    <w:rsid w:val="001C0288"/>
    <w:rsid w:val="001C03A3"/>
    <w:rsid w:val="001C09D5"/>
    <w:rsid w:val="001C0BA0"/>
    <w:rsid w:val="001C2024"/>
    <w:rsid w:val="001C291A"/>
    <w:rsid w:val="001C3172"/>
    <w:rsid w:val="001C4062"/>
    <w:rsid w:val="001C501A"/>
    <w:rsid w:val="001C5119"/>
    <w:rsid w:val="001C51CC"/>
    <w:rsid w:val="001C554E"/>
    <w:rsid w:val="001C5EBC"/>
    <w:rsid w:val="001C729A"/>
    <w:rsid w:val="001C7F3F"/>
    <w:rsid w:val="001D05D3"/>
    <w:rsid w:val="001D1406"/>
    <w:rsid w:val="001D17E1"/>
    <w:rsid w:val="001D28AE"/>
    <w:rsid w:val="001D5C48"/>
    <w:rsid w:val="001D69F7"/>
    <w:rsid w:val="001D6A3E"/>
    <w:rsid w:val="001D78C7"/>
    <w:rsid w:val="001D7FDE"/>
    <w:rsid w:val="001E1392"/>
    <w:rsid w:val="001E14AC"/>
    <w:rsid w:val="001E2DD9"/>
    <w:rsid w:val="001E2F59"/>
    <w:rsid w:val="001E33DA"/>
    <w:rsid w:val="001E40E2"/>
    <w:rsid w:val="001E4D8B"/>
    <w:rsid w:val="001E576C"/>
    <w:rsid w:val="001E67EF"/>
    <w:rsid w:val="001E6ACC"/>
    <w:rsid w:val="001E6C52"/>
    <w:rsid w:val="001F0D9E"/>
    <w:rsid w:val="001F1A2E"/>
    <w:rsid w:val="001F1A47"/>
    <w:rsid w:val="001F2AA0"/>
    <w:rsid w:val="001F2CAB"/>
    <w:rsid w:val="001F2F7E"/>
    <w:rsid w:val="001F3560"/>
    <w:rsid w:val="001F6BDA"/>
    <w:rsid w:val="001F7116"/>
    <w:rsid w:val="001F7356"/>
    <w:rsid w:val="0020030D"/>
    <w:rsid w:val="00202186"/>
    <w:rsid w:val="002030A4"/>
    <w:rsid w:val="00203E46"/>
    <w:rsid w:val="00205BA0"/>
    <w:rsid w:val="00206687"/>
    <w:rsid w:val="0020769A"/>
    <w:rsid w:val="002103FD"/>
    <w:rsid w:val="00210A13"/>
    <w:rsid w:val="002133E2"/>
    <w:rsid w:val="00214906"/>
    <w:rsid w:val="00214A63"/>
    <w:rsid w:val="0021532D"/>
    <w:rsid w:val="0021765D"/>
    <w:rsid w:val="002177E3"/>
    <w:rsid w:val="0022034F"/>
    <w:rsid w:val="00220489"/>
    <w:rsid w:val="0022082B"/>
    <w:rsid w:val="00221377"/>
    <w:rsid w:val="00222362"/>
    <w:rsid w:val="0022394A"/>
    <w:rsid w:val="002242E9"/>
    <w:rsid w:val="002250EB"/>
    <w:rsid w:val="0022541F"/>
    <w:rsid w:val="00225BE2"/>
    <w:rsid w:val="00225C24"/>
    <w:rsid w:val="00227C92"/>
    <w:rsid w:val="00230083"/>
    <w:rsid w:val="0023081D"/>
    <w:rsid w:val="0023087A"/>
    <w:rsid w:val="002314FA"/>
    <w:rsid w:val="00231A2F"/>
    <w:rsid w:val="00231C9E"/>
    <w:rsid w:val="00231CC2"/>
    <w:rsid w:val="0023218B"/>
    <w:rsid w:val="0023393C"/>
    <w:rsid w:val="0023488B"/>
    <w:rsid w:val="002360FD"/>
    <w:rsid w:val="00237D00"/>
    <w:rsid w:val="0024064A"/>
    <w:rsid w:val="00240817"/>
    <w:rsid w:val="00241E9E"/>
    <w:rsid w:val="00241F70"/>
    <w:rsid w:val="00242284"/>
    <w:rsid w:val="00242719"/>
    <w:rsid w:val="00242C84"/>
    <w:rsid w:val="00243A40"/>
    <w:rsid w:val="00246ED6"/>
    <w:rsid w:val="00247271"/>
    <w:rsid w:val="00247571"/>
    <w:rsid w:val="002476F3"/>
    <w:rsid w:val="002478C3"/>
    <w:rsid w:val="00247C10"/>
    <w:rsid w:val="00250B85"/>
    <w:rsid w:val="002520BF"/>
    <w:rsid w:val="00253684"/>
    <w:rsid w:val="002536EC"/>
    <w:rsid w:val="002537CC"/>
    <w:rsid w:val="00254441"/>
    <w:rsid w:val="00254A61"/>
    <w:rsid w:val="002555BD"/>
    <w:rsid w:val="00255CEC"/>
    <w:rsid w:val="00255F12"/>
    <w:rsid w:val="00257362"/>
    <w:rsid w:val="00260692"/>
    <w:rsid w:val="0026119B"/>
    <w:rsid w:val="0026178F"/>
    <w:rsid w:val="002624A7"/>
    <w:rsid w:val="00262A1C"/>
    <w:rsid w:val="002634F2"/>
    <w:rsid w:val="00264551"/>
    <w:rsid w:val="00265D27"/>
    <w:rsid w:val="00265E3F"/>
    <w:rsid w:val="00265EA4"/>
    <w:rsid w:val="0026684A"/>
    <w:rsid w:val="00266A2C"/>
    <w:rsid w:val="0026724A"/>
    <w:rsid w:val="002675CA"/>
    <w:rsid w:val="00270AFC"/>
    <w:rsid w:val="0027128F"/>
    <w:rsid w:val="00271812"/>
    <w:rsid w:val="00271C51"/>
    <w:rsid w:val="002731F3"/>
    <w:rsid w:val="00273FA0"/>
    <w:rsid w:val="0027446B"/>
    <w:rsid w:val="00274899"/>
    <w:rsid w:val="00274F18"/>
    <w:rsid w:val="002751BA"/>
    <w:rsid w:val="00276C11"/>
    <w:rsid w:val="002803F3"/>
    <w:rsid w:val="00280EDA"/>
    <w:rsid w:val="00282062"/>
    <w:rsid w:val="002842F7"/>
    <w:rsid w:val="00284443"/>
    <w:rsid w:val="002848D8"/>
    <w:rsid w:val="0028581C"/>
    <w:rsid w:val="00287A82"/>
    <w:rsid w:val="00290EB5"/>
    <w:rsid w:val="002914DE"/>
    <w:rsid w:val="00291F1F"/>
    <w:rsid w:val="00293742"/>
    <w:rsid w:val="00295429"/>
    <w:rsid w:val="00295503"/>
    <w:rsid w:val="00296CFB"/>
    <w:rsid w:val="002974A4"/>
    <w:rsid w:val="00297972"/>
    <w:rsid w:val="002A0195"/>
    <w:rsid w:val="002A0344"/>
    <w:rsid w:val="002A0AD9"/>
    <w:rsid w:val="002A1D84"/>
    <w:rsid w:val="002A4185"/>
    <w:rsid w:val="002A6637"/>
    <w:rsid w:val="002A76F8"/>
    <w:rsid w:val="002B0AB6"/>
    <w:rsid w:val="002B0F89"/>
    <w:rsid w:val="002B11F5"/>
    <w:rsid w:val="002B1402"/>
    <w:rsid w:val="002B1D6D"/>
    <w:rsid w:val="002B291D"/>
    <w:rsid w:val="002B408D"/>
    <w:rsid w:val="002B494B"/>
    <w:rsid w:val="002B4B9E"/>
    <w:rsid w:val="002B570E"/>
    <w:rsid w:val="002B5EEE"/>
    <w:rsid w:val="002B623C"/>
    <w:rsid w:val="002B7F3E"/>
    <w:rsid w:val="002C05BD"/>
    <w:rsid w:val="002C0A4A"/>
    <w:rsid w:val="002C1A5A"/>
    <w:rsid w:val="002C2A37"/>
    <w:rsid w:val="002C2DA7"/>
    <w:rsid w:val="002C2F4B"/>
    <w:rsid w:val="002C3B7E"/>
    <w:rsid w:val="002C3D4C"/>
    <w:rsid w:val="002C48F4"/>
    <w:rsid w:val="002C508E"/>
    <w:rsid w:val="002C50CC"/>
    <w:rsid w:val="002C58DA"/>
    <w:rsid w:val="002C61C8"/>
    <w:rsid w:val="002C645E"/>
    <w:rsid w:val="002C6A47"/>
    <w:rsid w:val="002C6BA6"/>
    <w:rsid w:val="002C739E"/>
    <w:rsid w:val="002C7933"/>
    <w:rsid w:val="002D0161"/>
    <w:rsid w:val="002D228F"/>
    <w:rsid w:val="002D3941"/>
    <w:rsid w:val="002D404F"/>
    <w:rsid w:val="002D611B"/>
    <w:rsid w:val="002E0058"/>
    <w:rsid w:val="002E0589"/>
    <w:rsid w:val="002E1ABC"/>
    <w:rsid w:val="002E1D9E"/>
    <w:rsid w:val="002E3C9F"/>
    <w:rsid w:val="002E660D"/>
    <w:rsid w:val="002F2972"/>
    <w:rsid w:val="002F3308"/>
    <w:rsid w:val="002F3948"/>
    <w:rsid w:val="002F3E82"/>
    <w:rsid w:val="002F40DB"/>
    <w:rsid w:val="002F467D"/>
    <w:rsid w:val="002F46DC"/>
    <w:rsid w:val="002F53D1"/>
    <w:rsid w:val="002F69BB"/>
    <w:rsid w:val="002F7F98"/>
    <w:rsid w:val="00300C29"/>
    <w:rsid w:val="00301B5D"/>
    <w:rsid w:val="00304411"/>
    <w:rsid w:val="00304966"/>
    <w:rsid w:val="003053F6"/>
    <w:rsid w:val="0030622C"/>
    <w:rsid w:val="003062D3"/>
    <w:rsid w:val="0030789A"/>
    <w:rsid w:val="003105C2"/>
    <w:rsid w:val="0031165A"/>
    <w:rsid w:val="003117B4"/>
    <w:rsid w:val="00311E13"/>
    <w:rsid w:val="0031238C"/>
    <w:rsid w:val="003125B5"/>
    <w:rsid w:val="0031399E"/>
    <w:rsid w:val="00314EDC"/>
    <w:rsid w:val="00315776"/>
    <w:rsid w:val="00316C14"/>
    <w:rsid w:val="003173C2"/>
    <w:rsid w:val="003207FB"/>
    <w:rsid w:val="00320D7C"/>
    <w:rsid w:val="00320F5F"/>
    <w:rsid w:val="00321CFF"/>
    <w:rsid w:val="0032290D"/>
    <w:rsid w:val="00323C5A"/>
    <w:rsid w:val="00324DAD"/>
    <w:rsid w:val="0032518D"/>
    <w:rsid w:val="003251AF"/>
    <w:rsid w:val="00325322"/>
    <w:rsid w:val="00326766"/>
    <w:rsid w:val="00326A19"/>
    <w:rsid w:val="003302FC"/>
    <w:rsid w:val="00330E97"/>
    <w:rsid w:val="00332431"/>
    <w:rsid w:val="00332978"/>
    <w:rsid w:val="00332A43"/>
    <w:rsid w:val="00333093"/>
    <w:rsid w:val="003338A5"/>
    <w:rsid w:val="00336256"/>
    <w:rsid w:val="00337A98"/>
    <w:rsid w:val="003413C1"/>
    <w:rsid w:val="0034172F"/>
    <w:rsid w:val="00342F1A"/>
    <w:rsid w:val="003440F3"/>
    <w:rsid w:val="0034452F"/>
    <w:rsid w:val="00344E66"/>
    <w:rsid w:val="003454FB"/>
    <w:rsid w:val="00347109"/>
    <w:rsid w:val="00347362"/>
    <w:rsid w:val="003479C2"/>
    <w:rsid w:val="00350CFA"/>
    <w:rsid w:val="00350F28"/>
    <w:rsid w:val="003510F6"/>
    <w:rsid w:val="00353B61"/>
    <w:rsid w:val="00354711"/>
    <w:rsid w:val="00354E4D"/>
    <w:rsid w:val="00354FE3"/>
    <w:rsid w:val="00355286"/>
    <w:rsid w:val="003556F2"/>
    <w:rsid w:val="00355B9D"/>
    <w:rsid w:val="00355BC7"/>
    <w:rsid w:val="00356239"/>
    <w:rsid w:val="00356C6C"/>
    <w:rsid w:val="00357063"/>
    <w:rsid w:val="0035798B"/>
    <w:rsid w:val="003601BA"/>
    <w:rsid w:val="00360522"/>
    <w:rsid w:val="0036113B"/>
    <w:rsid w:val="00361B0A"/>
    <w:rsid w:val="00362119"/>
    <w:rsid w:val="003621DC"/>
    <w:rsid w:val="0036388A"/>
    <w:rsid w:val="00363928"/>
    <w:rsid w:val="00363CC0"/>
    <w:rsid w:val="00365C39"/>
    <w:rsid w:val="003663BA"/>
    <w:rsid w:val="00370796"/>
    <w:rsid w:val="003709A5"/>
    <w:rsid w:val="00371C58"/>
    <w:rsid w:val="00371C60"/>
    <w:rsid w:val="0037250F"/>
    <w:rsid w:val="0037251D"/>
    <w:rsid w:val="00373597"/>
    <w:rsid w:val="0037457D"/>
    <w:rsid w:val="003745DA"/>
    <w:rsid w:val="0037487C"/>
    <w:rsid w:val="00374F73"/>
    <w:rsid w:val="0037519A"/>
    <w:rsid w:val="003763C5"/>
    <w:rsid w:val="003768E9"/>
    <w:rsid w:val="00376EF5"/>
    <w:rsid w:val="003803A7"/>
    <w:rsid w:val="003822D5"/>
    <w:rsid w:val="00384381"/>
    <w:rsid w:val="00384B4B"/>
    <w:rsid w:val="003905BF"/>
    <w:rsid w:val="003928CE"/>
    <w:rsid w:val="00392FFB"/>
    <w:rsid w:val="0039369B"/>
    <w:rsid w:val="00393C28"/>
    <w:rsid w:val="00394A96"/>
    <w:rsid w:val="00395943"/>
    <w:rsid w:val="00395CAB"/>
    <w:rsid w:val="00397616"/>
    <w:rsid w:val="00397F57"/>
    <w:rsid w:val="003A04AE"/>
    <w:rsid w:val="003A0829"/>
    <w:rsid w:val="003A0C84"/>
    <w:rsid w:val="003A0ECA"/>
    <w:rsid w:val="003A3F38"/>
    <w:rsid w:val="003A41B7"/>
    <w:rsid w:val="003A4ED3"/>
    <w:rsid w:val="003A5E96"/>
    <w:rsid w:val="003A7376"/>
    <w:rsid w:val="003A7D7E"/>
    <w:rsid w:val="003B0AE9"/>
    <w:rsid w:val="003B293B"/>
    <w:rsid w:val="003B2A74"/>
    <w:rsid w:val="003B2FED"/>
    <w:rsid w:val="003B3068"/>
    <w:rsid w:val="003B349D"/>
    <w:rsid w:val="003B3ED2"/>
    <w:rsid w:val="003B43E5"/>
    <w:rsid w:val="003B4754"/>
    <w:rsid w:val="003B7ABD"/>
    <w:rsid w:val="003B7E8E"/>
    <w:rsid w:val="003C03B8"/>
    <w:rsid w:val="003C12D6"/>
    <w:rsid w:val="003C1331"/>
    <w:rsid w:val="003C193E"/>
    <w:rsid w:val="003C2234"/>
    <w:rsid w:val="003C2AFC"/>
    <w:rsid w:val="003C3C21"/>
    <w:rsid w:val="003C43F2"/>
    <w:rsid w:val="003C52EB"/>
    <w:rsid w:val="003C6025"/>
    <w:rsid w:val="003C6C08"/>
    <w:rsid w:val="003D05CF"/>
    <w:rsid w:val="003D07EF"/>
    <w:rsid w:val="003D1F13"/>
    <w:rsid w:val="003D2381"/>
    <w:rsid w:val="003D38E1"/>
    <w:rsid w:val="003D4B72"/>
    <w:rsid w:val="003D5A97"/>
    <w:rsid w:val="003D5CCE"/>
    <w:rsid w:val="003D6173"/>
    <w:rsid w:val="003D6553"/>
    <w:rsid w:val="003D65A3"/>
    <w:rsid w:val="003D7D46"/>
    <w:rsid w:val="003D7FD8"/>
    <w:rsid w:val="003E0638"/>
    <w:rsid w:val="003E34D3"/>
    <w:rsid w:val="003E361A"/>
    <w:rsid w:val="003E395E"/>
    <w:rsid w:val="003E3F2B"/>
    <w:rsid w:val="003E40AD"/>
    <w:rsid w:val="003E44CC"/>
    <w:rsid w:val="003E4FA6"/>
    <w:rsid w:val="003E5308"/>
    <w:rsid w:val="003E6802"/>
    <w:rsid w:val="003F0435"/>
    <w:rsid w:val="003F0B90"/>
    <w:rsid w:val="003F170A"/>
    <w:rsid w:val="003F1B79"/>
    <w:rsid w:val="003F2108"/>
    <w:rsid w:val="003F289B"/>
    <w:rsid w:val="003F2C5C"/>
    <w:rsid w:val="003F4BBE"/>
    <w:rsid w:val="003F4EE5"/>
    <w:rsid w:val="003F51DA"/>
    <w:rsid w:val="003F5A69"/>
    <w:rsid w:val="003F62B7"/>
    <w:rsid w:val="003F6749"/>
    <w:rsid w:val="0040134D"/>
    <w:rsid w:val="004021D2"/>
    <w:rsid w:val="00402755"/>
    <w:rsid w:val="0040318C"/>
    <w:rsid w:val="00404C00"/>
    <w:rsid w:val="00405C69"/>
    <w:rsid w:val="00411A46"/>
    <w:rsid w:val="00411AAD"/>
    <w:rsid w:val="0041303E"/>
    <w:rsid w:val="004130A8"/>
    <w:rsid w:val="004132C3"/>
    <w:rsid w:val="0041360F"/>
    <w:rsid w:val="00413880"/>
    <w:rsid w:val="00413E8C"/>
    <w:rsid w:val="00414A57"/>
    <w:rsid w:val="00414C16"/>
    <w:rsid w:val="004150C4"/>
    <w:rsid w:val="004160AB"/>
    <w:rsid w:val="004169E1"/>
    <w:rsid w:val="00417CDE"/>
    <w:rsid w:val="0042179B"/>
    <w:rsid w:val="00421D79"/>
    <w:rsid w:val="00422A11"/>
    <w:rsid w:val="00422EF1"/>
    <w:rsid w:val="0042316D"/>
    <w:rsid w:val="00423880"/>
    <w:rsid w:val="00423FD3"/>
    <w:rsid w:val="00424068"/>
    <w:rsid w:val="00424B23"/>
    <w:rsid w:val="00425059"/>
    <w:rsid w:val="0042539F"/>
    <w:rsid w:val="004273E7"/>
    <w:rsid w:val="00427D47"/>
    <w:rsid w:val="00427FCE"/>
    <w:rsid w:val="0043199A"/>
    <w:rsid w:val="004320E1"/>
    <w:rsid w:val="00432B5D"/>
    <w:rsid w:val="00435A37"/>
    <w:rsid w:val="00436AA9"/>
    <w:rsid w:val="00437178"/>
    <w:rsid w:val="004376F2"/>
    <w:rsid w:val="0044078B"/>
    <w:rsid w:val="004410E6"/>
    <w:rsid w:val="004417BC"/>
    <w:rsid w:val="00442016"/>
    <w:rsid w:val="00442CC2"/>
    <w:rsid w:val="0044369C"/>
    <w:rsid w:val="0044406A"/>
    <w:rsid w:val="004444EC"/>
    <w:rsid w:val="0044491E"/>
    <w:rsid w:val="004455EC"/>
    <w:rsid w:val="00446ABF"/>
    <w:rsid w:val="00452A32"/>
    <w:rsid w:val="00453005"/>
    <w:rsid w:val="00453B65"/>
    <w:rsid w:val="00454740"/>
    <w:rsid w:val="00454B51"/>
    <w:rsid w:val="00456563"/>
    <w:rsid w:val="00456842"/>
    <w:rsid w:val="00456B60"/>
    <w:rsid w:val="004607A0"/>
    <w:rsid w:val="0046099E"/>
    <w:rsid w:val="00460A66"/>
    <w:rsid w:val="00461680"/>
    <w:rsid w:val="004618A1"/>
    <w:rsid w:val="00461BA5"/>
    <w:rsid w:val="0046233F"/>
    <w:rsid w:val="004628BC"/>
    <w:rsid w:val="00463655"/>
    <w:rsid w:val="004648E4"/>
    <w:rsid w:val="004650A8"/>
    <w:rsid w:val="004668EA"/>
    <w:rsid w:val="004674D1"/>
    <w:rsid w:val="00467B54"/>
    <w:rsid w:val="00467E0E"/>
    <w:rsid w:val="004703A0"/>
    <w:rsid w:val="00470BF5"/>
    <w:rsid w:val="004747F1"/>
    <w:rsid w:val="00474FC6"/>
    <w:rsid w:val="0047596E"/>
    <w:rsid w:val="00475CF6"/>
    <w:rsid w:val="00476604"/>
    <w:rsid w:val="004773F3"/>
    <w:rsid w:val="004775DB"/>
    <w:rsid w:val="00480283"/>
    <w:rsid w:val="00480449"/>
    <w:rsid w:val="00481AED"/>
    <w:rsid w:val="00481C38"/>
    <w:rsid w:val="00485338"/>
    <w:rsid w:val="00485B14"/>
    <w:rsid w:val="00486ED3"/>
    <w:rsid w:val="0048710B"/>
    <w:rsid w:val="0049026F"/>
    <w:rsid w:val="004903B5"/>
    <w:rsid w:val="0049058D"/>
    <w:rsid w:val="00490ECB"/>
    <w:rsid w:val="004929D1"/>
    <w:rsid w:val="00492C4E"/>
    <w:rsid w:val="00493558"/>
    <w:rsid w:val="00493687"/>
    <w:rsid w:val="004936E5"/>
    <w:rsid w:val="00494388"/>
    <w:rsid w:val="0049482C"/>
    <w:rsid w:val="00495576"/>
    <w:rsid w:val="00495747"/>
    <w:rsid w:val="004957FB"/>
    <w:rsid w:val="00496256"/>
    <w:rsid w:val="004975A8"/>
    <w:rsid w:val="004A12CC"/>
    <w:rsid w:val="004A2023"/>
    <w:rsid w:val="004A2AB9"/>
    <w:rsid w:val="004A2AF4"/>
    <w:rsid w:val="004A2CED"/>
    <w:rsid w:val="004A3134"/>
    <w:rsid w:val="004A34D5"/>
    <w:rsid w:val="004A40DC"/>
    <w:rsid w:val="004A57A8"/>
    <w:rsid w:val="004A5C75"/>
    <w:rsid w:val="004A66D1"/>
    <w:rsid w:val="004A6A3D"/>
    <w:rsid w:val="004A75FA"/>
    <w:rsid w:val="004A7C4D"/>
    <w:rsid w:val="004B0948"/>
    <w:rsid w:val="004B0DE0"/>
    <w:rsid w:val="004B1DE5"/>
    <w:rsid w:val="004B33F1"/>
    <w:rsid w:val="004B4770"/>
    <w:rsid w:val="004B56F2"/>
    <w:rsid w:val="004C0BA7"/>
    <w:rsid w:val="004C136D"/>
    <w:rsid w:val="004C1435"/>
    <w:rsid w:val="004C16A3"/>
    <w:rsid w:val="004C1E5A"/>
    <w:rsid w:val="004C2DC7"/>
    <w:rsid w:val="004C33B5"/>
    <w:rsid w:val="004C3DBF"/>
    <w:rsid w:val="004C471A"/>
    <w:rsid w:val="004C6B52"/>
    <w:rsid w:val="004C719E"/>
    <w:rsid w:val="004D0280"/>
    <w:rsid w:val="004D223E"/>
    <w:rsid w:val="004D23CE"/>
    <w:rsid w:val="004D4028"/>
    <w:rsid w:val="004D4639"/>
    <w:rsid w:val="004D5710"/>
    <w:rsid w:val="004D5C18"/>
    <w:rsid w:val="004D762D"/>
    <w:rsid w:val="004E2F56"/>
    <w:rsid w:val="004E3809"/>
    <w:rsid w:val="004E4294"/>
    <w:rsid w:val="004F01C8"/>
    <w:rsid w:val="004F02DF"/>
    <w:rsid w:val="004F03E4"/>
    <w:rsid w:val="004F0FE3"/>
    <w:rsid w:val="004F2013"/>
    <w:rsid w:val="004F3818"/>
    <w:rsid w:val="004F381F"/>
    <w:rsid w:val="004F47F2"/>
    <w:rsid w:val="004F4DAC"/>
    <w:rsid w:val="004F4F29"/>
    <w:rsid w:val="004F593C"/>
    <w:rsid w:val="004F6BCE"/>
    <w:rsid w:val="005013F0"/>
    <w:rsid w:val="0050210F"/>
    <w:rsid w:val="005025C1"/>
    <w:rsid w:val="00502DB6"/>
    <w:rsid w:val="00503833"/>
    <w:rsid w:val="005038C7"/>
    <w:rsid w:val="00503923"/>
    <w:rsid w:val="005047E3"/>
    <w:rsid w:val="00504C5C"/>
    <w:rsid w:val="00504E48"/>
    <w:rsid w:val="005065B5"/>
    <w:rsid w:val="00506F27"/>
    <w:rsid w:val="00507B9E"/>
    <w:rsid w:val="00510D3B"/>
    <w:rsid w:val="005117BC"/>
    <w:rsid w:val="00512887"/>
    <w:rsid w:val="00514479"/>
    <w:rsid w:val="00515353"/>
    <w:rsid w:val="0051621B"/>
    <w:rsid w:val="005175AC"/>
    <w:rsid w:val="005179D8"/>
    <w:rsid w:val="005202F5"/>
    <w:rsid w:val="00520309"/>
    <w:rsid w:val="005207A0"/>
    <w:rsid w:val="005208DF"/>
    <w:rsid w:val="0052264C"/>
    <w:rsid w:val="005241D2"/>
    <w:rsid w:val="005251E2"/>
    <w:rsid w:val="00527164"/>
    <w:rsid w:val="00527958"/>
    <w:rsid w:val="00527D3A"/>
    <w:rsid w:val="00527F0E"/>
    <w:rsid w:val="00530016"/>
    <w:rsid w:val="005305B2"/>
    <w:rsid w:val="005307A6"/>
    <w:rsid w:val="00531EF2"/>
    <w:rsid w:val="00533109"/>
    <w:rsid w:val="00534DD7"/>
    <w:rsid w:val="005359C8"/>
    <w:rsid w:val="0053652B"/>
    <w:rsid w:val="00536F9A"/>
    <w:rsid w:val="00536FD6"/>
    <w:rsid w:val="0054091E"/>
    <w:rsid w:val="005409A0"/>
    <w:rsid w:val="005409F1"/>
    <w:rsid w:val="0054113F"/>
    <w:rsid w:val="005413F5"/>
    <w:rsid w:val="00542CBD"/>
    <w:rsid w:val="00542EDA"/>
    <w:rsid w:val="005435A1"/>
    <w:rsid w:val="00543D1E"/>
    <w:rsid w:val="005441EF"/>
    <w:rsid w:val="0054571D"/>
    <w:rsid w:val="005468A0"/>
    <w:rsid w:val="00547AB0"/>
    <w:rsid w:val="005505F7"/>
    <w:rsid w:val="005522AF"/>
    <w:rsid w:val="00552D4B"/>
    <w:rsid w:val="00553420"/>
    <w:rsid w:val="00553D01"/>
    <w:rsid w:val="00554795"/>
    <w:rsid w:val="005566A5"/>
    <w:rsid w:val="00556EFE"/>
    <w:rsid w:val="00557338"/>
    <w:rsid w:val="005574E8"/>
    <w:rsid w:val="00557CFE"/>
    <w:rsid w:val="00560244"/>
    <w:rsid w:val="00560EB7"/>
    <w:rsid w:val="00563611"/>
    <w:rsid w:val="00563A2A"/>
    <w:rsid w:val="00563D6D"/>
    <w:rsid w:val="005644AF"/>
    <w:rsid w:val="00564FF3"/>
    <w:rsid w:val="00566DFC"/>
    <w:rsid w:val="00567982"/>
    <w:rsid w:val="0057057B"/>
    <w:rsid w:val="005706B0"/>
    <w:rsid w:val="005709E7"/>
    <w:rsid w:val="005716D6"/>
    <w:rsid w:val="00571E40"/>
    <w:rsid w:val="005742FD"/>
    <w:rsid w:val="00574BF4"/>
    <w:rsid w:val="00575771"/>
    <w:rsid w:val="00575E8C"/>
    <w:rsid w:val="0058046D"/>
    <w:rsid w:val="00581E25"/>
    <w:rsid w:val="0058269C"/>
    <w:rsid w:val="00582B86"/>
    <w:rsid w:val="00582DFE"/>
    <w:rsid w:val="0058331F"/>
    <w:rsid w:val="005833A6"/>
    <w:rsid w:val="0058378B"/>
    <w:rsid w:val="00583F01"/>
    <w:rsid w:val="00584A47"/>
    <w:rsid w:val="00585397"/>
    <w:rsid w:val="005856CB"/>
    <w:rsid w:val="00585CDD"/>
    <w:rsid w:val="005861D7"/>
    <w:rsid w:val="00586B39"/>
    <w:rsid w:val="00586CE9"/>
    <w:rsid w:val="00587EE2"/>
    <w:rsid w:val="0059147E"/>
    <w:rsid w:val="00591721"/>
    <w:rsid w:val="00592B44"/>
    <w:rsid w:val="0059321B"/>
    <w:rsid w:val="00594225"/>
    <w:rsid w:val="0059422D"/>
    <w:rsid w:val="00594E88"/>
    <w:rsid w:val="00594FB8"/>
    <w:rsid w:val="0059531B"/>
    <w:rsid w:val="005958E7"/>
    <w:rsid w:val="00597000"/>
    <w:rsid w:val="0059789D"/>
    <w:rsid w:val="00597DC3"/>
    <w:rsid w:val="005A06EA"/>
    <w:rsid w:val="005A1909"/>
    <w:rsid w:val="005A26C6"/>
    <w:rsid w:val="005A328C"/>
    <w:rsid w:val="005A367D"/>
    <w:rsid w:val="005A4673"/>
    <w:rsid w:val="005A47DC"/>
    <w:rsid w:val="005A4C3D"/>
    <w:rsid w:val="005A4E7E"/>
    <w:rsid w:val="005A4EEF"/>
    <w:rsid w:val="005A4F45"/>
    <w:rsid w:val="005A66AF"/>
    <w:rsid w:val="005B048A"/>
    <w:rsid w:val="005B0D1E"/>
    <w:rsid w:val="005B1D1C"/>
    <w:rsid w:val="005B2F91"/>
    <w:rsid w:val="005B3226"/>
    <w:rsid w:val="005B3420"/>
    <w:rsid w:val="005B49F5"/>
    <w:rsid w:val="005B52A6"/>
    <w:rsid w:val="005B5706"/>
    <w:rsid w:val="005B5FEF"/>
    <w:rsid w:val="005B60AE"/>
    <w:rsid w:val="005B6239"/>
    <w:rsid w:val="005B65D9"/>
    <w:rsid w:val="005B683F"/>
    <w:rsid w:val="005B7E1D"/>
    <w:rsid w:val="005C00B3"/>
    <w:rsid w:val="005C159E"/>
    <w:rsid w:val="005C3171"/>
    <w:rsid w:val="005C33EC"/>
    <w:rsid w:val="005C3A91"/>
    <w:rsid w:val="005C69A4"/>
    <w:rsid w:val="005C79BC"/>
    <w:rsid w:val="005C7E49"/>
    <w:rsid w:val="005C7FDE"/>
    <w:rsid w:val="005D0B84"/>
    <w:rsid w:val="005D29C3"/>
    <w:rsid w:val="005D3C6C"/>
    <w:rsid w:val="005D454C"/>
    <w:rsid w:val="005D4837"/>
    <w:rsid w:val="005D4E6E"/>
    <w:rsid w:val="005D661A"/>
    <w:rsid w:val="005D686E"/>
    <w:rsid w:val="005D7147"/>
    <w:rsid w:val="005D76C2"/>
    <w:rsid w:val="005D7B84"/>
    <w:rsid w:val="005E03FC"/>
    <w:rsid w:val="005E05AA"/>
    <w:rsid w:val="005E0C76"/>
    <w:rsid w:val="005E179B"/>
    <w:rsid w:val="005E1FA2"/>
    <w:rsid w:val="005E2C13"/>
    <w:rsid w:val="005E2DFA"/>
    <w:rsid w:val="005E30F1"/>
    <w:rsid w:val="005E4AE5"/>
    <w:rsid w:val="005E7015"/>
    <w:rsid w:val="005E706C"/>
    <w:rsid w:val="005E7B21"/>
    <w:rsid w:val="005F0C34"/>
    <w:rsid w:val="005F117B"/>
    <w:rsid w:val="005F1CF0"/>
    <w:rsid w:val="005F2F58"/>
    <w:rsid w:val="005F4C6A"/>
    <w:rsid w:val="005F4FB5"/>
    <w:rsid w:val="005F55DC"/>
    <w:rsid w:val="005F57D1"/>
    <w:rsid w:val="005F6464"/>
    <w:rsid w:val="005F7E2B"/>
    <w:rsid w:val="006016C2"/>
    <w:rsid w:val="00601E9C"/>
    <w:rsid w:val="00604C04"/>
    <w:rsid w:val="0060551C"/>
    <w:rsid w:val="006070E1"/>
    <w:rsid w:val="006076A2"/>
    <w:rsid w:val="006104AA"/>
    <w:rsid w:val="0061092B"/>
    <w:rsid w:val="006113BE"/>
    <w:rsid w:val="00611430"/>
    <w:rsid w:val="0061292B"/>
    <w:rsid w:val="0061345C"/>
    <w:rsid w:val="006134EC"/>
    <w:rsid w:val="00614B08"/>
    <w:rsid w:val="006153ED"/>
    <w:rsid w:val="00615B8E"/>
    <w:rsid w:val="00615BEC"/>
    <w:rsid w:val="00615C0C"/>
    <w:rsid w:val="00616329"/>
    <w:rsid w:val="006177AF"/>
    <w:rsid w:val="00621F49"/>
    <w:rsid w:val="006223B8"/>
    <w:rsid w:val="006225C1"/>
    <w:rsid w:val="00622AC5"/>
    <w:rsid w:val="006237D2"/>
    <w:rsid w:val="00626D74"/>
    <w:rsid w:val="0062795C"/>
    <w:rsid w:val="00627E63"/>
    <w:rsid w:val="00627FC4"/>
    <w:rsid w:val="006302D1"/>
    <w:rsid w:val="00630CE2"/>
    <w:rsid w:val="00632A39"/>
    <w:rsid w:val="00633174"/>
    <w:rsid w:val="006339D9"/>
    <w:rsid w:val="00634868"/>
    <w:rsid w:val="00635291"/>
    <w:rsid w:val="006364BF"/>
    <w:rsid w:val="00636E53"/>
    <w:rsid w:val="006373D4"/>
    <w:rsid w:val="00640784"/>
    <w:rsid w:val="006409D2"/>
    <w:rsid w:val="00641657"/>
    <w:rsid w:val="006420F4"/>
    <w:rsid w:val="00642A08"/>
    <w:rsid w:val="00644109"/>
    <w:rsid w:val="0064491A"/>
    <w:rsid w:val="0064498D"/>
    <w:rsid w:val="00645489"/>
    <w:rsid w:val="0064597C"/>
    <w:rsid w:val="00646086"/>
    <w:rsid w:val="00646AE1"/>
    <w:rsid w:val="006478B4"/>
    <w:rsid w:val="0064790B"/>
    <w:rsid w:val="00647AE6"/>
    <w:rsid w:val="00647CC8"/>
    <w:rsid w:val="00650577"/>
    <w:rsid w:val="006509E5"/>
    <w:rsid w:val="00650BAB"/>
    <w:rsid w:val="00652B7F"/>
    <w:rsid w:val="00652FB9"/>
    <w:rsid w:val="00654CC3"/>
    <w:rsid w:val="00655220"/>
    <w:rsid w:val="00657816"/>
    <w:rsid w:val="00660704"/>
    <w:rsid w:val="00660BFD"/>
    <w:rsid w:val="00660D0F"/>
    <w:rsid w:val="00661144"/>
    <w:rsid w:val="00663971"/>
    <w:rsid w:val="00663A41"/>
    <w:rsid w:val="00664506"/>
    <w:rsid w:val="00664835"/>
    <w:rsid w:val="006667E6"/>
    <w:rsid w:val="00667028"/>
    <w:rsid w:val="00667C72"/>
    <w:rsid w:val="0067067E"/>
    <w:rsid w:val="00670D5E"/>
    <w:rsid w:val="00671F58"/>
    <w:rsid w:val="00672099"/>
    <w:rsid w:val="00672DA7"/>
    <w:rsid w:val="00674D76"/>
    <w:rsid w:val="00674E79"/>
    <w:rsid w:val="0067604C"/>
    <w:rsid w:val="0067708C"/>
    <w:rsid w:val="00677E3E"/>
    <w:rsid w:val="0068161F"/>
    <w:rsid w:val="00682C8B"/>
    <w:rsid w:val="00683CE7"/>
    <w:rsid w:val="00683E41"/>
    <w:rsid w:val="00684922"/>
    <w:rsid w:val="0068496A"/>
    <w:rsid w:val="00685BE4"/>
    <w:rsid w:val="00685F1F"/>
    <w:rsid w:val="00690892"/>
    <w:rsid w:val="006914CE"/>
    <w:rsid w:val="0069241D"/>
    <w:rsid w:val="00692D37"/>
    <w:rsid w:val="00696ADD"/>
    <w:rsid w:val="00697195"/>
    <w:rsid w:val="00697262"/>
    <w:rsid w:val="006A105A"/>
    <w:rsid w:val="006A1649"/>
    <w:rsid w:val="006A1652"/>
    <w:rsid w:val="006A3239"/>
    <w:rsid w:val="006A42CE"/>
    <w:rsid w:val="006A68A0"/>
    <w:rsid w:val="006A7531"/>
    <w:rsid w:val="006A7663"/>
    <w:rsid w:val="006A7963"/>
    <w:rsid w:val="006B076E"/>
    <w:rsid w:val="006B2557"/>
    <w:rsid w:val="006B2625"/>
    <w:rsid w:val="006B2EE3"/>
    <w:rsid w:val="006B3195"/>
    <w:rsid w:val="006B41AF"/>
    <w:rsid w:val="006B4A25"/>
    <w:rsid w:val="006B4A4C"/>
    <w:rsid w:val="006B4B16"/>
    <w:rsid w:val="006B52EF"/>
    <w:rsid w:val="006B5AA1"/>
    <w:rsid w:val="006B7040"/>
    <w:rsid w:val="006B7F84"/>
    <w:rsid w:val="006C1E36"/>
    <w:rsid w:val="006C31A5"/>
    <w:rsid w:val="006C3D93"/>
    <w:rsid w:val="006C4227"/>
    <w:rsid w:val="006C4398"/>
    <w:rsid w:val="006C50DC"/>
    <w:rsid w:val="006C5579"/>
    <w:rsid w:val="006C59EB"/>
    <w:rsid w:val="006C6FDD"/>
    <w:rsid w:val="006C7509"/>
    <w:rsid w:val="006D0784"/>
    <w:rsid w:val="006D22E2"/>
    <w:rsid w:val="006D243A"/>
    <w:rsid w:val="006D248A"/>
    <w:rsid w:val="006D2BE1"/>
    <w:rsid w:val="006D3DDB"/>
    <w:rsid w:val="006D43BD"/>
    <w:rsid w:val="006D4C53"/>
    <w:rsid w:val="006D5849"/>
    <w:rsid w:val="006D60F8"/>
    <w:rsid w:val="006D67ED"/>
    <w:rsid w:val="006D6C5F"/>
    <w:rsid w:val="006D7023"/>
    <w:rsid w:val="006E07E0"/>
    <w:rsid w:val="006E1BDE"/>
    <w:rsid w:val="006E2BC9"/>
    <w:rsid w:val="006E4878"/>
    <w:rsid w:val="006E5B25"/>
    <w:rsid w:val="006E5CCF"/>
    <w:rsid w:val="006E6CEE"/>
    <w:rsid w:val="006E7233"/>
    <w:rsid w:val="006E78BE"/>
    <w:rsid w:val="006E78FF"/>
    <w:rsid w:val="006F12A2"/>
    <w:rsid w:val="006F184D"/>
    <w:rsid w:val="006F1B9D"/>
    <w:rsid w:val="006F29D3"/>
    <w:rsid w:val="006F3722"/>
    <w:rsid w:val="006F4021"/>
    <w:rsid w:val="006F424A"/>
    <w:rsid w:val="006F4306"/>
    <w:rsid w:val="006F62FA"/>
    <w:rsid w:val="006F63BF"/>
    <w:rsid w:val="006F6855"/>
    <w:rsid w:val="006F6A80"/>
    <w:rsid w:val="007017F7"/>
    <w:rsid w:val="0070285C"/>
    <w:rsid w:val="00704E9C"/>
    <w:rsid w:val="00706B8D"/>
    <w:rsid w:val="007076CE"/>
    <w:rsid w:val="00707B47"/>
    <w:rsid w:val="007110B2"/>
    <w:rsid w:val="00711217"/>
    <w:rsid w:val="007113E1"/>
    <w:rsid w:val="00712DBD"/>
    <w:rsid w:val="00714961"/>
    <w:rsid w:val="00715BF6"/>
    <w:rsid w:val="00717FDE"/>
    <w:rsid w:val="007204A1"/>
    <w:rsid w:val="00720553"/>
    <w:rsid w:val="00720D0B"/>
    <w:rsid w:val="007225DB"/>
    <w:rsid w:val="00723CCE"/>
    <w:rsid w:val="00723CEE"/>
    <w:rsid w:val="00724399"/>
    <w:rsid w:val="00725A84"/>
    <w:rsid w:val="00726D6F"/>
    <w:rsid w:val="0073196B"/>
    <w:rsid w:val="007321D0"/>
    <w:rsid w:val="00732663"/>
    <w:rsid w:val="00734293"/>
    <w:rsid w:val="007351FA"/>
    <w:rsid w:val="007354C3"/>
    <w:rsid w:val="0073604D"/>
    <w:rsid w:val="00736EF9"/>
    <w:rsid w:val="0073730D"/>
    <w:rsid w:val="00737F55"/>
    <w:rsid w:val="0074022B"/>
    <w:rsid w:val="007402BF"/>
    <w:rsid w:val="00741311"/>
    <w:rsid w:val="00741445"/>
    <w:rsid w:val="00742914"/>
    <w:rsid w:val="00743373"/>
    <w:rsid w:val="00743CE1"/>
    <w:rsid w:val="007442F5"/>
    <w:rsid w:val="007454D3"/>
    <w:rsid w:val="00746AB8"/>
    <w:rsid w:val="00746BC2"/>
    <w:rsid w:val="007470F8"/>
    <w:rsid w:val="007506EC"/>
    <w:rsid w:val="00750E3E"/>
    <w:rsid w:val="00753384"/>
    <w:rsid w:val="007540C7"/>
    <w:rsid w:val="00754973"/>
    <w:rsid w:val="007550A3"/>
    <w:rsid w:val="0075593F"/>
    <w:rsid w:val="00756963"/>
    <w:rsid w:val="00757C78"/>
    <w:rsid w:val="00761AD0"/>
    <w:rsid w:val="00761E57"/>
    <w:rsid w:val="00764266"/>
    <w:rsid w:val="007704C4"/>
    <w:rsid w:val="007718B7"/>
    <w:rsid w:val="00772087"/>
    <w:rsid w:val="00772E20"/>
    <w:rsid w:val="00773A43"/>
    <w:rsid w:val="00773C6C"/>
    <w:rsid w:val="00774945"/>
    <w:rsid w:val="00774AFE"/>
    <w:rsid w:val="007760D8"/>
    <w:rsid w:val="00776E46"/>
    <w:rsid w:val="00776F52"/>
    <w:rsid w:val="00777B16"/>
    <w:rsid w:val="0078055C"/>
    <w:rsid w:val="007809E2"/>
    <w:rsid w:val="00780CDA"/>
    <w:rsid w:val="00781C71"/>
    <w:rsid w:val="00781DE5"/>
    <w:rsid w:val="007825DC"/>
    <w:rsid w:val="0078305D"/>
    <w:rsid w:val="0078318F"/>
    <w:rsid w:val="007837F0"/>
    <w:rsid w:val="00783D7D"/>
    <w:rsid w:val="007841CD"/>
    <w:rsid w:val="0078517F"/>
    <w:rsid w:val="0078532B"/>
    <w:rsid w:val="0078553E"/>
    <w:rsid w:val="00786292"/>
    <w:rsid w:val="00787417"/>
    <w:rsid w:val="00787943"/>
    <w:rsid w:val="00791696"/>
    <w:rsid w:val="0079175E"/>
    <w:rsid w:val="00791B9D"/>
    <w:rsid w:val="00792438"/>
    <w:rsid w:val="007924C9"/>
    <w:rsid w:val="00792AB3"/>
    <w:rsid w:val="0079471D"/>
    <w:rsid w:val="007954AC"/>
    <w:rsid w:val="00795829"/>
    <w:rsid w:val="007958F4"/>
    <w:rsid w:val="00795CE2"/>
    <w:rsid w:val="00795DDF"/>
    <w:rsid w:val="00796BB2"/>
    <w:rsid w:val="007A1B31"/>
    <w:rsid w:val="007A4519"/>
    <w:rsid w:val="007A491B"/>
    <w:rsid w:val="007A59B2"/>
    <w:rsid w:val="007A6645"/>
    <w:rsid w:val="007A6C50"/>
    <w:rsid w:val="007B11FA"/>
    <w:rsid w:val="007B144B"/>
    <w:rsid w:val="007B1D5F"/>
    <w:rsid w:val="007B221B"/>
    <w:rsid w:val="007B24D2"/>
    <w:rsid w:val="007B2800"/>
    <w:rsid w:val="007B329A"/>
    <w:rsid w:val="007B362E"/>
    <w:rsid w:val="007B36FC"/>
    <w:rsid w:val="007B38AF"/>
    <w:rsid w:val="007B38C7"/>
    <w:rsid w:val="007B3B10"/>
    <w:rsid w:val="007B4869"/>
    <w:rsid w:val="007B4892"/>
    <w:rsid w:val="007B5089"/>
    <w:rsid w:val="007B5254"/>
    <w:rsid w:val="007B54AF"/>
    <w:rsid w:val="007B7327"/>
    <w:rsid w:val="007B76AD"/>
    <w:rsid w:val="007C010D"/>
    <w:rsid w:val="007C1C7A"/>
    <w:rsid w:val="007C1DC9"/>
    <w:rsid w:val="007C2381"/>
    <w:rsid w:val="007C2686"/>
    <w:rsid w:val="007C2B74"/>
    <w:rsid w:val="007C2D5D"/>
    <w:rsid w:val="007C30AB"/>
    <w:rsid w:val="007C4553"/>
    <w:rsid w:val="007C47F4"/>
    <w:rsid w:val="007C4812"/>
    <w:rsid w:val="007C4B48"/>
    <w:rsid w:val="007C61B6"/>
    <w:rsid w:val="007C662D"/>
    <w:rsid w:val="007C79BC"/>
    <w:rsid w:val="007D0844"/>
    <w:rsid w:val="007D0C1C"/>
    <w:rsid w:val="007D1C62"/>
    <w:rsid w:val="007D313E"/>
    <w:rsid w:val="007D34B2"/>
    <w:rsid w:val="007D4888"/>
    <w:rsid w:val="007D499D"/>
    <w:rsid w:val="007D51B4"/>
    <w:rsid w:val="007D5B65"/>
    <w:rsid w:val="007D6BDE"/>
    <w:rsid w:val="007E0A6F"/>
    <w:rsid w:val="007E0CC5"/>
    <w:rsid w:val="007E1AA5"/>
    <w:rsid w:val="007E32B7"/>
    <w:rsid w:val="007E3830"/>
    <w:rsid w:val="007E386E"/>
    <w:rsid w:val="007E4335"/>
    <w:rsid w:val="007E47F4"/>
    <w:rsid w:val="007E63A5"/>
    <w:rsid w:val="007E6630"/>
    <w:rsid w:val="007E7784"/>
    <w:rsid w:val="007F0006"/>
    <w:rsid w:val="007F0195"/>
    <w:rsid w:val="007F1D55"/>
    <w:rsid w:val="007F2F38"/>
    <w:rsid w:val="007F3448"/>
    <w:rsid w:val="007F4971"/>
    <w:rsid w:val="007F5D4E"/>
    <w:rsid w:val="007F5EDD"/>
    <w:rsid w:val="008014B4"/>
    <w:rsid w:val="0080174B"/>
    <w:rsid w:val="0080175E"/>
    <w:rsid w:val="008019A5"/>
    <w:rsid w:val="008028E1"/>
    <w:rsid w:val="00803588"/>
    <w:rsid w:val="008039FF"/>
    <w:rsid w:val="00803AC6"/>
    <w:rsid w:val="00804A86"/>
    <w:rsid w:val="008056B8"/>
    <w:rsid w:val="00805769"/>
    <w:rsid w:val="00805924"/>
    <w:rsid w:val="00807908"/>
    <w:rsid w:val="00807E27"/>
    <w:rsid w:val="008106FA"/>
    <w:rsid w:val="00810705"/>
    <w:rsid w:val="00810815"/>
    <w:rsid w:val="0081207E"/>
    <w:rsid w:val="008124A8"/>
    <w:rsid w:val="008125A0"/>
    <w:rsid w:val="0081305C"/>
    <w:rsid w:val="008131AF"/>
    <w:rsid w:val="00813B58"/>
    <w:rsid w:val="008144E7"/>
    <w:rsid w:val="0081604B"/>
    <w:rsid w:val="00817139"/>
    <w:rsid w:val="0081731A"/>
    <w:rsid w:val="00820B37"/>
    <w:rsid w:val="008213AF"/>
    <w:rsid w:val="008228BE"/>
    <w:rsid w:val="00823657"/>
    <w:rsid w:val="00823A48"/>
    <w:rsid w:val="00824020"/>
    <w:rsid w:val="008246C7"/>
    <w:rsid w:val="00824EED"/>
    <w:rsid w:val="00825C97"/>
    <w:rsid w:val="0082735A"/>
    <w:rsid w:val="0083060A"/>
    <w:rsid w:val="0083171F"/>
    <w:rsid w:val="00831A20"/>
    <w:rsid w:val="0083277F"/>
    <w:rsid w:val="00832ACF"/>
    <w:rsid w:val="00834E2A"/>
    <w:rsid w:val="0083502F"/>
    <w:rsid w:val="00835DC6"/>
    <w:rsid w:val="008364E8"/>
    <w:rsid w:val="0083680B"/>
    <w:rsid w:val="00836C7D"/>
    <w:rsid w:val="00837756"/>
    <w:rsid w:val="00837E7E"/>
    <w:rsid w:val="0084011E"/>
    <w:rsid w:val="008414A4"/>
    <w:rsid w:val="00841985"/>
    <w:rsid w:val="00841AAF"/>
    <w:rsid w:val="0084203F"/>
    <w:rsid w:val="00842B37"/>
    <w:rsid w:val="008430C1"/>
    <w:rsid w:val="0084366B"/>
    <w:rsid w:val="00844503"/>
    <w:rsid w:val="00844A53"/>
    <w:rsid w:val="00845023"/>
    <w:rsid w:val="00846D9F"/>
    <w:rsid w:val="00847312"/>
    <w:rsid w:val="00847731"/>
    <w:rsid w:val="0084782B"/>
    <w:rsid w:val="00847E36"/>
    <w:rsid w:val="008500FB"/>
    <w:rsid w:val="00851019"/>
    <w:rsid w:val="008519BB"/>
    <w:rsid w:val="0085272F"/>
    <w:rsid w:val="008549B5"/>
    <w:rsid w:val="00855C8F"/>
    <w:rsid w:val="00855E84"/>
    <w:rsid w:val="008609AC"/>
    <w:rsid w:val="00860C56"/>
    <w:rsid w:val="008611CC"/>
    <w:rsid w:val="008611D2"/>
    <w:rsid w:val="00862087"/>
    <w:rsid w:val="008623F6"/>
    <w:rsid w:val="00863A2F"/>
    <w:rsid w:val="00863AC4"/>
    <w:rsid w:val="00863FE4"/>
    <w:rsid w:val="008660AA"/>
    <w:rsid w:val="00866BBD"/>
    <w:rsid w:val="00866F31"/>
    <w:rsid w:val="00867265"/>
    <w:rsid w:val="0087058A"/>
    <w:rsid w:val="00870980"/>
    <w:rsid w:val="00872D8F"/>
    <w:rsid w:val="00874871"/>
    <w:rsid w:val="008762EB"/>
    <w:rsid w:val="00876593"/>
    <w:rsid w:val="008805F0"/>
    <w:rsid w:val="00880AF8"/>
    <w:rsid w:val="00880CFF"/>
    <w:rsid w:val="00880F74"/>
    <w:rsid w:val="0088191B"/>
    <w:rsid w:val="00881A5F"/>
    <w:rsid w:val="00881AE4"/>
    <w:rsid w:val="00882401"/>
    <w:rsid w:val="00882638"/>
    <w:rsid w:val="00882BDA"/>
    <w:rsid w:val="00883456"/>
    <w:rsid w:val="0088397E"/>
    <w:rsid w:val="00883B3A"/>
    <w:rsid w:val="00885713"/>
    <w:rsid w:val="00886398"/>
    <w:rsid w:val="00886534"/>
    <w:rsid w:val="008866E2"/>
    <w:rsid w:val="00887820"/>
    <w:rsid w:val="00887DE3"/>
    <w:rsid w:val="00887F4D"/>
    <w:rsid w:val="00890B23"/>
    <w:rsid w:val="00892507"/>
    <w:rsid w:val="00892E4B"/>
    <w:rsid w:val="00893324"/>
    <w:rsid w:val="00893451"/>
    <w:rsid w:val="00893D58"/>
    <w:rsid w:val="00893F3D"/>
    <w:rsid w:val="008940F4"/>
    <w:rsid w:val="00894D54"/>
    <w:rsid w:val="00896AB1"/>
    <w:rsid w:val="008973E8"/>
    <w:rsid w:val="008A1612"/>
    <w:rsid w:val="008A1689"/>
    <w:rsid w:val="008A1968"/>
    <w:rsid w:val="008A2E65"/>
    <w:rsid w:val="008A2EA4"/>
    <w:rsid w:val="008A3D00"/>
    <w:rsid w:val="008A4A91"/>
    <w:rsid w:val="008A4C39"/>
    <w:rsid w:val="008A6583"/>
    <w:rsid w:val="008A7472"/>
    <w:rsid w:val="008A77BE"/>
    <w:rsid w:val="008A7DD7"/>
    <w:rsid w:val="008B0075"/>
    <w:rsid w:val="008B225B"/>
    <w:rsid w:val="008B41FE"/>
    <w:rsid w:val="008B5656"/>
    <w:rsid w:val="008B591B"/>
    <w:rsid w:val="008B6AD7"/>
    <w:rsid w:val="008B759C"/>
    <w:rsid w:val="008B7E80"/>
    <w:rsid w:val="008C09ED"/>
    <w:rsid w:val="008C0A0B"/>
    <w:rsid w:val="008C1A96"/>
    <w:rsid w:val="008C1AB4"/>
    <w:rsid w:val="008C25EA"/>
    <w:rsid w:val="008C426A"/>
    <w:rsid w:val="008C440A"/>
    <w:rsid w:val="008C4A41"/>
    <w:rsid w:val="008C5DB9"/>
    <w:rsid w:val="008C6289"/>
    <w:rsid w:val="008C7021"/>
    <w:rsid w:val="008D002F"/>
    <w:rsid w:val="008D046E"/>
    <w:rsid w:val="008D079D"/>
    <w:rsid w:val="008D0B05"/>
    <w:rsid w:val="008D0B7A"/>
    <w:rsid w:val="008D1718"/>
    <w:rsid w:val="008D17BE"/>
    <w:rsid w:val="008D1DC6"/>
    <w:rsid w:val="008D1FB7"/>
    <w:rsid w:val="008D2A0D"/>
    <w:rsid w:val="008D353C"/>
    <w:rsid w:val="008D410E"/>
    <w:rsid w:val="008D46AD"/>
    <w:rsid w:val="008D4735"/>
    <w:rsid w:val="008D4A45"/>
    <w:rsid w:val="008D55A3"/>
    <w:rsid w:val="008D56F9"/>
    <w:rsid w:val="008D5A1D"/>
    <w:rsid w:val="008D6AB4"/>
    <w:rsid w:val="008D6F0D"/>
    <w:rsid w:val="008D735D"/>
    <w:rsid w:val="008E0607"/>
    <w:rsid w:val="008E0BCE"/>
    <w:rsid w:val="008E0C43"/>
    <w:rsid w:val="008E0EB8"/>
    <w:rsid w:val="008E10F3"/>
    <w:rsid w:val="008E11B7"/>
    <w:rsid w:val="008E1E9D"/>
    <w:rsid w:val="008E4510"/>
    <w:rsid w:val="008E49B1"/>
    <w:rsid w:val="008E4D90"/>
    <w:rsid w:val="008E5834"/>
    <w:rsid w:val="008E7422"/>
    <w:rsid w:val="008E76E8"/>
    <w:rsid w:val="008E7EFA"/>
    <w:rsid w:val="008F054A"/>
    <w:rsid w:val="008F1AD4"/>
    <w:rsid w:val="008F1B9C"/>
    <w:rsid w:val="008F1DAB"/>
    <w:rsid w:val="008F2024"/>
    <w:rsid w:val="008F21F7"/>
    <w:rsid w:val="008F2B13"/>
    <w:rsid w:val="008F2D37"/>
    <w:rsid w:val="008F304A"/>
    <w:rsid w:val="008F379C"/>
    <w:rsid w:val="008F3905"/>
    <w:rsid w:val="008F4D3F"/>
    <w:rsid w:val="008F6EA7"/>
    <w:rsid w:val="008F7487"/>
    <w:rsid w:val="009011D8"/>
    <w:rsid w:val="0090237F"/>
    <w:rsid w:val="00902B9F"/>
    <w:rsid w:val="00903135"/>
    <w:rsid w:val="00904C89"/>
    <w:rsid w:val="00905003"/>
    <w:rsid w:val="00905241"/>
    <w:rsid w:val="0090572B"/>
    <w:rsid w:val="0090624E"/>
    <w:rsid w:val="00906714"/>
    <w:rsid w:val="00907496"/>
    <w:rsid w:val="0090750B"/>
    <w:rsid w:val="00907E85"/>
    <w:rsid w:val="0091074E"/>
    <w:rsid w:val="00910B94"/>
    <w:rsid w:val="00910CF0"/>
    <w:rsid w:val="00910D87"/>
    <w:rsid w:val="00910D96"/>
    <w:rsid w:val="00911D20"/>
    <w:rsid w:val="0091298E"/>
    <w:rsid w:val="00913874"/>
    <w:rsid w:val="00913A56"/>
    <w:rsid w:val="00913A57"/>
    <w:rsid w:val="00913FA7"/>
    <w:rsid w:val="00914843"/>
    <w:rsid w:val="00915B37"/>
    <w:rsid w:val="00915F92"/>
    <w:rsid w:val="00916599"/>
    <w:rsid w:val="0091739A"/>
    <w:rsid w:val="009179CE"/>
    <w:rsid w:val="00917E7B"/>
    <w:rsid w:val="00917F3C"/>
    <w:rsid w:val="009202CA"/>
    <w:rsid w:val="009207C3"/>
    <w:rsid w:val="00921D71"/>
    <w:rsid w:val="00921FE9"/>
    <w:rsid w:val="0092214A"/>
    <w:rsid w:val="00922257"/>
    <w:rsid w:val="00922DEB"/>
    <w:rsid w:val="009236FF"/>
    <w:rsid w:val="00923BC3"/>
    <w:rsid w:val="00923FCE"/>
    <w:rsid w:val="0092402B"/>
    <w:rsid w:val="009240E2"/>
    <w:rsid w:val="00924802"/>
    <w:rsid w:val="00924B3F"/>
    <w:rsid w:val="0092510D"/>
    <w:rsid w:val="00926A44"/>
    <w:rsid w:val="00926AED"/>
    <w:rsid w:val="009270C3"/>
    <w:rsid w:val="009270E6"/>
    <w:rsid w:val="00927DAE"/>
    <w:rsid w:val="00927DB8"/>
    <w:rsid w:val="009308BE"/>
    <w:rsid w:val="00930E0F"/>
    <w:rsid w:val="00930E15"/>
    <w:rsid w:val="009323A8"/>
    <w:rsid w:val="00935613"/>
    <w:rsid w:val="00935741"/>
    <w:rsid w:val="00936581"/>
    <w:rsid w:val="00936778"/>
    <w:rsid w:val="0093750F"/>
    <w:rsid w:val="0093786A"/>
    <w:rsid w:val="00937A3E"/>
    <w:rsid w:val="00937D44"/>
    <w:rsid w:val="00937EE8"/>
    <w:rsid w:val="00940971"/>
    <w:rsid w:val="00940A31"/>
    <w:rsid w:val="0094130E"/>
    <w:rsid w:val="00941956"/>
    <w:rsid w:val="009426E9"/>
    <w:rsid w:val="00943193"/>
    <w:rsid w:val="00943906"/>
    <w:rsid w:val="00943A99"/>
    <w:rsid w:val="0094457D"/>
    <w:rsid w:val="00945561"/>
    <w:rsid w:val="009458BA"/>
    <w:rsid w:val="00945C02"/>
    <w:rsid w:val="00950838"/>
    <w:rsid w:val="009516EC"/>
    <w:rsid w:val="00951BB4"/>
    <w:rsid w:val="009521DE"/>
    <w:rsid w:val="00952D68"/>
    <w:rsid w:val="0095354B"/>
    <w:rsid w:val="00953B10"/>
    <w:rsid w:val="00956524"/>
    <w:rsid w:val="009565AA"/>
    <w:rsid w:val="0095680D"/>
    <w:rsid w:val="009578E0"/>
    <w:rsid w:val="00960D7D"/>
    <w:rsid w:val="00961F73"/>
    <w:rsid w:val="00963364"/>
    <w:rsid w:val="00964CB3"/>
    <w:rsid w:val="00964E56"/>
    <w:rsid w:val="00965EF4"/>
    <w:rsid w:val="00966847"/>
    <w:rsid w:val="00966E52"/>
    <w:rsid w:val="00966E92"/>
    <w:rsid w:val="00971AEE"/>
    <w:rsid w:val="009728D7"/>
    <w:rsid w:val="00973DF1"/>
    <w:rsid w:val="00973F9E"/>
    <w:rsid w:val="00974364"/>
    <w:rsid w:val="0097536F"/>
    <w:rsid w:val="00976B97"/>
    <w:rsid w:val="00976BD9"/>
    <w:rsid w:val="00977470"/>
    <w:rsid w:val="0098110E"/>
    <w:rsid w:val="00981A41"/>
    <w:rsid w:val="0098228D"/>
    <w:rsid w:val="00983E9A"/>
    <w:rsid w:val="00984D32"/>
    <w:rsid w:val="00985663"/>
    <w:rsid w:val="009857D4"/>
    <w:rsid w:val="00985D62"/>
    <w:rsid w:val="00987048"/>
    <w:rsid w:val="009874D2"/>
    <w:rsid w:val="0098760D"/>
    <w:rsid w:val="0098769D"/>
    <w:rsid w:val="009907E1"/>
    <w:rsid w:val="0099129F"/>
    <w:rsid w:val="00991B23"/>
    <w:rsid w:val="00991B6D"/>
    <w:rsid w:val="00991DA0"/>
    <w:rsid w:val="009929A8"/>
    <w:rsid w:val="00993A5D"/>
    <w:rsid w:val="0099430B"/>
    <w:rsid w:val="00995393"/>
    <w:rsid w:val="00996343"/>
    <w:rsid w:val="00997F03"/>
    <w:rsid w:val="009A0021"/>
    <w:rsid w:val="009A1C0D"/>
    <w:rsid w:val="009A2392"/>
    <w:rsid w:val="009A3F80"/>
    <w:rsid w:val="009A4E52"/>
    <w:rsid w:val="009A6E9A"/>
    <w:rsid w:val="009B0677"/>
    <w:rsid w:val="009B270B"/>
    <w:rsid w:val="009B5701"/>
    <w:rsid w:val="009B5AB0"/>
    <w:rsid w:val="009B5C23"/>
    <w:rsid w:val="009B5E9E"/>
    <w:rsid w:val="009B5F5C"/>
    <w:rsid w:val="009B68F8"/>
    <w:rsid w:val="009C0838"/>
    <w:rsid w:val="009C177E"/>
    <w:rsid w:val="009C2675"/>
    <w:rsid w:val="009C2952"/>
    <w:rsid w:val="009C3876"/>
    <w:rsid w:val="009C549B"/>
    <w:rsid w:val="009C685C"/>
    <w:rsid w:val="009C69A1"/>
    <w:rsid w:val="009C6C6D"/>
    <w:rsid w:val="009D2093"/>
    <w:rsid w:val="009D52BA"/>
    <w:rsid w:val="009D6A1D"/>
    <w:rsid w:val="009D71D6"/>
    <w:rsid w:val="009E0750"/>
    <w:rsid w:val="009E0948"/>
    <w:rsid w:val="009E0984"/>
    <w:rsid w:val="009E152A"/>
    <w:rsid w:val="009E349D"/>
    <w:rsid w:val="009E3FDE"/>
    <w:rsid w:val="009E400E"/>
    <w:rsid w:val="009E428B"/>
    <w:rsid w:val="009E519E"/>
    <w:rsid w:val="009E6589"/>
    <w:rsid w:val="009E7012"/>
    <w:rsid w:val="009F04E8"/>
    <w:rsid w:val="009F1C6F"/>
    <w:rsid w:val="009F1FA0"/>
    <w:rsid w:val="009F204D"/>
    <w:rsid w:val="009F2AC5"/>
    <w:rsid w:val="009F32D5"/>
    <w:rsid w:val="009F57DB"/>
    <w:rsid w:val="009F5A9F"/>
    <w:rsid w:val="009F5C26"/>
    <w:rsid w:val="009F6374"/>
    <w:rsid w:val="009F6710"/>
    <w:rsid w:val="009F6BF4"/>
    <w:rsid w:val="009F6C1A"/>
    <w:rsid w:val="009F6F85"/>
    <w:rsid w:val="009F7656"/>
    <w:rsid w:val="009F767B"/>
    <w:rsid w:val="009F77D1"/>
    <w:rsid w:val="009F7D20"/>
    <w:rsid w:val="00A00200"/>
    <w:rsid w:val="00A0042C"/>
    <w:rsid w:val="00A00750"/>
    <w:rsid w:val="00A00D47"/>
    <w:rsid w:val="00A016CB"/>
    <w:rsid w:val="00A01CB3"/>
    <w:rsid w:val="00A031A8"/>
    <w:rsid w:val="00A0321A"/>
    <w:rsid w:val="00A033D3"/>
    <w:rsid w:val="00A04027"/>
    <w:rsid w:val="00A046BA"/>
    <w:rsid w:val="00A055F7"/>
    <w:rsid w:val="00A06312"/>
    <w:rsid w:val="00A06A03"/>
    <w:rsid w:val="00A10E3B"/>
    <w:rsid w:val="00A11392"/>
    <w:rsid w:val="00A119E7"/>
    <w:rsid w:val="00A12A48"/>
    <w:rsid w:val="00A12CD1"/>
    <w:rsid w:val="00A14030"/>
    <w:rsid w:val="00A14236"/>
    <w:rsid w:val="00A14B27"/>
    <w:rsid w:val="00A14DD0"/>
    <w:rsid w:val="00A1573B"/>
    <w:rsid w:val="00A1591C"/>
    <w:rsid w:val="00A20302"/>
    <w:rsid w:val="00A21074"/>
    <w:rsid w:val="00A21208"/>
    <w:rsid w:val="00A21B01"/>
    <w:rsid w:val="00A21D42"/>
    <w:rsid w:val="00A22079"/>
    <w:rsid w:val="00A233DE"/>
    <w:rsid w:val="00A2462B"/>
    <w:rsid w:val="00A249A4"/>
    <w:rsid w:val="00A2513C"/>
    <w:rsid w:val="00A255D9"/>
    <w:rsid w:val="00A255DD"/>
    <w:rsid w:val="00A25D9D"/>
    <w:rsid w:val="00A26DE2"/>
    <w:rsid w:val="00A27E1B"/>
    <w:rsid w:val="00A30C14"/>
    <w:rsid w:val="00A30F6C"/>
    <w:rsid w:val="00A31177"/>
    <w:rsid w:val="00A3137F"/>
    <w:rsid w:val="00A318C3"/>
    <w:rsid w:val="00A3367A"/>
    <w:rsid w:val="00A337A9"/>
    <w:rsid w:val="00A33FF3"/>
    <w:rsid w:val="00A34E1B"/>
    <w:rsid w:val="00A351C8"/>
    <w:rsid w:val="00A353DE"/>
    <w:rsid w:val="00A3555B"/>
    <w:rsid w:val="00A35E6F"/>
    <w:rsid w:val="00A36523"/>
    <w:rsid w:val="00A36C50"/>
    <w:rsid w:val="00A374F4"/>
    <w:rsid w:val="00A37BB8"/>
    <w:rsid w:val="00A37E89"/>
    <w:rsid w:val="00A403FE"/>
    <w:rsid w:val="00A40BFE"/>
    <w:rsid w:val="00A41850"/>
    <w:rsid w:val="00A43BDD"/>
    <w:rsid w:val="00A440E1"/>
    <w:rsid w:val="00A44A41"/>
    <w:rsid w:val="00A44EE6"/>
    <w:rsid w:val="00A461F1"/>
    <w:rsid w:val="00A513B2"/>
    <w:rsid w:val="00A528A4"/>
    <w:rsid w:val="00A530B8"/>
    <w:rsid w:val="00A54A23"/>
    <w:rsid w:val="00A54F35"/>
    <w:rsid w:val="00A55007"/>
    <w:rsid w:val="00A553A9"/>
    <w:rsid w:val="00A55C47"/>
    <w:rsid w:val="00A56200"/>
    <w:rsid w:val="00A56320"/>
    <w:rsid w:val="00A566A9"/>
    <w:rsid w:val="00A569A9"/>
    <w:rsid w:val="00A616A6"/>
    <w:rsid w:val="00A62129"/>
    <w:rsid w:val="00A622E2"/>
    <w:rsid w:val="00A63857"/>
    <w:rsid w:val="00A63F1D"/>
    <w:rsid w:val="00A65441"/>
    <w:rsid w:val="00A6683E"/>
    <w:rsid w:val="00A66C4A"/>
    <w:rsid w:val="00A6755B"/>
    <w:rsid w:val="00A67B7B"/>
    <w:rsid w:val="00A67BC1"/>
    <w:rsid w:val="00A71141"/>
    <w:rsid w:val="00A72653"/>
    <w:rsid w:val="00A73431"/>
    <w:rsid w:val="00A736EB"/>
    <w:rsid w:val="00A73C53"/>
    <w:rsid w:val="00A73D01"/>
    <w:rsid w:val="00A73D29"/>
    <w:rsid w:val="00A74DE5"/>
    <w:rsid w:val="00A751F9"/>
    <w:rsid w:val="00A75D0D"/>
    <w:rsid w:val="00A75D5A"/>
    <w:rsid w:val="00A764F8"/>
    <w:rsid w:val="00A7721C"/>
    <w:rsid w:val="00A773C7"/>
    <w:rsid w:val="00A773E1"/>
    <w:rsid w:val="00A80B27"/>
    <w:rsid w:val="00A825EB"/>
    <w:rsid w:val="00A82B09"/>
    <w:rsid w:val="00A83445"/>
    <w:rsid w:val="00A83E2B"/>
    <w:rsid w:val="00A841F3"/>
    <w:rsid w:val="00A859DE"/>
    <w:rsid w:val="00A86EAB"/>
    <w:rsid w:val="00A8720E"/>
    <w:rsid w:val="00A8726C"/>
    <w:rsid w:val="00A879DF"/>
    <w:rsid w:val="00A91689"/>
    <w:rsid w:val="00A91F01"/>
    <w:rsid w:val="00A927A7"/>
    <w:rsid w:val="00A94233"/>
    <w:rsid w:val="00A9492A"/>
    <w:rsid w:val="00A951D9"/>
    <w:rsid w:val="00A957D3"/>
    <w:rsid w:val="00A969E1"/>
    <w:rsid w:val="00A96ECF"/>
    <w:rsid w:val="00A97685"/>
    <w:rsid w:val="00A97718"/>
    <w:rsid w:val="00A97912"/>
    <w:rsid w:val="00AA12AF"/>
    <w:rsid w:val="00AA1FCC"/>
    <w:rsid w:val="00AA35FC"/>
    <w:rsid w:val="00AA482F"/>
    <w:rsid w:val="00AA4AE7"/>
    <w:rsid w:val="00AA54AE"/>
    <w:rsid w:val="00AA5737"/>
    <w:rsid w:val="00AA5837"/>
    <w:rsid w:val="00AA5C02"/>
    <w:rsid w:val="00AA7305"/>
    <w:rsid w:val="00AB0A7F"/>
    <w:rsid w:val="00AB0B85"/>
    <w:rsid w:val="00AB0BF2"/>
    <w:rsid w:val="00AB5C3D"/>
    <w:rsid w:val="00AB7C9F"/>
    <w:rsid w:val="00AB7F8A"/>
    <w:rsid w:val="00AC0090"/>
    <w:rsid w:val="00AC0C72"/>
    <w:rsid w:val="00AC3191"/>
    <w:rsid w:val="00AC4074"/>
    <w:rsid w:val="00AC4A59"/>
    <w:rsid w:val="00AC5A47"/>
    <w:rsid w:val="00AC5ADE"/>
    <w:rsid w:val="00AC5CA6"/>
    <w:rsid w:val="00AC68CF"/>
    <w:rsid w:val="00AD4F43"/>
    <w:rsid w:val="00AD5639"/>
    <w:rsid w:val="00AD565A"/>
    <w:rsid w:val="00AD65C7"/>
    <w:rsid w:val="00AD6617"/>
    <w:rsid w:val="00AE0B1B"/>
    <w:rsid w:val="00AE0C1A"/>
    <w:rsid w:val="00AE1375"/>
    <w:rsid w:val="00AE213A"/>
    <w:rsid w:val="00AE2C1C"/>
    <w:rsid w:val="00AE4A3B"/>
    <w:rsid w:val="00AE54D6"/>
    <w:rsid w:val="00AE595B"/>
    <w:rsid w:val="00AE598B"/>
    <w:rsid w:val="00AE6389"/>
    <w:rsid w:val="00AE7842"/>
    <w:rsid w:val="00AE7A26"/>
    <w:rsid w:val="00AF079D"/>
    <w:rsid w:val="00AF0B20"/>
    <w:rsid w:val="00AF0EE8"/>
    <w:rsid w:val="00AF1170"/>
    <w:rsid w:val="00AF2580"/>
    <w:rsid w:val="00AF31AF"/>
    <w:rsid w:val="00AF32B8"/>
    <w:rsid w:val="00AF46C8"/>
    <w:rsid w:val="00AF4E99"/>
    <w:rsid w:val="00AF4F56"/>
    <w:rsid w:val="00AF65AF"/>
    <w:rsid w:val="00AF6C2A"/>
    <w:rsid w:val="00AF77FC"/>
    <w:rsid w:val="00B0099B"/>
    <w:rsid w:val="00B01749"/>
    <w:rsid w:val="00B0195F"/>
    <w:rsid w:val="00B03757"/>
    <w:rsid w:val="00B03C3B"/>
    <w:rsid w:val="00B04442"/>
    <w:rsid w:val="00B04BBF"/>
    <w:rsid w:val="00B05134"/>
    <w:rsid w:val="00B05826"/>
    <w:rsid w:val="00B05B06"/>
    <w:rsid w:val="00B06954"/>
    <w:rsid w:val="00B06F25"/>
    <w:rsid w:val="00B0708A"/>
    <w:rsid w:val="00B07A24"/>
    <w:rsid w:val="00B07BEA"/>
    <w:rsid w:val="00B10FC8"/>
    <w:rsid w:val="00B118E8"/>
    <w:rsid w:val="00B122BB"/>
    <w:rsid w:val="00B1233F"/>
    <w:rsid w:val="00B1297F"/>
    <w:rsid w:val="00B12AD8"/>
    <w:rsid w:val="00B143A3"/>
    <w:rsid w:val="00B14748"/>
    <w:rsid w:val="00B1547B"/>
    <w:rsid w:val="00B16691"/>
    <w:rsid w:val="00B16A8E"/>
    <w:rsid w:val="00B16B44"/>
    <w:rsid w:val="00B17BF4"/>
    <w:rsid w:val="00B17C10"/>
    <w:rsid w:val="00B20DAE"/>
    <w:rsid w:val="00B21A71"/>
    <w:rsid w:val="00B21ABA"/>
    <w:rsid w:val="00B21BC0"/>
    <w:rsid w:val="00B225DC"/>
    <w:rsid w:val="00B22A95"/>
    <w:rsid w:val="00B23B88"/>
    <w:rsid w:val="00B24853"/>
    <w:rsid w:val="00B248B7"/>
    <w:rsid w:val="00B24CA4"/>
    <w:rsid w:val="00B2522B"/>
    <w:rsid w:val="00B25B79"/>
    <w:rsid w:val="00B271E3"/>
    <w:rsid w:val="00B30550"/>
    <w:rsid w:val="00B30669"/>
    <w:rsid w:val="00B30E1D"/>
    <w:rsid w:val="00B30FE0"/>
    <w:rsid w:val="00B3106A"/>
    <w:rsid w:val="00B34275"/>
    <w:rsid w:val="00B345AB"/>
    <w:rsid w:val="00B3535E"/>
    <w:rsid w:val="00B35E5F"/>
    <w:rsid w:val="00B3623C"/>
    <w:rsid w:val="00B36989"/>
    <w:rsid w:val="00B376C0"/>
    <w:rsid w:val="00B404F3"/>
    <w:rsid w:val="00B40CED"/>
    <w:rsid w:val="00B42182"/>
    <w:rsid w:val="00B428DE"/>
    <w:rsid w:val="00B42FB2"/>
    <w:rsid w:val="00B43890"/>
    <w:rsid w:val="00B43FD3"/>
    <w:rsid w:val="00B454D4"/>
    <w:rsid w:val="00B45A35"/>
    <w:rsid w:val="00B464CE"/>
    <w:rsid w:val="00B464EB"/>
    <w:rsid w:val="00B46E1C"/>
    <w:rsid w:val="00B47C47"/>
    <w:rsid w:val="00B47E22"/>
    <w:rsid w:val="00B50246"/>
    <w:rsid w:val="00B50300"/>
    <w:rsid w:val="00B50539"/>
    <w:rsid w:val="00B50C35"/>
    <w:rsid w:val="00B52302"/>
    <w:rsid w:val="00B53280"/>
    <w:rsid w:val="00B5466D"/>
    <w:rsid w:val="00B54EA7"/>
    <w:rsid w:val="00B55066"/>
    <w:rsid w:val="00B551A0"/>
    <w:rsid w:val="00B55487"/>
    <w:rsid w:val="00B56A43"/>
    <w:rsid w:val="00B60297"/>
    <w:rsid w:val="00B60786"/>
    <w:rsid w:val="00B619B2"/>
    <w:rsid w:val="00B62221"/>
    <w:rsid w:val="00B622A0"/>
    <w:rsid w:val="00B625F3"/>
    <w:rsid w:val="00B63DCC"/>
    <w:rsid w:val="00B641BA"/>
    <w:rsid w:val="00B6434E"/>
    <w:rsid w:val="00B64C10"/>
    <w:rsid w:val="00B65F30"/>
    <w:rsid w:val="00B67C3A"/>
    <w:rsid w:val="00B67C80"/>
    <w:rsid w:val="00B70E5D"/>
    <w:rsid w:val="00B712F9"/>
    <w:rsid w:val="00B71A9E"/>
    <w:rsid w:val="00B7268D"/>
    <w:rsid w:val="00B7431B"/>
    <w:rsid w:val="00B7581E"/>
    <w:rsid w:val="00B75A1B"/>
    <w:rsid w:val="00B75C13"/>
    <w:rsid w:val="00B75C1E"/>
    <w:rsid w:val="00B75CE6"/>
    <w:rsid w:val="00B76999"/>
    <w:rsid w:val="00B800B0"/>
    <w:rsid w:val="00B8014C"/>
    <w:rsid w:val="00B81CD6"/>
    <w:rsid w:val="00B83762"/>
    <w:rsid w:val="00B84639"/>
    <w:rsid w:val="00B85B89"/>
    <w:rsid w:val="00B85CCD"/>
    <w:rsid w:val="00B85F6C"/>
    <w:rsid w:val="00B87057"/>
    <w:rsid w:val="00B90076"/>
    <w:rsid w:val="00B901B1"/>
    <w:rsid w:val="00B9028B"/>
    <w:rsid w:val="00B92136"/>
    <w:rsid w:val="00B92183"/>
    <w:rsid w:val="00B932AE"/>
    <w:rsid w:val="00B93957"/>
    <w:rsid w:val="00B94C7E"/>
    <w:rsid w:val="00B952EC"/>
    <w:rsid w:val="00B95DC5"/>
    <w:rsid w:val="00B96235"/>
    <w:rsid w:val="00B96FB0"/>
    <w:rsid w:val="00B977D8"/>
    <w:rsid w:val="00B97C57"/>
    <w:rsid w:val="00B97E96"/>
    <w:rsid w:val="00BA010C"/>
    <w:rsid w:val="00BA0522"/>
    <w:rsid w:val="00BA0729"/>
    <w:rsid w:val="00BA0D5C"/>
    <w:rsid w:val="00BA36BA"/>
    <w:rsid w:val="00BA410F"/>
    <w:rsid w:val="00BA4FD2"/>
    <w:rsid w:val="00BA5454"/>
    <w:rsid w:val="00BA62B3"/>
    <w:rsid w:val="00BA6C59"/>
    <w:rsid w:val="00BB0B65"/>
    <w:rsid w:val="00BB1BAF"/>
    <w:rsid w:val="00BB22A0"/>
    <w:rsid w:val="00BB272A"/>
    <w:rsid w:val="00BB3751"/>
    <w:rsid w:val="00BB565F"/>
    <w:rsid w:val="00BB6A3D"/>
    <w:rsid w:val="00BB6FDD"/>
    <w:rsid w:val="00BB7726"/>
    <w:rsid w:val="00BC0C4E"/>
    <w:rsid w:val="00BC0D3E"/>
    <w:rsid w:val="00BC1A6C"/>
    <w:rsid w:val="00BC2DC3"/>
    <w:rsid w:val="00BC41A8"/>
    <w:rsid w:val="00BC4C0C"/>
    <w:rsid w:val="00BC727F"/>
    <w:rsid w:val="00BD0090"/>
    <w:rsid w:val="00BD0FCF"/>
    <w:rsid w:val="00BD168A"/>
    <w:rsid w:val="00BD2BEA"/>
    <w:rsid w:val="00BD2DCA"/>
    <w:rsid w:val="00BD3838"/>
    <w:rsid w:val="00BD4C7F"/>
    <w:rsid w:val="00BD4CDA"/>
    <w:rsid w:val="00BD6796"/>
    <w:rsid w:val="00BD6AE5"/>
    <w:rsid w:val="00BD6B6B"/>
    <w:rsid w:val="00BD6C34"/>
    <w:rsid w:val="00BD6DE1"/>
    <w:rsid w:val="00BD7170"/>
    <w:rsid w:val="00BD7786"/>
    <w:rsid w:val="00BD7D35"/>
    <w:rsid w:val="00BE52D9"/>
    <w:rsid w:val="00BE5BC0"/>
    <w:rsid w:val="00BE5CA3"/>
    <w:rsid w:val="00BE5DE7"/>
    <w:rsid w:val="00BE6015"/>
    <w:rsid w:val="00BE78F9"/>
    <w:rsid w:val="00BF0316"/>
    <w:rsid w:val="00BF0905"/>
    <w:rsid w:val="00BF1B39"/>
    <w:rsid w:val="00BF31F5"/>
    <w:rsid w:val="00BF3CB3"/>
    <w:rsid w:val="00BF4338"/>
    <w:rsid w:val="00BF4B19"/>
    <w:rsid w:val="00BF5154"/>
    <w:rsid w:val="00BF5249"/>
    <w:rsid w:val="00BF5440"/>
    <w:rsid w:val="00BF6569"/>
    <w:rsid w:val="00BF6AC6"/>
    <w:rsid w:val="00BF7AFD"/>
    <w:rsid w:val="00BF7E63"/>
    <w:rsid w:val="00C00266"/>
    <w:rsid w:val="00C00692"/>
    <w:rsid w:val="00C0143F"/>
    <w:rsid w:val="00C01C9C"/>
    <w:rsid w:val="00C03797"/>
    <w:rsid w:val="00C059D0"/>
    <w:rsid w:val="00C10A19"/>
    <w:rsid w:val="00C10D0B"/>
    <w:rsid w:val="00C12F9F"/>
    <w:rsid w:val="00C13386"/>
    <w:rsid w:val="00C1390B"/>
    <w:rsid w:val="00C1464B"/>
    <w:rsid w:val="00C147E4"/>
    <w:rsid w:val="00C166AC"/>
    <w:rsid w:val="00C17BCC"/>
    <w:rsid w:val="00C17D16"/>
    <w:rsid w:val="00C202DF"/>
    <w:rsid w:val="00C2030A"/>
    <w:rsid w:val="00C203F0"/>
    <w:rsid w:val="00C204B6"/>
    <w:rsid w:val="00C2096A"/>
    <w:rsid w:val="00C20DE6"/>
    <w:rsid w:val="00C20EB3"/>
    <w:rsid w:val="00C21955"/>
    <w:rsid w:val="00C21967"/>
    <w:rsid w:val="00C21A91"/>
    <w:rsid w:val="00C21EE2"/>
    <w:rsid w:val="00C224B1"/>
    <w:rsid w:val="00C22928"/>
    <w:rsid w:val="00C23192"/>
    <w:rsid w:val="00C243B8"/>
    <w:rsid w:val="00C2617D"/>
    <w:rsid w:val="00C27258"/>
    <w:rsid w:val="00C276A1"/>
    <w:rsid w:val="00C278AC"/>
    <w:rsid w:val="00C27B98"/>
    <w:rsid w:val="00C30DEE"/>
    <w:rsid w:val="00C31592"/>
    <w:rsid w:val="00C31E0A"/>
    <w:rsid w:val="00C332E3"/>
    <w:rsid w:val="00C33CCE"/>
    <w:rsid w:val="00C33F20"/>
    <w:rsid w:val="00C34303"/>
    <w:rsid w:val="00C36ADF"/>
    <w:rsid w:val="00C36F1C"/>
    <w:rsid w:val="00C36F99"/>
    <w:rsid w:val="00C37303"/>
    <w:rsid w:val="00C3778D"/>
    <w:rsid w:val="00C40161"/>
    <w:rsid w:val="00C40299"/>
    <w:rsid w:val="00C4066F"/>
    <w:rsid w:val="00C422A9"/>
    <w:rsid w:val="00C4491F"/>
    <w:rsid w:val="00C44F76"/>
    <w:rsid w:val="00C46918"/>
    <w:rsid w:val="00C47112"/>
    <w:rsid w:val="00C474E1"/>
    <w:rsid w:val="00C475A7"/>
    <w:rsid w:val="00C50280"/>
    <w:rsid w:val="00C50538"/>
    <w:rsid w:val="00C511F7"/>
    <w:rsid w:val="00C51497"/>
    <w:rsid w:val="00C529D5"/>
    <w:rsid w:val="00C5334F"/>
    <w:rsid w:val="00C550F3"/>
    <w:rsid w:val="00C55BA1"/>
    <w:rsid w:val="00C566ED"/>
    <w:rsid w:val="00C571C0"/>
    <w:rsid w:val="00C60728"/>
    <w:rsid w:val="00C641D4"/>
    <w:rsid w:val="00C643BB"/>
    <w:rsid w:val="00C65829"/>
    <w:rsid w:val="00C65AD6"/>
    <w:rsid w:val="00C65DDC"/>
    <w:rsid w:val="00C66282"/>
    <w:rsid w:val="00C6701C"/>
    <w:rsid w:val="00C67067"/>
    <w:rsid w:val="00C70AFA"/>
    <w:rsid w:val="00C72776"/>
    <w:rsid w:val="00C73B54"/>
    <w:rsid w:val="00C73CD1"/>
    <w:rsid w:val="00C74E5F"/>
    <w:rsid w:val="00C7570A"/>
    <w:rsid w:val="00C7776B"/>
    <w:rsid w:val="00C80DF0"/>
    <w:rsid w:val="00C8130F"/>
    <w:rsid w:val="00C81353"/>
    <w:rsid w:val="00C817E6"/>
    <w:rsid w:val="00C81D77"/>
    <w:rsid w:val="00C834F3"/>
    <w:rsid w:val="00C84403"/>
    <w:rsid w:val="00C865A3"/>
    <w:rsid w:val="00C8786A"/>
    <w:rsid w:val="00C87D8C"/>
    <w:rsid w:val="00C907D4"/>
    <w:rsid w:val="00C91257"/>
    <w:rsid w:val="00C91568"/>
    <w:rsid w:val="00C92734"/>
    <w:rsid w:val="00C928B6"/>
    <w:rsid w:val="00C93EDB"/>
    <w:rsid w:val="00C96A15"/>
    <w:rsid w:val="00C973F4"/>
    <w:rsid w:val="00C9793D"/>
    <w:rsid w:val="00C97977"/>
    <w:rsid w:val="00C97B1E"/>
    <w:rsid w:val="00CA06E7"/>
    <w:rsid w:val="00CA1771"/>
    <w:rsid w:val="00CA19C0"/>
    <w:rsid w:val="00CA25E1"/>
    <w:rsid w:val="00CA4095"/>
    <w:rsid w:val="00CA43EB"/>
    <w:rsid w:val="00CA4965"/>
    <w:rsid w:val="00CA5074"/>
    <w:rsid w:val="00CA57B3"/>
    <w:rsid w:val="00CA6C7A"/>
    <w:rsid w:val="00CA7E80"/>
    <w:rsid w:val="00CB35B5"/>
    <w:rsid w:val="00CB3B9A"/>
    <w:rsid w:val="00CB5B7B"/>
    <w:rsid w:val="00CB5F5C"/>
    <w:rsid w:val="00CB6215"/>
    <w:rsid w:val="00CB707E"/>
    <w:rsid w:val="00CB797C"/>
    <w:rsid w:val="00CC0437"/>
    <w:rsid w:val="00CC0B85"/>
    <w:rsid w:val="00CC275D"/>
    <w:rsid w:val="00CC2AE5"/>
    <w:rsid w:val="00CC2BFC"/>
    <w:rsid w:val="00CC2F7B"/>
    <w:rsid w:val="00CC3CDC"/>
    <w:rsid w:val="00CC4421"/>
    <w:rsid w:val="00CC62BC"/>
    <w:rsid w:val="00CC6641"/>
    <w:rsid w:val="00CC74AD"/>
    <w:rsid w:val="00CC7C9F"/>
    <w:rsid w:val="00CD1271"/>
    <w:rsid w:val="00CD3F09"/>
    <w:rsid w:val="00CD5607"/>
    <w:rsid w:val="00CD5A7D"/>
    <w:rsid w:val="00CD6508"/>
    <w:rsid w:val="00CD731C"/>
    <w:rsid w:val="00CE150A"/>
    <w:rsid w:val="00CE264E"/>
    <w:rsid w:val="00CE48AC"/>
    <w:rsid w:val="00CE6182"/>
    <w:rsid w:val="00CE6214"/>
    <w:rsid w:val="00CE6606"/>
    <w:rsid w:val="00CE6849"/>
    <w:rsid w:val="00CE6B00"/>
    <w:rsid w:val="00CE6F9E"/>
    <w:rsid w:val="00CE766B"/>
    <w:rsid w:val="00CF00B5"/>
    <w:rsid w:val="00CF0169"/>
    <w:rsid w:val="00CF0E67"/>
    <w:rsid w:val="00CF1835"/>
    <w:rsid w:val="00CF2AF4"/>
    <w:rsid w:val="00CF3B53"/>
    <w:rsid w:val="00CF59E5"/>
    <w:rsid w:val="00CF68FA"/>
    <w:rsid w:val="00CF7201"/>
    <w:rsid w:val="00D008F1"/>
    <w:rsid w:val="00D00C7F"/>
    <w:rsid w:val="00D01CB7"/>
    <w:rsid w:val="00D01D2F"/>
    <w:rsid w:val="00D01F9E"/>
    <w:rsid w:val="00D03670"/>
    <w:rsid w:val="00D063EA"/>
    <w:rsid w:val="00D079E0"/>
    <w:rsid w:val="00D108BC"/>
    <w:rsid w:val="00D109EA"/>
    <w:rsid w:val="00D12BCA"/>
    <w:rsid w:val="00D12DD4"/>
    <w:rsid w:val="00D130BF"/>
    <w:rsid w:val="00D139A7"/>
    <w:rsid w:val="00D13D66"/>
    <w:rsid w:val="00D14B45"/>
    <w:rsid w:val="00D16375"/>
    <w:rsid w:val="00D16DBA"/>
    <w:rsid w:val="00D17652"/>
    <w:rsid w:val="00D21E10"/>
    <w:rsid w:val="00D22B1F"/>
    <w:rsid w:val="00D2333C"/>
    <w:rsid w:val="00D23ADC"/>
    <w:rsid w:val="00D24903"/>
    <w:rsid w:val="00D249D2"/>
    <w:rsid w:val="00D24A0D"/>
    <w:rsid w:val="00D24CBC"/>
    <w:rsid w:val="00D24D6C"/>
    <w:rsid w:val="00D2685B"/>
    <w:rsid w:val="00D278F5"/>
    <w:rsid w:val="00D27D82"/>
    <w:rsid w:val="00D27DED"/>
    <w:rsid w:val="00D3118F"/>
    <w:rsid w:val="00D3250D"/>
    <w:rsid w:val="00D33C99"/>
    <w:rsid w:val="00D33D48"/>
    <w:rsid w:val="00D35E96"/>
    <w:rsid w:val="00D36F57"/>
    <w:rsid w:val="00D37C45"/>
    <w:rsid w:val="00D37E93"/>
    <w:rsid w:val="00D4028D"/>
    <w:rsid w:val="00D4041B"/>
    <w:rsid w:val="00D40C7A"/>
    <w:rsid w:val="00D411A3"/>
    <w:rsid w:val="00D414AB"/>
    <w:rsid w:val="00D41EC4"/>
    <w:rsid w:val="00D41F6D"/>
    <w:rsid w:val="00D42E5A"/>
    <w:rsid w:val="00D43242"/>
    <w:rsid w:val="00D4410E"/>
    <w:rsid w:val="00D44459"/>
    <w:rsid w:val="00D44D08"/>
    <w:rsid w:val="00D44E00"/>
    <w:rsid w:val="00D45750"/>
    <w:rsid w:val="00D47AF0"/>
    <w:rsid w:val="00D510D9"/>
    <w:rsid w:val="00D524DC"/>
    <w:rsid w:val="00D525A9"/>
    <w:rsid w:val="00D52924"/>
    <w:rsid w:val="00D532A5"/>
    <w:rsid w:val="00D53F85"/>
    <w:rsid w:val="00D54AC0"/>
    <w:rsid w:val="00D55932"/>
    <w:rsid w:val="00D57642"/>
    <w:rsid w:val="00D615DB"/>
    <w:rsid w:val="00D627A2"/>
    <w:rsid w:val="00D64C09"/>
    <w:rsid w:val="00D64CC5"/>
    <w:rsid w:val="00D66AF1"/>
    <w:rsid w:val="00D66E52"/>
    <w:rsid w:val="00D674BE"/>
    <w:rsid w:val="00D678A1"/>
    <w:rsid w:val="00D704A4"/>
    <w:rsid w:val="00D7126C"/>
    <w:rsid w:val="00D7139B"/>
    <w:rsid w:val="00D7143E"/>
    <w:rsid w:val="00D7194F"/>
    <w:rsid w:val="00D73F83"/>
    <w:rsid w:val="00D74B76"/>
    <w:rsid w:val="00D76D5B"/>
    <w:rsid w:val="00D77456"/>
    <w:rsid w:val="00D7794D"/>
    <w:rsid w:val="00D80119"/>
    <w:rsid w:val="00D80641"/>
    <w:rsid w:val="00D81361"/>
    <w:rsid w:val="00D8299C"/>
    <w:rsid w:val="00D842BE"/>
    <w:rsid w:val="00D8503C"/>
    <w:rsid w:val="00D863C1"/>
    <w:rsid w:val="00D866BE"/>
    <w:rsid w:val="00D86CF8"/>
    <w:rsid w:val="00D86D1E"/>
    <w:rsid w:val="00D86E80"/>
    <w:rsid w:val="00D87672"/>
    <w:rsid w:val="00D90432"/>
    <w:rsid w:val="00D9077E"/>
    <w:rsid w:val="00D91009"/>
    <w:rsid w:val="00D910FA"/>
    <w:rsid w:val="00D91353"/>
    <w:rsid w:val="00D9141E"/>
    <w:rsid w:val="00D916C1"/>
    <w:rsid w:val="00D91959"/>
    <w:rsid w:val="00D92435"/>
    <w:rsid w:val="00D92770"/>
    <w:rsid w:val="00D93023"/>
    <w:rsid w:val="00D932AC"/>
    <w:rsid w:val="00D936B0"/>
    <w:rsid w:val="00D93771"/>
    <w:rsid w:val="00D938C4"/>
    <w:rsid w:val="00D942C2"/>
    <w:rsid w:val="00D94589"/>
    <w:rsid w:val="00D94727"/>
    <w:rsid w:val="00D9500D"/>
    <w:rsid w:val="00D9524B"/>
    <w:rsid w:val="00D9568C"/>
    <w:rsid w:val="00D957D0"/>
    <w:rsid w:val="00D95BF0"/>
    <w:rsid w:val="00D96017"/>
    <w:rsid w:val="00D967A5"/>
    <w:rsid w:val="00D97735"/>
    <w:rsid w:val="00D97AC8"/>
    <w:rsid w:val="00DA1A45"/>
    <w:rsid w:val="00DA1A61"/>
    <w:rsid w:val="00DA2680"/>
    <w:rsid w:val="00DA4BB8"/>
    <w:rsid w:val="00DA55C6"/>
    <w:rsid w:val="00DA5648"/>
    <w:rsid w:val="00DA7FF0"/>
    <w:rsid w:val="00DB0789"/>
    <w:rsid w:val="00DB0901"/>
    <w:rsid w:val="00DB25D2"/>
    <w:rsid w:val="00DB2D21"/>
    <w:rsid w:val="00DB3407"/>
    <w:rsid w:val="00DB3846"/>
    <w:rsid w:val="00DB3E58"/>
    <w:rsid w:val="00DB4818"/>
    <w:rsid w:val="00DB7045"/>
    <w:rsid w:val="00DB7336"/>
    <w:rsid w:val="00DC0A7D"/>
    <w:rsid w:val="00DC2D2C"/>
    <w:rsid w:val="00DC3BE7"/>
    <w:rsid w:val="00DC45A1"/>
    <w:rsid w:val="00DC4FC2"/>
    <w:rsid w:val="00DC57C9"/>
    <w:rsid w:val="00DC5FB2"/>
    <w:rsid w:val="00DD0237"/>
    <w:rsid w:val="00DD029A"/>
    <w:rsid w:val="00DD0656"/>
    <w:rsid w:val="00DD1139"/>
    <w:rsid w:val="00DD125C"/>
    <w:rsid w:val="00DD2AD2"/>
    <w:rsid w:val="00DD36B7"/>
    <w:rsid w:val="00DD387D"/>
    <w:rsid w:val="00DD407E"/>
    <w:rsid w:val="00DD4478"/>
    <w:rsid w:val="00DD5DC4"/>
    <w:rsid w:val="00DD6D98"/>
    <w:rsid w:val="00DD6F31"/>
    <w:rsid w:val="00DE0C59"/>
    <w:rsid w:val="00DE19B4"/>
    <w:rsid w:val="00DE222F"/>
    <w:rsid w:val="00DE2724"/>
    <w:rsid w:val="00DE297A"/>
    <w:rsid w:val="00DE3B0F"/>
    <w:rsid w:val="00DE5BD9"/>
    <w:rsid w:val="00DE71DB"/>
    <w:rsid w:val="00DE7806"/>
    <w:rsid w:val="00DF00F2"/>
    <w:rsid w:val="00DF1B42"/>
    <w:rsid w:val="00DF20EB"/>
    <w:rsid w:val="00DF2B62"/>
    <w:rsid w:val="00DF4EFF"/>
    <w:rsid w:val="00DF526C"/>
    <w:rsid w:val="00DF5E42"/>
    <w:rsid w:val="00DF604A"/>
    <w:rsid w:val="00DF663A"/>
    <w:rsid w:val="00DF7B4B"/>
    <w:rsid w:val="00DF7FD5"/>
    <w:rsid w:val="00E00554"/>
    <w:rsid w:val="00E0073B"/>
    <w:rsid w:val="00E0078D"/>
    <w:rsid w:val="00E01F1C"/>
    <w:rsid w:val="00E02322"/>
    <w:rsid w:val="00E034CD"/>
    <w:rsid w:val="00E03538"/>
    <w:rsid w:val="00E03ACE"/>
    <w:rsid w:val="00E068F4"/>
    <w:rsid w:val="00E0744E"/>
    <w:rsid w:val="00E1179D"/>
    <w:rsid w:val="00E117D1"/>
    <w:rsid w:val="00E118F6"/>
    <w:rsid w:val="00E12144"/>
    <w:rsid w:val="00E12288"/>
    <w:rsid w:val="00E1231D"/>
    <w:rsid w:val="00E13B02"/>
    <w:rsid w:val="00E13E95"/>
    <w:rsid w:val="00E13F2D"/>
    <w:rsid w:val="00E14F6C"/>
    <w:rsid w:val="00E150AF"/>
    <w:rsid w:val="00E221C6"/>
    <w:rsid w:val="00E22E74"/>
    <w:rsid w:val="00E233A3"/>
    <w:rsid w:val="00E2370C"/>
    <w:rsid w:val="00E237C6"/>
    <w:rsid w:val="00E23D05"/>
    <w:rsid w:val="00E242CE"/>
    <w:rsid w:val="00E2469D"/>
    <w:rsid w:val="00E24E06"/>
    <w:rsid w:val="00E24FDA"/>
    <w:rsid w:val="00E264A3"/>
    <w:rsid w:val="00E304C0"/>
    <w:rsid w:val="00E3085E"/>
    <w:rsid w:val="00E309A1"/>
    <w:rsid w:val="00E30B58"/>
    <w:rsid w:val="00E3146B"/>
    <w:rsid w:val="00E33B19"/>
    <w:rsid w:val="00E34EBF"/>
    <w:rsid w:val="00E3545A"/>
    <w:rsid w:val="00E35A4C"/>
    <w:rsid w:val="00E364A2"/>
    <w:rsid w:val="00E40655"/>
    <w:rsid w:val="00E408BA"/>
    <w:rsid w:val="00E40EF9"/>
    <w:rsid w:val="00E426A7"/>
    <w:rsid w:val="00E432BA"/>
    <w:rsid w:val="00E43974"/>
    <w:rsid w:val="00E44C12"/>
    <w:rsid w:val="00E45336"/>
    <w:rsid w:val="00E45D10"/>
    <w:rsid w:val="00E46A1A"/>
    <w:rsid w:val="00E46F32"/>
    <w:rsid w:val="00E50828"/>
    <w:rsid w:val="00E50C97"/>
    <w:rsid w:val="00E5133B"/>
    <w:rsid w:val="00E51567"/>
    <w:rsid w:val="00E5210F"/>
    <w:rsid w:val="00E5311F"/>
    <w:rsid w:val="00E537F1"/>
    <w:rsid w:val="00E5497D"/>
    <w:rsid w:val="00E55A3F"/>
    <w:rsid w:val="00E55DF9"/>
    <w:rsid w:val="00E56718"/>
    <w:rsid w:val="00E5689C"/>
    <w:rsid w:val="00E60CD9"/>
    <w:rsid w:val="00E60F5F"/>
    <w:rsid w:val="00E61DF3"/>
    <w:rsid w:val="00E6212D"/>
    <w:rsid w:val="00E63569"/>
    <w:rsid w:val="00E63E18"/>
    <w:rsid w:val="00E660C3"/>
    <w:rsid w:val="00E6610F"/>
    <w:rsid w:val="00E667D5"/>
    <w:rsid w:val="00E67BBC"/>
    <w:rsid w:val="00E67FF2"/>
    <w:rsid w:val="00E70A8C"/>
    <w:rsid w:val="00E70C12"/>
    <w:rsid w:val="00E72101"/>
    <w:rsid w:val="00E72B22"/>
    <w:rsid w:val="00E732A4"/>
    <w:rsid w:val="00E73589"/>
    <w:rsid w:val="00E74630"/>
    <w:rsid w:val="00E764FB"/>
    <w:rsid w:val="00E76E03"/>
    <w:rsid w:val="00E772BC"/>
    <w:rsid w:val="00E81E82"/>
    <w:rsid w:val="00E823A9"/>
    <w:rsid w:val="00E824F3"/>
    <w:rsid w:val="00E82D7F"/>
    <w:rsid w:val="00E84162"/>
    <w:rsid w:val="00E85945"/>
    <w:rsid w:val="00E85A72"/>
    <w:rsid w:val="00E86F83"/>
    <w:rsid w:val="00E8765B"/>
    <w:rsid w:val="00E916CC"/>
    <w:rsid w:val="00E91B47"/>
    <w:rsid w:val="00E91DFF"/>
    <w:rsid w:val="00E923DF"/>
    <w:rsid w:val="00E92F63"/>
    <w:rsid w:val="00E93680"/>
    <w:rsid w:val="00E93F6C"/>
    <w:rsid w:val="00E95AD6"/>
    <w:rsid w:val="00E96223"/>
    <w:rsid w:val="00EA02E3"/>
    <w:rsid w:val="00EA0880"/>
    <w:rsid w:val="00EA1044"/>
    <w:rsid w:val="00EA18CE"/>
    <w:rsid w:val="00EA1FF8"/>
    <w:rsid w:val="00EA22F0"/>
    <w:rsid w:val="00EA4007"/>
    <w:rsid w:val="00EA43A1"/>
    <w:rsid w:val="00EA4698"/>
    <w:rsid w:val="00EA4E3B"/>
    <w:rsid w:val="00EA4E53"/>
    <w:rsid w:val="00EA5FEA"/>
    <w:rsid w:val="00EA7AC0"/>
    <w:rsid w:val="00EB2493"/>
    <w:rsid w:val="00EB4B70"/>
    <w:rsid w:val="00EB50FF"/>
    <w:rsid w:val="00EB5FAA"/>
    <w:rsid w:val="00EB7811"/>
    <w:rsid w:val="00EB7A3C"/>
    <w:rsid w:val="00EC1B6A"/>
    <w:rsid w:val="00EC1E5D"/>
    <w:rsid w:val="00EC213A"/>
    <w:rsid w:val="00EC2E91"/>
    <w:rsid w:val="00EC48DE"/>
    <w:rsid w:val="00EC5AE1"/>
    <w:rsid w:val="00EC6944"/>
    <w:rsid w:val="00EC7A18"/>
    <w:rsid w:val="00ED103C"/>
    <w:rsid w:val="00ED17B1"/>
    <w:rsid w:val="00ED1BA6"/>
    <w:rsid w:val="00ED2490"/>
    <w:rsid w:val="00ED3709"/>
    <w:rsid w:val="00ED455B"/>
    <w:rsid w:val="00ED519A"/>
    <w:rsid w:val="00ED57F4"/>
    <w:rsid w:val="00ED7B7B"/>
    <w:rsid w:val="00EE00EC"/>
    <w:rsid w:val="00EE0293"/>
    <w:rsid w:val="00EE16F5"/>
    <w:rsid w:val="00EE2449"/>
    <w:rsid w:val="00EE2ECF"/>
    <w:rsid w:val="00EE2F2E"/>
    <w:rsid w:val="00EE5508"/>
    <w:rsid w:val="00EE55D3"/>
    <w:rsid w:val="00EE5833"/>
    <w:rsid w:val="00EE60CF"/>
    <w:rsid w:val="00EE6125"/>
    <w:rsid w:val="00EE6401"/>
    <w:rsid w:val="00EF1ACA"/>
    <w:rsid w:val="00EF1E73"/>
    <w:rsid w:val="00EF35B9"/>
    <w:rsid w:val="00EF3A8D"/>
    <w:rsid w:val="00EF4CFE"/>
    <w:rsid w:val="00EF5993"/>
    <w:rsid w:val="00EF606D"/>
    <w:rsid w:val="00EF69C0"/>
    <w:rsid w:val="00EF6BEC"/>
    <w:rsid w:val="00EF6E89"/>
    <w:rsid w:val="00EF730D"/>
    <w:rsid w:val="00EF76CB"/>
    <w:rsid w:val="00EF77A8"/>
    <w:rsid w:val="00F01DFB"/>
    <w:rsid w:val="00F0309F"/>
    <w:rsid w:val="00F05993"/>
    <w:rsid w:val="00F062E7"/>
    <w:rsid w:val="00F076D5"/>
    <w:rsid w:val="00F07F85"/>
    <w:rsid w:val="00F07FC8"/>
    <w:rsid w:val="00F11710"/>
    <w:rsid w:val="00F11C45"/>
    <w:rsid w:val="00F122F4"/>
    <w:rsid w:val="00F1273C"/>
    <w:rsid w:val="00F12CEE"/>
    <w:rsid w:val="00F13127"/>
    <w:rsid w:val="00F1369F"/>
    <w:rsid w:val="00F139AF"/>
    <w:rsid w:val="00F13EBB"/>
    <w:rsid w:val="00F1440B"/>
    <w:rsid w:val="00F146BA"/>
    <w:rsid w:val="00F14849"/>
    <w:rsid w:val="00F155F2"/>
    <w:rsid w:val="00F15A8E"/>
    <w:rsid w:val="00F164A0"/>
    <w:rsid w:val="00F1650F"/>
    <w:rsid w:val="00F172B1"/>
    <w:rsid w:val="00F218D3"/>
    <w:rsid w:val="00F21ED8"/>
    <w:rsid w:val="00F22753"/>
    <w:rsid w:val="00F22AB1"/>
    <w:rsid w:val="00F23C9B"/>
    <w:rsid w:val="00F241BC"/>
    <w:rsid w:val="00F25129"/>
    <w:rsid w:val="00F25F75"/>
    <w:rsid w:val="00F26E99"/>
    <w:rsid w:val="00F30380"/>
    <w:rsid w:val="00F31549"/>
    <w:rsid w:val="00F317C2"/>
    <w:rsid w:val="00F31B34"/>
    <w:rsid w:val="00F31B92"/>
    <w:rsid w:val="00F323BD"/>
    <w:rsid w:val="00F341AD"/>
    <w:rsid w:val="00F34404"/>
    <w:rsid w:val="00F3440A"/>
    <w:rsid w:val="00F35180"/>
    <w:rsid w:val="00F3524B"/>
    <w:rsid w:val="00F35548"/>
    <w:rsid w:val="00F35E10"/>
    <w:rsid w:val="00F35F4D"/>
    <w:rsid w:val="00F36F7D"/>
    <w:rsid w:val="00F36FC5"/>
    <w:rsid w:val="00F375F8"/>
    <w:rsid w:val="00F40C8B"/>
    <w:rsid w:val="00F40FB0"/>
    <w:rsid w:val="00F416DD"/>
    <w:rsid w:val="00F41FA1"/>
    <w:rsid w:val="00F42058"/>
    <w:rsid w:val="00F42CB8"/>
    <w:rsid w:val="00F45987"/>
    <w:rsid w:val="00F4729B"/>
    <w:rsid w:val="00F47464"/>
    <w:rsid w:val="00F478B2"/>
    <w:rsid w:val="00F5072B"/>
    <w:rsid w:val="00F510FB"/>
    <w:rsid w:val="00F51FD9"/>
    <w:rsid w:val="00F54154"/>
    <w:rsid w:val="00F55101"/>
    <w:rsid w:val="00F551AF"/>
    <w:rsid w:val="00F551C4"/>
    <w:rsid w:val="00F55329"/>
    <w:rsid w:val="00F556D3"/>
    <w:rsid w:val="00F55B7E"/>
    <w:rsid w:val="00F55EF4"/>
    <w:rsid w:val="00F55FD6"/>
    <w:rsid w:val="00F5654A"/>
    <w:rsid w:val="00F56EF8"/>
    <w:rsid w:val="00F56F72"/>
    <w:rsid w:val="00F575C2"/>
    <w:rsid w:val="00F604FA"/>
    <w:rsid w:val="00F60657"/>
    <w:rsid w:val="00F616C2"/>
    <w:rsid w:val="00F61BF4"/>
    <w:rsid w:val="00F6215C"/>
    <w:rsid w:val="00F62FDB"/>
    <w:rsid w:val="00F635DB"/>
    <w:rsid w:val="00F64DDC"/>
    <w:rsid w:val="00F64FAE"/>
    <w:rsid w:val="00F65CA7"/>
    <w:rsid w:val="00F66836"/>
    <w:rsid w:val="00F6730A"/>
    <w:rsid w:val="00F675B9"/>
    <w:rsid w:val="00F70A52"/>
    <w:rsid w:val="00F713CD"/>
    <w:rsid w:val="00F71C85"/>
    <w:rsid w:val="00F727F3"/>
    <w:rsid w:val="00F72A93"/>
    <w:rsid w:val="00F72E17"/>
    <w:rsid w:val="00F732FC"/>
    <w:rsid w:val="00F73A3E"/>
    <w:rsid w:val="00F73BE2"/>
    <w:rsid w:val="00F73D43"/>
    <w:rsid w:val="00F7410F"/>
    <w:rsid w:val="00F7422A"/>
    <w:rsid w:val="00F7458C"/>
    <w:rsid w:val="00F7499E"/>
    <w:rsid w:val="00F74C10"/>
    <w:rsid w:val="00F75AE4"/>
    <w:rsid w:val="00F76320"/>
    <w:rsid w:val="00F76D86"/>
    <w:rsid w:val="00F7759B"/>
    <w:rsid w:val="00F776E5"/>
    <w:rsid w:val="00F776F7"/>
    <w:rsid w:val="00F80083"/>
    <w:rsid w:val="00F809B3"/>
    <w:rsid w:val="00F827CB"/>
    <w:rsid w:val="00F844DC"/>
    <w:rsid w:val="00F84CBE"/>
    <w:rsid w:val="00F84EF9"/>
    <w:rsid w:val="00F85780"/>
    <w:rsid w:val="00F8649A"/>
    <w:rsid w:val="00F87286"/>
    <w:rsid w:val="00F87437"/>
    <w:rsid w:val="00F87F59"/>
    <w:rsid w:val="00F90068"/>
    <w:rsid w:val="00F90513"/>
    <w:rsid w:val="00F90799"/>
    <w:rsid w:val="00F90840"/>
    <w:rsid w:val="00F913F2"/>
    <w:rsid w:val="00F9265C"/>
    <w:rsid w:val="00F94AFD"/>
    <w:rsid w:val="00F950CD"/>
    <w:rsid w:val="00F95F66"/>
    <w:rsid w:val="00F9656D"/>
    <w:rsid w:val="00F969F3"/>
    <w:rsid w:val="00F9717B"/>
    <w:rsid w:val="00FA00FB"/>
    <w:rsid w:val="00FA05AD"/>
    <w:rsid w:val="00FA0777"/>
    <w:rsid w:val="00FA1379"/>
    <w:rsid w:val="00FA16A7"/>
    <w:rsid w:val="00FA3527"/>
    <w:rsid w:val="00FA3C4A"/>
    <w:rsid w:val="00FA4AED"/>
    <w:rsid w:val="00FA5868"/>
    <w:rsid w:val="00FA60D8"/>
    <w:rsid w:val="00FB0CCA"/>
    <w:rsid w:val="00FB192A"/>
    <w:rsid w:val="00FB2D3B"/>
    <w:rsid w:val="00FB3265"/>
    <w:rsid w:val="00FB420F"/>
    <w:rsid w:val="00FB438E"/>
    <w:rsid w:val="00FB4685"/>
    <w:rsid w:val="00FB4BD6"/>
    <w:rsid w:val="00FB4DF1"/>
    <w:rsid w:val="00FB589C"/>
    <w:rsid w:val="00FB5D25"/>
    <w:rsid w:val="00FB7798"/>
    <w:rsid w:val="00FC014C"/>
    <w:rsid w:val="00FC0BBB"/>
    <w:rsid w:val="00FC1266"/>
    <w:rsid w:val="00FC157B"/>
    <w:rsid w:val="00FC25BE"/>
    <w:rsid w:val="00FC2FAC"/>
    <w:rsid w:val="00FC3B3F"/>
    <w:rsid w:val="00FC417E"/>
    <w:rsid w:val="00FC64C3"/>
    <w:rsid w:val="00FC7045"/>
    <w:rsid w:val="00FC7080"/>
    <w:rsid w:val="00FC7960"/>
    <w:rsid w:val="00FD0861"/>
    <w:rsid w:val="00FD113F"/>
    <w:rsid w:val="00FD1471"/>
    <w:rsid w:val="00FD1478"/>
    <w:rsid w:val="00FD17CE"/>
    <w:rsid w:val="00FD2A51"/>
    <w:rsid w:val="00FD2AA1"/>
    <w:rsid w:val="00FD2AC8"/>
    <w:rsid w:val="00FD3F6F"/>
    <w:rsid w:val="00FD5032"/>
    <w:rsid w:val="00FD528F"/>
    <w:rsid w:val="00FD6251"/>
    <w:rsid w:val="00FD6254"/>
    <w:rsid w:val="00FD66DA"/>
    <w:rsid w:val="00FE175C"/>
    <w:rsid w:val="00FE1AC6"/>
    <w:rsid w:val="00FE1AF3"/>
    <w:rsid w:val="00FE1F67"/>
    <w:rsid w:val="00FE279F"/>
    <w:rsid w:val="00FE29CD"/>
    <w:rsid w:val="00FE3654"/>
    <w:rsid w:val="00FE3981"/>
    <w:rsid w:val="00FE3AAE"/>
    <w:rsid w:val="00FE3FD3"/>
    <w:rsid w:val="00FE4733"/>
    <w:rsid w:val="00FE473D"/>
    <w:rsid w:val="00FE5130"/>
    <w:rsid w:val="00FE515D"/>
    <w:rsid w:val="00FE5960"/>
    <w:rsid w:val="00FE5C01"/>
    <w:rsid w:val="00FE751D"/>
    <w:rsid w:val="00FE78E2"/>
    <w:rsid w:val="00FF0332"/>
    <w:rsid w:val="00FF041B"/>
    <w:rsid w:val="00FF10C0"/>
    <w:rsid w:val="00FF18F9"/>
    <w:rsid w:val="00FF3498"/>
    <w:rsid w:val="00FF35BE"/>
    <w:rsid w:val="00FF3657"/>
    <w:rsid w:val="00FF37DF"/>
    <w:rsid w:val="00FF47B2"/>
    <w:rsid w:val="00FF49B0"/>
    <w:rsid w:val="00FF5026"/>
    <w:rsid w:val="00FF5755"/>
    <w:rsid w:val="00FF64C3"/>
    <w:rsid w:val="00FF794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41B9D"/>
  <w15:docId w15:val="{C0C0A3B0-A5ED-4096-AF20-723EE130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ED2"/>
    <w:pPr>
      <w:spacing w:after="0" w:line="480" w:lineRule="auto"/>
      <w:jc w:val="both"/>
    </w:pPr>
    <w:rPr>
      <w:rFonts w:asci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C29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C2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18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00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0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F72A93"/>
    <w:pPr>
      <w:spacing w:after="200" w:line="240" w:lineRule="auto"/>
      <w:ind w:right="130"/>
    </w:pPr>
    <w:rPr>
      <w:rFonts w:ascii="Calibri" w:hAnsi="Calibri"/>
      <w:b/>
      <w:bCs/>
      <w:color w:val="833C0B" w:themeColor="accent2" w:themeShade="80"/>
      <w:szCs w:val="18"/>
    </w:rPr>
  </w:style>
  <w:style w:type="paragraph" w:styleId="NoSpacing">
    <w:name w:val="No Spacing"/>
    <w:link w:val="NoSpacingChar"/>
    <w:uiPriority w:val="1"/>
    <w:qFormat/>
    <w:rsid w:val="00143ACF"/>
    <w:pPr>
      <w:spacing w:after="0" w:line="240" w:lineRule="auto"/>
    </w:pPr>
    <w:rPr>
      <w:rFonts w:ascii="Calibri" w:eastAsiaTheme="minorHAnsi" w:hAnsi="Calibri" w:cstheme="minorBid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3ACF"/>
    <w:rPr>
      <w:rFonts w:ascii="Calibri" w:eastAsiaTheme="minorHAnsi" w:hAnsi="Calibri" w:cstheme="minorBid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78532B"/>
    <w:pPr>
      <w:jc w:val="center"/>
    </w:pPr>
    <w:rPr>
      <w:rFonts w:ascii="Calibri" w:hAnsi="Calibri" w:cs="Calibri"/>
      <w:noProof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532B"/>
  </w:style>
  <w:style w:type="character" w:customStyle="1" w:styleId="EndNoteBibliographyTitleChar">
    <w:name w:val="EndNote Bibliography Title Char"/>
    <w:basedOn w:val="ListParagraphChar"/>
    <w:link w:val="EndNoteBibliographyTitle"/>
    <w:rsid w:val="0078532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8532B"/>
    <w:pPr>
      <w:numPr>
        <w:numId w:val="1"/>
      </w:num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ListParagraphChar"/>
    <w:link w:val="EndNoteBibliography"/>
    <w:rsid w:val="0078532B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853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32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00C2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0C29"/>
    <w:rPr>
      <w:rFonts w:ascii="Arial" w:eastAsiaTheme="majorEastAsia" w:hAnsi="Arial" w:cstheme="majorBidi"/>
      <w:b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5A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23C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F12A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1680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9F5C26"/>
  </w:style>
  <w:style w:type="paragraph" w:styleId="Revision">
    <w:name w:val="Revision"/>
    <w:hidden/>
    <w:uiPriority w:val="99"/>
    <w:semiHidden/>
    <w:rsid w:val="009F5C26"/>
    <w:pPr>
      <w:spacing w:after="0" w:line="240" w:lineRule="auto"/>
    </w:pPr>
    <w:rPr>
      <w:rFonts w:ascii="Arial" w:hAnsi="Arial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33CCE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C010D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3ACE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3ACE"/>
    <w:rPr>
      <w:rFonts w:ascii="Lucida Grande" w:hAnsi="Lucida Grande" w:cs="Lucida Grande"/>
      <w:sz w:val="24"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175AC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4337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3545A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A75D5A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7C61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24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C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924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C9"/>
    <w:rPr>
      <w:rFonts w:ascii="Arial" w:hAnsi="Arial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A80B27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0317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CAA5-1803-45A6-8048-FEA63D5F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3663</Words>
  <Characters>20880</Characters>
  <Application>Microsoft Office Word</Application>
  <DocSecurity>0</DocSecurity>
  <Lines>174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Hamilton</dc:creator>
  <cp:lastModifiedBy>Hayley Bennett Wilton</cp:lastModifiedBy>
  <cp:revision>2</cp:revision>
  <cp:lastPrinted>2017-11-23T15:41:00Z</cp:lastPrinted>
  <dcterms:created xsi:type="dcterms:W3CDTF">2018-08-23T10:46:00Z</dcterms:created>
  <dcterms:modified xsi:type="dcterms:W3CDTF">2018-08-23T10:46:00Z</dcterms:modified>
</cp:coreProperties>
</file>