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06AC" w14:textId="7641A755" w:rsidR="00F7553B" w:rsidRPr="00406C95" w:rsidRDefault="00F7553B" w:rsidP="00F7553B">
      <w:pPr>
        <w:pStyle w:val="Heading1"/>
        <w:spacing w:after="120" w:line="240" w:lineRule="auto"/>
        <w:rPr>
          <w:rFonts w:cs="Times New Roman"/>
        </w:rPr>
      </w:pPr>
      <w:bookmarkStart w:id="0" w:name="_Toc519346663"/>
      <w:r>
        <w:rPr>
          <w:rFonts w:cs="Times New Roman"/>
        </w:rPr>
        <w:t>S</w:t>
      </w:r>
      <w:r>
        <w:rPr>
          <w:rFonts w:cs="Times New Roman"/>
        </w:rPr>
        <w:t>2</w:t>
      </w:r>
      <w:bookmarkStart w:id="1" w:name="_GoBack"/>
      <w:bookmarkEnd w:id="1"/>
      <w:r w:rsidRPr="00406C95">
        <w:rPr>
          <w:rFonts w:cs="Times New Roman"/>
        </w:rPr>
        <w:t xml:space="preserve"> Table. Baseline Characteristics of Study Participants Stratified by </w:t>
      </w:r>
      <w:r>
        <w:rPr>
          <w:rFonts w:cs="Times New Roman"/>
        </w:rPr>
        <w:t>Loss to Follow-up</w:t>
      </w:r>
      <w:r w:rsidRPr="00406C95">
        <w:rPr>
          <w:rFonts w:cs="Times New Roman"/>
        </w:rPr>
        <w:t xml:space="preserve"> in the Crowdsourcing Stepped Wedge Randomized Controlled Trial in China in 2016-2017</w:t>
      </w:r>
      <w:bookmarkEnd w:id="0"/>
      <w:r w:rsidRPr="00406C95">
        <w:rPr>
          <w:rFonts w:cs="Times New Roman"/>
        </w:rPr>
        <w:t xml:space="preserve"> </w:t>
      </w:r>
    </w:p>
    <w:tbl>
      <w:tblPr>
        <w:tblW w:w="9214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2410"/>
        <w:gridCol w:w="850"/>
      </w:tblGrid>
      <w:tr w:rsidR="00F7553B" w:rsidRPr="00406C95" w14:paraId="3C96D656" w14:textId="77777777" w:rsidTr="00393C2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9861" w14:textId="77777777" w:rsidR="00F7553B" w:rsidRPr="00406C95" w:rsidRDefault="00F7553B" w:rsidP="00393C23">
            <w:pPr>
              <w:spacing w:after="12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974F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Lost to FU pre-intervention (n=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122)*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A80D4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Lost to FU during intervention (n=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90)</w:t>
            </w:r>
            <w:r w:rsidRPr="00157DA0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</w:rPr>
              <w:t>#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1C56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Completed last follow -up survey or seroconverted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 xml:space="preserve"> (n=</w:t>
            </w:r>
            <w:proofErr w:type="gramStart"/>
            <w:r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1075)</w:t>
            </w:r>
            <w:r w:rsidRPr="00406C95">
              <w:rPr>
                <w:rFonts w:cs="Times New Roman"/>
                <w:b/>
                <w:sz w:val="20"/>
                <w:szCs w:val="20"/>
                <w:vertAlign w:val="superscript"/>
              </w:rPr>
              <w:t>¶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CDE9FF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406C95">
              <w:rPr>
                <w:rFonts w:eastAsia="Times New Roman" w:cs="Times New Roman"/>
                <w:b/>
                <w:i/>
                <w:color w:val="000000"/>
                <w:sz w:val="20"/>
                <w:szCs w:val="20"/>
              </w:rPr>
              <w:t>p</w:t>
            </w:r>
            <w:r w:rsidRPr="00406C95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-value</w:t>
            </w:r>
          </w:p>
        </w:tc>
      </w:tr>
      <w:tr w:rsidR="00F7553B" w:rsidRPr="00406C95" w14:paraId="04BBEECD" w14:textId="77777777" w:rsidTr="00393C23">
        <w:trPr>
          <w:trHeight w:val="332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6967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D44D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86132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26A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C87EF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0.30</w:t>
            </w:r>
          </w:p>
        </w:tc>
      </w:tr>
      <w:tr w:rsidR="00F7553B" w:rsidRPr="00406C95" w14:paraId="55F4E960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E7F2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Male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502EE9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113 (93%)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8872EC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84 (93%)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8DA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1026 (95%)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1FB87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0D25A3A8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E589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  <w:vertAlign w:val="superscript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Transgender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D7948F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9 (7%)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6AF8FC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6(7%)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968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49 (5%)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411DE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0475CDE4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B11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Age, years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297D5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8BB5219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3F7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152694" w14:textId="77777777" w:rsidR="00F7553B" w:rsidRPr="0031332C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b/>
                <w:sz w:val="20"/>
                <w:szCs w:val="20"/>
              </w:rPr>
            </w:pPr>
            <w:r w:rsidRPr="0031332C">
              <w:rPr>
                <w:rFonts w:eastAsia="Times New Roman Uni" w:cs="Times New Roman"/>
                <w:b/>
                <w:sz w:val="20"/>
                <w:szCs w:val="20"/>
              </w:rPr>
              <w:t>0.009</w:t>
            </w:r>
          </w:p>
        </w:tc>
      </w:tr>
      <w:tr w:rsidR="00F7553B" w:rsidRPr="00406C95" w14:paraId="51108479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5A4D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16-20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C5D17D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20 (16%)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A683AB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9 (10%)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683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sz w:val="20"/>
                <w:szCs w:val="20"/>
              </w:rPr>
              <w:t>264 (24%)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59E2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</w:tr>
      <w:tr w:rsidR="00F7553B" w:rsidRPr="00406C95" w14:paraId="2FAD92B6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F532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21-25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2E92D7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43 (35%)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82382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32 (36%)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1F02F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sz w:val="20"/>
                <w:szCs w:val="20"/>
              </w:rPr>
              <w:t>363 (34%)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8331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</w:tr>
      <w:tr w:rsidR="00F7553B" w:rsidRPr="00406C95" w14:paraId="64092B01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2C48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26-30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C9952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32 (26%)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36C6E0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24 (27%)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A9E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sz w:val="20"/>
                <w:szCs w:val="20"/>
              </w:rPr>
              <w:t>267 (25%)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7BE3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</w:tr>
      <w:tr w:rsidR="00F7553B" w:rsidRPr="00406C95" w14:paraId="4D4FACF0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BC33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 &gt;30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17CD8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27 (22%)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34046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25 (28%)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93616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sz w:val="20"/>
                <w:szCs w:val="20"/>
              </w:rPr>
              <w:t>181 (17%)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CC7F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</w:tr>
      <w:tr w:rsidR="00F7553B" w:rsidRPr="00406C95" w14:paraId="79BBFF84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01A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Marital status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CFB1E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EE927E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0D0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D809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0.43</w:t>
            </w:r>
          </w:p>
        </w:tc>
      </w:tr>
      <w:tr w:rsidR="00F7553B" w:rsidRPr="00406C95" w14:paraId="1196A872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6E27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Never 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FCAA1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103 (84%)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16A2C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76 (84%)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F8589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94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3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(88%)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62990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1DB1A426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E8B7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Married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594A36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19 (16%)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24C6D1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14 (16%)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3108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132</w:t>
            </w:r>
            <w:r w:rsidRPr="00406C95">
              <w:rPr>
                <w:rFonts w:cs="Times New Roman"/>
                <w:color w:val="000000"/>
                <w:sz w:val="20"/>
                <w:szCs w:val="20"/>
              </w:rPr>
              <w:t xml:space="preserve"> (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E1C5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245CC57F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31348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Annual income, US$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23783F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CDF67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105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01CE87" w14:textId="77777777" w:rsidR="00F7553B" w:rsidRPr="0031332C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b/>
                <w:sz w:val="20"/>
                <w:szCs w:val="20"/>
              </w:rPr>
            </w:pPr>
            <w:r w:rsidRPr="0031332C">
              <w:rPr>
                <w:rFonts w:eastAsia="Times New Roman Uni" w:cs="Times New Roman"/>
                <w:b/>
                <w:sz w:val="20"/>
                <w:szCs w:val="20"/>
              </w:rPr>
              <w:t>0.03</w:t>
            </w:r>
          </w:p>
        </w:tc>
      </w:tr>
      <w:tr w:rsidR="00F7553B" w:rsidRPr="00406C95" w14:paraId="6DB50B3D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24F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&lt;3000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18F6AE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16 (13%)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040CD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11 (12%)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D321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244 (23%)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6F5E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4F72B886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D1F51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3000-6000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273F8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32 (26%)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BC83A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18 (20%)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135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237 (22%)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377AE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6056956C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DDE5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6001-9500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7D685A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30 (25%)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BD1AA56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27 (30%)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833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336 (31%)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36333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346FA415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AF3A08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9501-12500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52310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27 (22%)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2FB79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26 (29%)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A2810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164 (15%)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CF429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02142F64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95A4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≥12501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3D7908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17 (14%)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CFECEC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8 (9%)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0F2D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94</w:t>
            </w: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</w:t>
            </w: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(9%)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0615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16EBEFE4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371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Highest education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72E506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C8E20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4385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42C0D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0.73</w:t>
            </w:r>
          </w:p>
        </w:tc>
      </w:tr>
      <w:tr w:rsidR="00F7553B" w:rsidRPr="00406C95" w14:paraId="24FC00C6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A8C2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High school or below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E7D1DC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42 (34%)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EB3194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29 (32%)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EB15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388 (36%)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1C692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0A78DD76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774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College or beyond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D11A0F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80 (66%)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858048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61 (68%)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1C99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687(64%)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F81F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12F3D8B4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A25A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Sexual orientation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D653029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F56A1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BBF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FA54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0.58</w:t>
            </w:r>
          </w:p>
        </w:tc>
      </w:tr>
      <w:tr w:rsidR="00F7553B" w:rsidRPr="00406C95" w14:paraId="12D3EB0A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314E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Gay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DE954DA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87 (71%)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690F08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69 (77%)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65A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769 (72%)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B3411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2C1E6236" w14:textId="77777777" w:rsidTr="00393C23">
        <w:trPr>
          <w:trHeight w:val="43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B82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Bisexual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07C820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35 (29%)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39429CB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21 (23%)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42AE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306 (28%)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E0DA6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5E41B3F3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8158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Disclosure of sexual orientation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C30CAA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DA958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6118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AA96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sz w:val="20"/>
                <w:szCs w:val="20"/>
              </w:rPr>
            </w:pPr>
            <w:r>
              <w:rPr>
                <w:rFonts w:eastAsia="Times New Roman Uni" w:cs="Times New Roman"/>
                <w:sz w:val="20"/>
                <w:szCs w:val="20"/>
              </w:rPr>
              <w:t>0.25</w:t>
            </w:r>
          </w:p>
        </w:tc>
      </w:tr>
      <w:tr w:rsidR="00F7553B" w:rsidRPr="00406C95" w14:paraId="6845B86D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1D3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 xml:space="preserve">    Disclosed to others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328862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71 (58%)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A7024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58 (64%)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010A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707 (63%)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5A9D00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0D53DB9B" w14:textId="77777777" w:rsidTr="00393C23">
        <w:trPr>
          <w:trHeight w:val="300"/>
        </w:trPr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2CFA" w14:textId="77777777" w:rsidR="00F7553B" w:rsidRPr="00406C95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lastRenderedPageBreak/>
              <w:t xml:space="preserve">    Not disclosed to others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EE7449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51 (42%)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93E4F09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32 (36%)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D686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 w:rsidRPr="00406C95">
              <w:rPr>
                <w:rFonts w:eastAsia="Times New Roman Uni" w:cs="Times New Roman"/>
                <w:color w:val="000000"/>
                <w:sz w:val="20"/>
                <w:szCs w:val="20"/>
              </w:rPr>
              <w:t>368 (38%)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B4ACBE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</w:tc>
      </w:tr>
      <w:tr w:rsidR="00F7553B" w:rsidRPr="00406C95" w14:paraId="1528E2BE" w14:textId="77777777" w:rsidTr="00393C23">
        <w:trPr>
          <w:trHeight w:val="30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1C700B" w14:textId="77777777" w:rsidR="00F7553B" w:rsidRDefault="00F7553B" w:rsidP="00393C23">
            <w:pPr>
              <w:spacing w:after="120" w:line="240" w:lineRule="auto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Ever HIV tested (from baseline)</w:t>
            </w:r>
          </w:p>
          <w:p w14:paraId="0F0352AE" w14:textId="77777777" w:rsidR="00F7553B" w:rsidRDefault="00F7553B" w:rsidP="00393C23">
            <w:pPr>
              <w:spacing w:after="120" w:line="240" w:lineRule="auto"/>
              <w:ind w:firstLine="203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No</w:t>
            </w:r>
          </w:p>
          <w:p w14:paraId="0D879A48" w14:textId="77777777" w:rsidR="00F7553B" w:rsidRPr="00406C95" w:rsidRDefault="00F7553B" w:rsidP="00393C23">
            <w:pPr>
              <w:spacing w:after="120" w:line="240" w:lineRule="auto"/>
              <w:ind w:firstLine="203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36710F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119C0912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2A14A8FE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80 (66%)</w:t>
            </w:r>
          </w:p>
          <w:p w14:paraId="75A3ED9D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42 (34%)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DF9BF8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196F3D5B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5B9191BE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46 (51%)</w:t>
            </w:r>
          </w:p>
          <w:p w14:paraId="7A90FD03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44 (49%)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4757E0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7702E28C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</w:p>
          <w:p w14:paraId="44B9FB36" w14:textId="77777777" w:rsidR="00F7553B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617 (57%)</w:t>
            </w:r>
          </w:p>
          <w:p w14:paraId="2DE72541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458 (43)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CF1E7" w14:textId="77777777" w:rsidR="00F7553B" w:rsidRPr="00406C95" w:rsidRDefault="00F7553B" w:rsidP="00393C23">
            <w:pPr>
              <w:spacing w:after="120" w:line="240" w:lineRule="auto"/>
              <w:jc w:val="center"/>
              <w:rPr>
                <w:rFonts w:eastAsia="Times New Roman Uni" w:cs="Times New Roman"/>
                <w:color w:val="000000"/>
                <w:sz w:val="20"/>
                <w:szCs w:val="20"/>
              </w:rPr>
            </w:pPr>
            <w:r>
              <w:rPr>
                <w:rFonts w:eastAsia="Times New Roman Uni" w:cs="Times New Roman"/>
                <w:color w:val="000000"/>
                <w:sz w:val="20"/>
                <w:szCs w:val="20"/>
              </w:rPr>
              <w:t>0.09</w:t>
            </w:r>
          </w:p>
        </w:tc>
      </w:tr>
    </w:tbl>
    <w:p w14:paraId="5C8F52DC" w14:textId="77777777" w:rsidR="00F7553B" w:rsidRDefault="00F7553B" w:rsidP="00F7553B">
      <w:pPr>
        <w:spacing w:after="120" w:line="240" w:lineRule="auto"/>
        <w:rPr>
          <w:rFonts w:cs="Times New Roman"/>
          <w:sz w:val="20"/>
          <w:szCs w:val="20"/>
        </w:rPr>
      </w:pPr>
      <w:r w:rsidRPr="004D4E2C">
        <w:rPr>
          <w:rFonts w:cs="Times New Roman"/>
          <w:sz w:val="20"/>
          <w:szCs w:val="20"/>
        </w:rPr>
        <w:t>Data are n (%).</w:t>
      </w:r>
      <w:r>
        <w:rPr>
          <w:rFonts w:cs="Times New Roman"/>
          <w:sz w:val="20"/>
          <w:szCs w:val="20"/>
        </w:rPr>
        <w:t xml:space="preserve"> </w:t>
      </w:r>
      <w:r w:rsidRPr="008D6BFD">
        <w:rPr>
          <w:rFonts w:eastAsia="Times New Roman Uni" w:cs="Times New Roman"/>
          <w:color w:val="000000"/>
          <w:sz w:val="20"/>
          <w:szCs w:val="20"/>
        </w:rPr>
        <w:t>* Lost to follow-up pre-intervention was defined as missed all the pre-intervention follow-up surveys; # Lost to follow up during the intervention period</w:t>
      </w:r>
      <w:r>
        <w:rPr>
          <w:rFonts w:eastAsia="Times New Roman Uni" w:cs="Times New Roman"/>
          <w:color w:val="000000"/>
          <w:sz w:val="20"/>
          <w:szCs w:val="20"/>
        </w:rPr>
        <w:t>s</w:t>
      </w:r>
      <w:r w:rsidRPr="008D6BFD">
        <w:rPr>
          <w:rFonts w:eastAsia="Times New Roman Uni" w:cs="Times New Roman"/>
          <w:color w:val="000000"/>
          <w:sz w:val="20"/>
          <w:szCs w:val="20"/>
        </w:rPr>
        <w:t xml:space="preserve"> was defined as attended all the preintervention surveys but missed the follow-up following the intervention</w:t>
      </w:r>
      <w:r>
        <w:rPr>
          <w:rFonts w:eastAsia="Times New Roman Uni" w:cs="Times New Roman"/>
          <w:color w:val="000000"/>
          <w:sz w:val="20"/>
          <w:szCs w:val="20"/>
        </w:rPr>
        <w:t xml:space="preserve">. </w:t>
      </w:r>
      <w:r w:rsidRPr="004D4E2C">
        <w:rPr>
          <w:rFonts w:cs="Times New Roman"/>
          <w:sz w:val="20"/>
          <w:szCs w:val="20"/>
          <w:vertAlign w:val="superscript"/>
        </w:rPr>
        <w:t>¶</w:t>
      </w:r>
      <w:r w:rsidRPr="004D4E2C">
        <w:rPr>
          <w:rFonts w:cs="Times New Roman"/>
          <w:sz w:val="20"/>
          <w:szCs w:val="20"/>
        </w:rPr>
        <w:t xml:space="preserve">72 people seroconverted during the first nine months follow-up period; </w:t>
      </w:r>
      <w:r w:rsidRPr="00C26DF3">
        <w:rPr>
          <w:rFonts w:eastAsia="Times New Roman Uni" w:cs="Times New Roman"/>
          <w:noProof/>
          <w:color w:val="000000"/>
          <w:sz w:val="20"/>
          <w:szCs w:val="20"/>
          <w:vertAlign w:val="superscript"/>
        </w:rPr>
        <w:t>‡</w:t>
      </w:r>
      <w:r w:rsidRPr="004D4E2C">
        <w:rPr>
          <w:rFonts w:cs="Times New Roman"/>
          <w:noProof/>
          <w:sz w:val="20"/>
          <w:szCs w:val="20"/>
        </w:rPr>
        <w:t xml:space="preserve"> in the past three months</w:t>
      </w:r>
      <w:r w:rsidRPr="004D4E2C">
        <w:rPr>
          <w:rFonts w:cs="Times New Roman"/>
          <w:sz w:val="20"/>
          <w:szCs w:val="20"/>
        </w:rPr>
        <w:t>.</w:t>
      </w:r>
    </w:p>
    <w:p w14:paraId="0966A98C" w14:textId="77777777" w:rsidR="004471F9" w:rsidRDefault="004471F9"/>
    <w:sectPr w:rsidR="00447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panose1 w:val="02020603050405020304"/>
    <w:charset w:val="86"/>
    <w:family w:val="roman"/>
    <w:pitch w:val="variable"/>
    <w:sig w:usb0="B334AAFF" w:usb1="F9DFFFFF" w:usb2="0000003E" w:usb3="00000000" w:csb0="001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MwsjSyNLCwNDWwNDZT0lEKTi0uzszPAykwrAUAle8GICwAAAA="/>
  </w:docVars>
  <w:rsids>
    <w:rsidRoot w:val="00F7553B"/>
    <w:rsid w:val="004471F9"/>
    <w:rsid w:val="00854DEF"/>
    <w:rsid w:val="009F4C0D"/>
    <w:rsid w:val="00BB5532"/>
    <w:rsid w:val="00EA3066"/>
    <w:rsid w:val="00F7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30EED"/>
  <w15:chartTrackingRefBased/>
  <w15:docId w15:val="{EF092190-129F-4AF7-8235-BE061FC2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53B"/>
    <w:pPr>
      <w:spacing w:after="160" w:line="259" w:lineRule="auto"/>
    </w:pPr>
    <w:rPr>
      <w:rFonts w:ascii="Times New Roman" w:hAnsi="Times New Roman"/>
      <w:kern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53B"/>
    <w:pPr>
      <w:keepNext/>
      <w:keepLines/>
      <w:spacing w:before="240" w:after="0"/>
      <w:outlineLvl w:val="0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A3066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3066"/>
    <w:rPr>
      <w:kern w:val="0"/>
      <w:sz w:val="22"/>
    </w:rPr>
  </w:style>
  <w:style w:type="paragraph" w:styleId="ListParagraph">
    <w:name w:val="List Paragraph"/>
    <w:basedOn w:val="Normal"/>
    <w:uiPriority w:val="34"/>
    <w:qFormat/>
    <w:rsid w:val="00EA3066"/>
    <w:pPr>
      <w:spacing w:after="200" w:line="276" w:lineRule="auto"/>
      <w:ind w:firstLineChars="200" w:firstLine="420"/>
    </w:pPr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553B"/>
    <w:rPr>
      <w:rFonts w:ascii="Times New Roman" w:eastAsiaTheme="majorEastAsia" w:hAnsi="Times New Roman" w:cstheme="majorBidi"/>
      <w:b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Weiming Tang</dc:creator>
  <cp:keywords/>
  <dc:description/>
  <cp:lastModifiedBy>Weiming Tang</cp:lastModifiedBy>
  <cp:revision>1</cp:revision>
  <dcterms:created xsi:type="dcterms:W3CDTF">2018-07-14T08:08:00Z</dcterms:created>
  <dcterms:modified xsi:type="dcterms:W3CDTF">2018-07-14T08:08:00Z</dcterms:modified>
</cp:coreProperties>
</file>