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FB" w:rsidRPr="007337AD" w:rsidRDefault="00BA13FB" w:rsidP="00BA13F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37AD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BA13FB" w:rsidRPr="007337AD" w:rsidRDefault="00BA13FB" w:rsidP="00BA13F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37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</w:t>
      </w:r>
    </w:p>
    <w:p w:rsidR="00BA13FB" w:rsidRPr="007337AD" w:rsidRDefault="00BA13FB" w:rsidP="00BA13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337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Definitions of all factors and operationalization of the outcomes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610"/>
        <w:gridCol w:w="2520"/>
        <w:gridCol w:w="1530"/>
      </w:tblGrid>
      <w:tr w:rsidR="00BA13FB" w:rsidRPr="00055CFD" w:rsidTr="005A39CE">
        <w:tc>
          <w:tcPr>
            <w:tcW w:w="9108" w:type="dxa"/>
            <w:gridSpan w:val="4"/>
            <w:tcBorders>
              <w:top w:val="single" w:sz="4" w:space="0" w:color="auto"/>
              <w:bottom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Definition of the outcome ‘REDD’: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REDD+ ‘policies and measures’ are both established and in operation</w:t>
            </w:r>
          </w:p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A13FB" w:rsidRPr="007337AD" w:rsidTr="005A39CE"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Presence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Indicators of presence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Evaluation</w:t>
            </w:r>
          </w:p>
        </w:tc>
      </w:tr>
      <w:tr w:rsidR="00BA13FB" w:rsidRPr="00055CFD" w:rsidTr="005A39CE">
        <w:trPr>
          <w:trHeight w:val="1583"/>
        </w:trPr>
        <w:tc>
          <w:tcPr>
            <w:tcW w:w="2448" w:type="dxa"/>
            <w:tcBorders>
              <w:top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New institutions, procedure, policies and measures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established and operationalized by committed actors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These institutions support concrete policy formulation and outputs, and are, at least partly, driven by performance-based payments.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New institutions and procedures are not established, or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met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resistance, thus undermining their capacity to function.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REDD+ policy formulation remains fragmented, or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undertaken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mainly by external actors.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are no policies and measures operationalized.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 MRV system developed.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 National strategy/ policy document in place.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 REDD+ demonstration sites/pilots/projects are applying monetary payment.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Pr="007337A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val="en-GB"/>
              </w:rPr>
              <w:t xml:space="preserve">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 (Safeguard and Information System) already developed.</w:t>
            </w:r>
          </w:p>
          <w:p w:rsidR="00BA13FB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* Performance-based payments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being accessed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A13FB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Three indicators present = 1</w:t>
            </w:r>
          </w:p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Less than three indicators present = 0</w:t>
            </w:r>
          </w:p>
        </w:tc>
      </w:tr>
    </w:tbl>
    <w:p w:rsidR="00BA13FB" w:rsidRPr="007337AD" w:rsidRDefault="00BA13FB" w:rsidP="00BA13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337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Operationalization of conditions for the institutional setting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070"/>
        <w:gridCol w:w="2523"/>
        <w:gridCol w:w="87"/>
        <w:gridCol w:w="2250"/>
      </w:tblGrid>
      <w:tr w:rsidR="00BA13FB" w:rsidRPr="00055CFD" w:rsidTr="005A39CE">
        <w:tc>
          <w:tcPr>
            <w:tcW w:w="9108" w:type="dxa"/>
            <w:gridSpan w:val="5"/>
            <w:tcBorders>
              <w:bottom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Pressure from shortage of forest resources (‘PRES’)</w:t>
            </w:r>
          </w:p>
        </w:tc>
      </w:tr>
      <w:tr w:rsidR="00BA13FB" w:rsidRPr="007337AD" w:rsidTr="005A39CE">
        <w:tc>
          <w:tcPr>
            <w:tcW w:w="2178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Presence</w:t>
            </w:r>
          </w:p>
        </w:tc>
        <w:tc>
          <w:tcPr>
            <w:tcW w:w="2070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2610" w:type="dxa"/>
            <w:gridSpan w:val="2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Indicators </w:t>
            </w:r>
          </w:p>
        </w:tc>
        <w:tc>
          <w:tcPr>
            <w:tcW w:w="2250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Evaluation</w:t>
            </w:r>
          </w:p>
        </w:tc>
      </w:tr>
      <w:tr w:rsidR="00BA13FB" w:rsidRPr="00055CFD" w:rsidTr="005A39CE">
        <w:trPr>
          <w:trHeight w:val="1380"/>
        </w:trPr>
        <w:tc>
          <w:tcPr>
            <w:tcW w:w="2178" w:type="dxa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Forests are under pressure from high deforestation rates.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Abundant or recovering forest resources with a low to medium or negative (reforestation) deforestation rate.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*Forest transition stage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a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337AD" w:rsidDel="007A616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*Deforestation rate.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 transition stage 2 or 3 and deforestation rate above 0.5% annually = 1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 transition stage 1, 4 or 5 and deforestation rate below 0.5% annually = 0</w:t>
            </w:r>
          </w:p>
        </w:tc>
      </w:tr>
      <w:tr w:rsidR="00BA13FB" w:rsidRPr="00055CFD" w:rsidTr="005A39CE">
        <w:tc>
          <w:tcPr>
            <w:tcW w:w="9108" w:type="dxa"/>
            <w:gridSpan w:val="5"/>
            <w:tcBorders>
              <w:bottom w:val="nil"/>
            </w:tcBorders>
          </w:tcPr>
          <w:p w:rsidR="00BA13FB" w:rsidRPr="007337AD" w:rsidRDefault="00BA13FB" w:rsidP="005A39C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Sound and consistent legal forestry framework and policies, with some evidence of implementation efforts</w:t>
            </w:r>
            <w:r w:rsidRPr="007337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(‘EFF’)</w:t>
            </w:r>
          </w:p>
        </w:tc>
      </w:tr>
      <w:tr w:rsidR="00BA13FB" w:rsidRPr="007337AD" w:rsidTr="005A39CE">
        <w:tc>
          <w:tcPr>
            <w:tcW w:w="2178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Presence</w:t>
            </w:r>
          </w:p>
        </w:tc>
        <w:tc>
          <w:tcPr>
            <w:tcW w:w="2070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2610" w:type="dxa"/>
            <w:gridSpan w:val="2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Indicators of presence</w:t>
            </w:r>
          </w:p>
        </w:tc>
        <w:tc>
          <w:tcPr>
            <w:tcW w:w="2250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Evaluation</w:t>
            </w:r>
          </w:p>
        </w:tc>
      </w:tr>
      <w:tr w:rsidR="00BA13FB" w:rsidRPr="00055CFD" w:rsidTr="005A39CE">
        <w:trPr>
          <w:trHeight w:val="2253"/>
        </w:trPr>
        <w:tc>
          <w:tcPr>
            <w:tcW w:w="2178" w:type="dxa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 sound and clear legal framework with clearly assigned rights and management regulations is in place. 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Laws and policies are, at least partly, effectively implemented by national and local administrations, which have at their disposal a minimum of enforcement mechanisms and implementation capacity.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are no adequate laws and policies, or they exist but are ineffective because of lack of implementation mechanisms and enforcement capacity and/or elite capture and corruption.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*Sound and consistent legal forestry framework and policies in place.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Pr="007337A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val="en-GB"/>
              </w:rPr>
              <w:t xml:space="preserve">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Enforcement mechanisms in place.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*Evidence of implementation efforts.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Pr="007337A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val="en-GB"/>
              </w:rPr>
              <w:t xml:space="preserve">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Evidence of effective implementation. </w:t>
            </w: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A13FB" w:rsidRPr="007337AD" w:rsidRDefault="00BA13FB" w:rsidP="005A39C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Three indicators present = 1</w:t>
            </w:r>
          </w:p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Less than three indicators present = 0</w:t>
            </w:r>
          </w:p>
        </w:tc>
      </w:tr>
      <w:tr w:rsidR="00BA13FB" w:rsidRPr="00055CFD" w:rsidTr="005A39CE">
        <w:tc>
          <w:tcPr>
            <w:tcW w:w="9108" w:type="dxa"/>
            <w:gridSpan w:val="5"/>
            <w:tcBorders>
              <w:bottom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Already-initiated policy change (‘CHA’)</w:t>
            </w:r>
          </w:p>
        </w:tc>
      </w:tr>
      <w:tr w:rsidR="00BA13FB" w:rsidRPr="007337AD" w:rsidTr="005A39CE">
        <w:tc>
          <w:tcPr>
            <w:tcW w:w="2178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Presence</w:t>
            </w:r>
          </w:p>
        </w:tc>
        <w:tc>
          <w:tcPr>
            <w:tcW w:w="2070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2523" w:type="dxa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Indicators of presence</w:t>
            </w:r>
          </w:p>
        </w:tc>
        <w:tc>
          <w:tcPr>
            <w:tcW w:w="2337" w:type="dxa"/>
            <w:gridSpan w:val="2"/>
            <w:tcBorders>
              <w:top w:val="nil"/>
            </w:tcBorders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Evaluation</w:t>
            </w:r>
          </w:p>
        </w:tc>
      </w:tr>
      <w:tr w:rsidR="00BA13FB" w:rsidRPr="007337AD" w:rsidTr="005A39CE">
        <w:tc>
          <w:tcPr>
            <w:tcW w:w="2178" w:type="dxa"/>
          </w:tcPr>
          <w:p w:rsidR="00BA13FB" w:rsidRPr="007337AD" w:rsidRDefault="00BA13FB" w:rsidP="005A3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government has already formulated and is implementing policy strategies addressing forest and climate change and aimed at departing from business-as-usual practices that are broader than and/or developed prior to the UNFCC REDD+ policy process (e.g. NAMA) and deforestation; or low-carbon development strategies and/or PES schemes have already been established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independently of REDD policies.</w:t>
            </w:r>
          </w:p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The government has not yet formulated advanced policy strategies on climate change (e.g. NAMA) and deforestation or a low-carbon development strategy; or existing policies are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highly insufficient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have not been implemented at all. No PES schemes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been established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Evidence of implementation of policy strategies in related fields (e.g. one or more of the following: NAMA, PES, deforestation, low-carbon development). </w:t>
            </w:r>
          </w:p>
        </w:tc>
        <w:tc>
          <w:tcPr>
            <w:tcW w:w="2337" w:type="dxa"/>
            <w:gridSpan w:val="2"/>
          </w:tcPr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= 1</w:t>
            </w:r>
          </w:p>
          <w:p w:rsidR="00BA13FB" w:rsidRPr="007337AD" w:rsidRDefault="00BA13FB" w:rsidP="005A39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Absent = 0</w:t>
            </w:r>
          </w:p>
        </w:tc>
      </w:tr>
    </w:tbl>
    <w:p w:rsidR="00BA13FB" w:rsidRPr="007337AD" w:rsidRDefault="00BA13FB" w:rsidP="00BA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37A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Note:</w:t>
      </w:r>
      <w:r w:rsidRPr="007337A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 a </w:t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Forest transition theory defines five stages in forest cover change: (1) High forest cover, low deforestation rate; (2) High forest cover, high deforestation rate; (3) Low forest cover, high deforestation rate; (4) Low forest cover, low deforestation rate; (5) Low forest cover, negative deforestation rate </w:t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ADDIN EN.CITE &lt;EndNote&gt;&lt;Cite&gt;&lt;Author&gt;Angelsen&lt;/Author&gt;&lt;Year&gt;2009&lt;/Year&gt;&lt;RecNum&gt;64&lt;/RecNum&gt;&lt;DisplayText&gt;(Arild Angelsen &amp;amp; Brockhaus, 2009)&lt;/DisplayText&gt;&lt;record&gt;&lt;rec-number&gt;64&lt;/rec-number&gt;&lt;foreign-keys&gt;&lt;key app="EN" db-id="2z292rvdiwzexnea29txdss7aweep2ae2wp2" timestamp="1442219911"&gt;64&lt;/key&gt;&lt;/foreign-keys&gt;&lt;ref-type name="Book"&gt;6&lt;/ref-type&gt;&lt;contributors&gt;&lt;authors&gt;&lt;author&gt;Angelsen, Arild&lt;/author&gt;&lt;author&gt;Brockhaus, Maria&lt;/author&gt;&lt;/authors&gt;&lt;/contributors&gt;&lt;titles&gt;&lt;title&gt;Realising REDD+: National strategy and policy options&lt;/title&gt;&lt;/titles&gt;&lt;dates&gt;&lt;year&gt;2009&lt;/year&gt;&lt;/dates&gt;&lt;publisher&gt;CIFOR&lt;/publisher&gt;&lt;isbn&gt;6028693030&lt;/isbn&gt;&lt;urls&gt;&lt;/urls&gt;&lt;/record&gt;&lt;/Cite&gt;&lt;/EndNote&gt;</w:instrText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Pr="007337A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(Arild Angelsen and Brockhaus, 2009)</w:t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A13FB" w:rsidRPr="007337AD" w:rsidRDefault="00BA13FB" w:rsidP="00BA13FB">
      <w:pPr>
        <w:spacing w:before="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A13FB" w:rsidRPr="007337AD" w:rsidRDefault="00BA13FB" w:rsidP="00BA13FB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A13FB" w:rsidRPr="007337AD" w:rsidRDefault="00BA13FB" w:rsidP="00BA13FB">
      <w:pPr>
        <w:spacing w:before="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337A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Operationalization of conditions for the policy arena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1"/>
        <w:gridCol w:w="3037"/>
        <w:gridCol w:w="81"/>
        <w:gridCol w:w="1719"/>
      </w:tblGrid>
      <w:tr w:rsidR="00BA13FB" w:rsidRPr="007337AD" w:rsidTr="005A39CE">
        <w:tc>
          <w:tcPr>
            <w:tcW w:w="9198" w:type="dxa"/>
            <w:gridSpan w:val="5"/>
            <w:tcBorders>
              <w:bottom w:val="nil"/>
            </w:tcBorders>
          </w:tcPr>
          <w:p w:rsidR="00BA13FB" w:rsidRPr="007337AD" w:rsidRDefault="00BA13FB" w:rsidP="005A39CE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‘Powerful’ transformational coalitions (‘COAL’)</w:t>
            </w:r>
          </w:p>
        </w:tc>
      </w:tr>
      <w:tr w:rsidR="00BA13FB" w:rsidRPr="007337AD" w:rsidTr="005A39CE"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:rsidR="00BA13FB" w:rsidRPr="007337AD" w:rsidRDefault="00BA13FB" w:rsidP="005A39CE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Presence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A13FB" w:rsidRPr="007337AD" w:rsidRDefault="00BA13FB" w:rsidP="005A39CE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3FB" w:rsidRPr="007337AD" w:rsidRDefault="00BA13FB" w:rsidP="005A39CE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Indicators of presence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BA13FB" w:rsidRPr="007337AD" w:rsidRDefault="00BA13FB" w:rsidP="005A39CE">
            <w:pPr>
              <w:spacing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Evaluation</w:t>
            </w:r>
          </w:p>
        </w:tc>
      </w:tr>
      <w:tr w:rsidR="00BA13FB" w:rsidRPr="00055CFD" w:rsidTr="005A39CE"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Existence of coalitions of drivers of change with room to manoeuvre in the political structures and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impact on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discourse.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Policy actors and coalitions calling for transformational change are more prominent in the media than those supporting the status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quo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These coalitions also include the powerful political actors.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observable coalitions of drivers of change, or any present are too marginal to influence policy-making and are not visible in the political discourse on REDD+.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Media and policy circles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dominated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 coalitions supporting the status quo and business as usual.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*Notions or existence of coalition building among actors supporting REDD+ policies (e.g. umbrella organization, regular meetings, joint statements, personal relations).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*There are drivers of change (policy actors that lead discourse in pro-REDD+ direction) both inside and outside government institutions.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*Policy actor coalitions calling for substantial political change in forest policies are more prominent in media than those supporting the status </w:t>
            </w: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quo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*Pro-REDD+ policy actors have good access to political decision-makers (e.g. invited to expert hearings, members in advisory councils).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*Pro-REDD+ policy coalitions include powerful policy actors.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 or more indicators present, including the last indicator = 1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Zero or one indicator present or last indicator absent =0</w:t>
            </w:r>
          </w:p>
        </w:tc>
      </w:tr>
      <w:tr w:rsidR="00BA13FB" w:rsidRPr="00055CFD" w:rsidTr="005A39CE">
        <w:tc>
          <w:tcPr>
            <w:tcW w:w="9198" w:type="dxa"/>
            <w:gridSpan w:val="5"/>
            <w:tcBorders>
              <w:bottom w:val="nil"/>
            </w:tcBorders>
          </w:tcPr>
          <w:p w:rsidR="00BA13FB" w:rsidRPr="007337AD" w:rsidRDefault="00BA13FB" w:rsidP="005A39CE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National ownership and political leadership (‘OWN’)</w:t>
            </w:r>
          </w:p>
        </w:tc>
      </w:tr>
      <w:tr w:rsidR="00BA13FB" w:rsidRPr="007337AD" w:rsidTr="005A39CE">
        <w:tc>
          <w:tcPr>
            <w:tcW w:w="2180" w:type="dxa"/>
            <w:tcBorders>
              <w:top w:val="nil"/>
              <w:right w:val="nil"/>
            </w:tcBorders>
          </w:tcPr>
          <w:p w:rsidR="00BA13FB" w:rsidRPr="007337AD" w:rsidRDefault="00BA13FB" w:rsidP="005A39CE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Presence</w:t>
            </w: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</w:tcPr>
          <w:p w:rsidR="00BA13FB" w:rsidRPr="007337AD" w:rsidRDefault="00BA13FB" w:rsidP="005A39CE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3037" w:type="dxa"/>
            <w:tcBorders>
              <w:top w:val="nil"/>
              <w:left w:val="nil"/>
              <w:right w:val="nil"/>
            </w:tcBorders>
          </w:tcPr>
          <w:p w:rsidR="00BA13FB" w:rsidRPr="007337AD" w:rsidRDefault="00BA13FB" w:rsidP="005A39CE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Indicators of presence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</w:tcBorders>
          </w:tcPr>
          <w:p w:rsidR="00BA13FB" w:rsidRPr="007337AD" w:rsidRDefault="00BA13FB" w:rsidP="005A39CE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Evaluation</w:t>
            </w:r>
          </w:p>
        </w:tc>
      </w:tr>
      <w:tr w:rsidR="00BA13FB" w:rsidRPr="00055CFD" w:rsidTr="005A39CE">
        <w:tc>
          <w:tcPr>
            <w:tcW w:w="2180" w:type="dxa"/>
            <w:tcBorders>
              <w:bottom w:val="single" w:sz="4" w:space="0" w:color="auto"/>
              <w:right w:val="nil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Pro-REDD+ media statements by government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(national and subnational). 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and NGO actors dominate policy discourse (media analysis).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Engagement of national political institutions in REDD+ policy formulation. 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Donor agendas do not dominate the process. 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political leaders highlight REDD+ as a priority.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Anti-REDD+ media statements by national state actors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and/or pro-REDD+ statements by international actors dominate policy discourse. 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Policy formulation is mainly undertaken by foreign actors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incentives from donors are the main reason for REDD+ implementation.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REDD+ is not considered as a priority by the political leaders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037" w:type="dxa"/>
            <w:tcBorders>
              <w:left w:val="nil"/>
              <w:bottom w:val="single" w:sz="4" w:space="0" w:color="auto"/>
              <w:right w:val="nil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*Regular pro-REDD+ statements by government appear in the media.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*REDD+ policy formulation is led by national political institutions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*Foreign donors/actors have only a minor/advisory role and agenda in REDD+ policy formulation.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*REDD+ is highlighted as a priority by political leaders</w:t>
            </w:r>
            <w:proofErr w:type="gramEnd"/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</w:tcBorders>
          </w:tcPr>
          <w:p w:rsidR="00BA13FB" w:rsidRPr="007337AD" w:rsidRDefault="00BA13FB" w:rsidP="005A39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At least three indicators present = 1, less </w:t>
            </w: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than three indicators present = 0</w:t>
            </w:r>
          </w:p>
        </w:tc>
      </w:tr>
    </w:tbl>
    <w:tbl>
      <w:tblPr>
        <w:tblpPr w:leftFromText="180" w:rightFromText="180" w:horzAnchor="margin" w:tblpY="5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1"/>
        <w:gridCol w:w="3037"/>
        <w:gridCol w:w="1800"/>
      </w:tblGrid>
      <w:tr w:rsidR="00BA13FB" w:rsidRPr="00055CFD" w:rsidTr="005A39CE">
        <w:tc>
          <w:tcPr>
            <w:tcW w:w="919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Availability of payment-for-performance funds for REDD+ (‘PERFO’) </w:t>
            </w:r>
          </w:p>
        </w:tc>
      </w:tr>
      <w:tr w:rsidR="00BA13FB" w:rsidRPr="007337AD" w:rsidTr="005A39CE"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100" w:beforeAutospacing="1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Presence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100" w:beforeAutospacing="1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Absence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100" w:beforeAutospacing="1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Indicators of presence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100" w:beforeAutospacing="1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Evaluation</w:t>
            </w:r>
          </w:p>
        </w:tc>
      </w:tr>
      <w:tr w:rsidR="00BA13FB" w:rsidRPr="00055CFD" w:rsidTr="005A39CE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REDD+ funding on a payment-for-performance basis is available through a transfer of funds by an international donor. A Letter of Intent with a respective donor confirms the commitment of the government to receiving payment for performance and the channelling of these payments to the REDD+ budget system.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is no government commitment to use payment-for-performance funds for REDD+ and/or such funds are not available.</w:t>
            </w:r>
          </w:p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 Foreign REDD+ funding on a payment-for-performance basis is available.</w:t>
            </w:r>
          </w:p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*An LOI (or equivalent) confirms the commitment of both parties to a payment-for-performance process for REDD+.</w:t>
            </w:r>
          </w:p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Both indicators present = 1</w:t>
            </w:r>
          </w:p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37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Fewer than 2 indicators present = 0</w:t>
            </w:r>
          </w:p>
        </w:tc>
      </w:tr>
      <w:tr w:rsidR="00BA13FB" w:rsidRPr="00055CFD" w:rsidTr="005A39CE"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FB" w:rsidRPr="007337AD" w:rsidRDefault="00BA13FB" w:rsidP="005A39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A13FB" w:rsidRPr="007337AD" w:rsidRDefault="00BA13FB" w:rsidP="00BA13F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872" w:rsidRDefault="005A3872" w:rsidP="00BA13F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5A3872" w:rsidRDefault="005A3872" w:rsidP="00BA13F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5A3872" w:rsidRDefault="005A3872" w:rsidP="00BA13F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BA13FB" w:rsidRPr="007337AD" w:rsidDel="009125D6" w:rsidRDefault="00BA13FB" w:rsidP="00BA13F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337AD" w:rsidDel="009125D6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>Institutional setting (remote conditions)</w:t>
      </w:r>
    </w:p>
    <w:p w:rsidR="00BA13FB" w:rsidRPr="007337AD" w:rsidDel="009125D6" w:rsidRDefault="00BA13FB" w:rsidP="00BA13FB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REDD+ policy processes take place in an environment that </w:t>
      </w:r>
      <w:proofErr w:type="gramStart"/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>is framed</w:t>
      </w:r>
      <w:proofErr w:type="gramEnd"/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 by a set of already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existing institutions. To explore the institutional settings in the REDD+ policy arena, three remote conditions </w:t>
      </w:r>
      <w:proofErr w:type="gramStart"/>
      <w:r w:rsidRPr="007337AD">
        <w:rPr>
          <w:rFonts w:ascii="Times New Roman" w:hAnsi="Times New Roman" w:cs="Times New Roman"/>
          <w:sz w:val="24"/>
          <w:szCs w:val="24"/>
          <w:lang w:val="en-GB"/>
        </w:rPr>
        <w:t>are defined</w:t>
      </w:r>
      <w:proofErr w:type="gramEnd"/>
      <w:r w:rsidRPr="007337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>for REDD+ and related hypothetical assumptions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A13FB" w:rsidRPr="007337AD" w:rsidDel="009125D6" w:rsidRDefault="00BA13FB" w:rsidP="00BA13F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</w:pPr>
      <w:r w:rsidRPr="007337AD"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fi-FI"/>
        </w:rPr>
        <w:t xml:space="preserve">Pressure from scarcity of forest resources </w:t>
      </w:r>
      <w:r w:rsidRPr="007337AD">
        <w:rPr>
          <w:rFonts w:ascii="Times New Roman" w:eastAsiaTheme="minorEastAsia" w:hAnsi="Times New Roman" w:cs="Times New Roman"/>
          <w:b/>
          <w:sz w:val="24"/>
          <w:szCs w:val="24"/>
          <w:lang w:val="en-GB" w:eastAsia="fi-FI"/>
        </w:rPr>
        <w:t>(‘PRES’):</w:t>
      </w:r>
      <w:r w:rsidRPr="007337AD"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fi-FI"/>
        </w:rPr>
        <w:t xml:space="preserve"> 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>It is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expect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>ed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that if a country belongs to the group of countries in which forests are under high levels of pressure, it will face a stronger need to engage in active forest protection and overcome path dependency and resistance.</w:t>
      </w:r>
    </w:p>
    <w:p w:rsidR="00BA13FB" w:rsidRPr="007337AD" w:rsidDel="009125D6" w:rsidRDefault="00BA13FB" w:rsidP="00BA13F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</w:pPr>
      <w:r w:rsidRPr="007337A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fi-FI"/>
        </w:rPr>
        <w:t xml:space="preserve">Sound and consistent legal forestry framework and policies and some evidence of implementation efforts </w:t>
      </w:r>
      <w:r w:rsidRPr="007337AD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fi-FI"/>
        </w:rPr>
        <w:t>(‘EFF’):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It </w:t>
      </w:r>
      <w:proofErr w:type="gramStart"/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>is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expect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>ed</w:t>
      </w:r>
      <w:proofErr w:type="gramEnd"/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that achieving REDD+ outcomes requires that certain key elements of a sound legal forestry framework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>,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as well as enforcement mechanism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>s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and recorded evidence of implementation efforts.</w:t>
      </w:r>
    </w:p>
    <w:p w:rsidR="00BA13FB" w:rsidRPr="007337AD" w:rsidRDefault="00BA13FB" w:rsidP="00BA13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  <w:lang w:val="en-GB" w:eastAsia="fi-FI"/>
        </w:rPr>
      </w:pPr>
      <w:r w:rsidRPr="007337AD"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  <w:lang w:val="en-GB" w:eastAsia="fi-FI"/>
        </w:rPr>
        <w:t xml:space="preserve">Already-initiated policy change </w:t>
      </w:r>
      <w:r w:rsidRPr="007337A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i-FI"/>
        </w:rPr>
        <w:t>(‘CHA’</w:t>
      </w:r>
      <w:r w:rsidRPr="007337AD" w:rsidDel="009125D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GB" w:eastAsia="fi-FI"/>
        </w:rPr>
        <w:t xml:space="preserve">): </w:t>
      </w:r>
      <w:r w:rsidRPr="007337AD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i-FI"/>
        </w:rPr>
        <w:t xml:space="preserve">It </w:t>
      </w:r>
      <w:proofErr w:type="gramStart"/>
      <w:r w:rsidRPr="007337AD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i-FI"/>
        </w:rPr>
        <w:t xml:space="preserve">is </w:t>
      </w:r>
      <w:r w:rsidRPr="007337AD" w:rsidDel="009125D6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i-FI"/>
        </w:rPr>
        <w:t>expect</w:t>
      </w:r>
      <w:r w:rsidRPr="007337AD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i-FI"/>
        </w:rPr>
        <w:t>ed</w:t>
      </w:r>
      <w:proofErr w:type="gramEnd"/>
      <w:r w:rsidRPr="007337AD" w:rsidDel="009125D6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fi-FI"/>
        </w:rPr>
        <w:t xml:space="preserve"> that effective REDD+ strategies can emerge more easily if governments are already successfully implementing policies aimed at departing from business-as-usual practices in the forest economy and thus provide scope for an institutional path change.</w:t>
      </w:r>
    </w:p>
    <w:p w:rsidR="00BA13FB" w:rsidRPr="007337AD" w:rsidDel="009125D6" w:rsidRDefault="00BA13FB" w:rsidP="00BA13FB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EastAsia" w:hAnsi="Times New Roman" w:cs="Times New Roman"/>
          <w:b/>
          <w:i/>
          <w:iCs/>
          <w:color w:val="000000"/>
          <w:sz w:val="24"/>
          <w:szCs w:val="24"/>
          <w:lang w:val="en-GB" w:eastAsia="fi-FI"/>
        </w:rPr>
      </w:pPr>
    </w:p>
    <w:p w:rsidR="00BA13FB" w:rsidRPr="007337AD" w:rsidDel="009125D6" w:rsidRDefault="00BA13FB" w:rsidP="00BA13FB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fi-FI"/>
        </w:rPr>
      </w:pPr>
      <w:r w:rsidRPr="007337AD" w:rsidDel="009125D6"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fi-FI"/>
        </w:rPr>
        <w:t xml:space="preserve"> Policy arena (proximate conditions)</w:t>
      </w:r>
    </w:p>
    <w:p w:rsidR="00BA13FB" w:rsidRPr="007337AD" w:rsidDel="009125D6" w:rsidRDefault="00BA13FB" w:rsidP="00BA13FB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</w:pP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Whereas the institutional setting provides key conditions for an enabling context, actions by political actors shape 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both 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the policy arena and the processes that lead to transformational change. 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>T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hree proximate conditions </w:t>
      </w:r>
      <w:r w:rsidRPr="007337AD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were identified 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with hypothetical assumptions on their impact on the policy arena (for more details see 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fldChar w:fldCharType="begin"/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instrText xml:space="preserve"> ADDIN EN.CITE &lt;EndNote&gt;&lt;Cite&gt;&lt;Author&gt;Korhonen-Kurki&lt;/Author&gt;&lt;Year&gt;2014&lt;/Year&gt;&lt;RecNum&gt;63&lt;/RecNum&gt;&lt;DisplayText&gt;(Korhonen-Kurki et al., 2014)&lt;/DisplayText&gt;&lt;record&gt;&lt;rec-number&gt;63&lt;/rec-number&gt;&lt;foreign-keys&gt;&lt;key app="EN" db-id="2z292rvdiwzexnea29txdss7aweep2ae2wp2" timestamp="1442217040"&gt;63&lt;/key&gt;&lt;/foreign-keys&gt;&lt;ref-type name="Journal Article"&gt;17&lt;/ref-type&gt;&lt;contributors&gt;&lt;authors&gt;&lt;author&gt;Korhonen-Kurki, Kaisa&lt;/author&gt;&lt;author&gt;Sehring, Jenniver&lt;/author&gt;&lt;author&gt;Brockhaus, Maria&lt;/author&gt;&lt;author&gt;Di Gregorio, Monica&lt;/author&gt;&lt;/authors&gt;&lt;/contributors&gt;&lt;titles&gt;&lt;title&gt;Enabling factors for establishing REDD+ in a context of weak governance&lt;/title&gt;&lt;secondary-title&gt;Climate Policy&lt;/secondary-title&gt;&lt;/titles&gt;&lt;periodical&gt;&lt;full-title&gt;Climate Policy&lt;/full-title&gt;&lt;/periodical&gt;&lt;pages&gt;167-186&lt;/pages&gt;&lt;volume&gt;14&lt;/volume&gt;&lt;number&gt;2&lt;/number&gt;&lt;dates&gt;&lt;year&gt;2014&lt;/year&gt;&lt;/dates&gt;&lt;isbn&gt;1469-3062&lt;/isbn&gt;&lt;urls&gt;&lt;/urls&gt;&lt;/record&gt;&lt;/Cite&gt;&lt;/EndNote&gt;</w:instrTex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fldChar w:fldCharType="separate"/>
      </w:r>
      <w:r w:rsidRPr="007337AD" w:rsidDel="009125D6">
        <w:rPr>
          <w:rFonts w:ascii="Times New Roman" w:eastAsiaTheme="minorEastAsia" w:hAnsi="Times New Roman" w:cs="Times New Roman"/>
          <w:noProof/>
          <w:sz w:val="24"/>
          <w:szCs w:val="24"/>
          <w:lang w:val="en-GB" w:eastAsia="fi-FI"/>
        </w:rPr>
        <w:t>Korhonen-Kurki et al., 2014</w:t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fldChar w:fldCharType="end"/>
      </w:r>
      <w:r w:rsidRPr="007337AD" w:rsidDel="009125D6"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  <w:t xml:space="preserve"> and Brockhaus et al 2016). </w:t>
      </w:r>
    </w:p>
    <w:p w:rsidR="00BA13FB" w:rsidRPr="007337AD" w:rsidDel="009125D6" w:rsidRDefault="00BA13FB" w:rsidP="00BA13FB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en-GB" w:eastAsia="fi-FI"/>
        </w:rPr>
      </w:pPr>
    </w:p>
    <w:p w:rsidR="00BA13FB" w:rsidRPr="007337AD" w:rsidDel="009125D6" w:rsidRDefault="00BA13FB" w:rsidP="00BA13F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7337A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fi-FI"/>
        </w:rPr>
        <w:t>National ownership</w:t>
      </w:r>
      <w:r w:rsidRPr="007337AD">
        <w:rPr>
          <w:rFonts w:ascii="Times New Roman" w:eastAsia="Times New Roman" w:hAnsi="Times New Roman" w:cs="Times New Roman"/>
          <w:b/>
          <w:sz w:val="24"/>
          <w:szCs w:val="24"/>
          <w:lang w:val="en-GB" w:eastAsia="fi-FI"/>
        </w:rPr>
        <w:t xml:space="preserve"> </w:t>
      </w:r>
      <w:r w:rsidRPr="007337A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fi-FI"/>
        </w:rPr>
        <w:t>and political leadership</w:t>
      </w:r>
      <w:r w:rsidRPr="007337AD">
        <w:rPr>
          <w:rFonts w:ascii="Times New Roman" w:eastAsia="Times New Roman" w:hAnsi="Times New Roman" w:cs="Times New Roman"/>
          <w:b/>
          <w:sz w:val="24"/>
          <w:szCs w:val="24"/>
          <w:lang w:val="en-GB" w:eastAsia="fi-FI"/>
        </w:rPr>
        <w:t xml:space="preserve"> (‘OWN’)</w:t>
      </w:r>
      <w:r w:rsidRPr="007337AD" w:rsidDel="009125D6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: </w:t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It is </w:t>
      </w:r>
      <w:r w:rsidRPr="007337AD" w:rsidDel="009125D6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expect</w:t>
      </w:r>
      <w:r w:rsidRPr="007337A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ed</w:t>
      </w:r>
      <w:r w:rsidRPr="007337AD" w:rsidDel="009125D6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that REDD+ policy documents are more likely to be translated into effective and sustainable activities if </w:t>
      </w:r>
      <w:proofErr w:type="gramStart"/>
      <w:r w:rsidRPr="007337AD" w:rsidDel="009125D6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REDD+ policy processes are led by committed powerful national actors</w:t>
      </w:r>
      <w:proofErr w:type="gramEnd"/>
      <w:r w:rsidRPr="007337A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.</w:t>
      </w:r>
      <w:r w:rsidRPr="007337AD" w:rsidDel="009125D6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</w:t>
      </w:r>
    </w:p>
    <w:p w:rsidR="00BA13FB" w:rsidRPr="007337AD" w:rsidDel="009125D6" w:rsidRDefault="00BA13FB" w:rsidP="00BA13FB">
      <w:pPr>
        <w:numPr>
          <w:ilvl w:val="0"/>
          <w:numId w:val="2"/>
        </w:numPr>
        <w:spacing w:before="60" w:after="100" w:afterAutospacing="1"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7337AD" w:rsidDel="009125D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GB"/>
        </w:rPr>
        <w:t>‘Promise of reward’ based on availability of results-based funding for REDD+ (</w:t>
      </w:r>
      <w:r w:rsidRPr="007337AD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GB"/>
        </w:rPr>
        <w:t>‘</w:t>
      </w:r>
      <w:r w:rsidRPr="007337AD" w:rsidDel="009125D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GB"/>
        </w:rPr>
        <w:t>PERFO</w:t>
      </w:r>
      <w:r w:rsidRPr="007337AD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GB"/>
        </w:rPr>
        <w:t>’</w:t>
      </w:r>
      <w:r w:rsidRPr="007337AD" w:rsidDel="009125D6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val="en-GB"/>
        </w:rPr>
        <w:t>):</w:t>
      </w:r>
      <w:r w:rsidRPr="007337AD" w:rsidDel="009125D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</w:t>
      </w:r>
      <w:r w:rsidRPr="007337AD">
        <w:rPr>
          <w:rFonts w:ascii="Times New Roman" w:hAnsi="Times New Roman" w:cs="Times New Roman"/>
          <w:color w:val="222222"/>
          <w:sz w:val="24"/>
          <w:szCs w:val="24"/>
          <w:lang w:val="en-GB"/>
        </w:rPr>
        <w:t>It is</w:t>
      </w:r>
      <w:r w:rsidRPr="007337AD" w:rsidDel="009125D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expect</w:t>
      </w:r>
      <w:r w:rsidRPr="007337AD">
        <w:rPr>
          <w:rFonts w:ascii="Times New Roman" w:hAnsi="Times New Roman" w:cs="Times New Roman"/>
          <w:color w:val="222222"/>
          <w:sz w:val="24"/>
          <w:szCs w:val="24"/>
          <w:lang w:val="en-GB"/>
        </w:rPr>
        <w:t>ed</w:t>
      </w:r>
      <w:r w:rsidRPr="007337AD" w:rsidDel="009125D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that those countries where payment-for-performance funds are available, and a</w:t>
      </w:r>
      <w:r w:rsidRPr="007337AD">
        <w:rPr>
          <w:rFonts w:ascii="Times New Roman" w:hAnsi="Times New Roman" w:cs="Times New Roman"/>
          <w:color w:val="222222"/>
          <w:sz w:val="24"/>
          <w:szCs w:val="24"/>
          <w:lang w:val="en-GB"/>
        </w:rPr>
        <w:t>n</w:t>
      </w:r>
      <w:r w:rsidRPr="007337AD" w:rsidDel="009125D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LOI (or equivalent) has been signed to confirm the commitment of both parties, will </w:t>
      </w:r>
      <w:r w:rsidRPr="007337AD">
        <w:rPr>
          <w:rFonts w:ascii="Times New Roman" w:hAnsi="Times New Roman" w:cs="Times New Roman"/>
          <w:color w:val="222222"/>
          <w:sz w:val="24"/>
          <w:szCs w:val="24"/>
          <w:lang w:val="en-GB"/>
        </w:rPr>
        <w:t>see</w:t>
      </w:r>
      <w:r w:rsidRPr="007337AD" w:rsidDel="009125D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REDD+ policies and measures</w:t>
      </w:r>
      <w:r w:rsidRPr="007337AD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7337AD" w:rsidDel="009125D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established </w:t>
      </w:r>
      <w:r w:rsidRPr="007337AD">
        <w:rPr>
          <w:rFonts w:ascii="Times New Roman" w:hAnsi="Times New Roman" w:cs="Times New Roman"/>
          <w:color w:val="222222"/>
          <w:sz w:val="24"/>
          <w:szCs w:val="24"/>
          <w:lang w:val="en-GB"/>
        </w:rPr>
        <w:t>and</w:t>
      </w:r>
      <w:r w:rsidRPr="007337AD" w:rsidDel="009125D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REDD+ outcomes achieve</w:t>
      </w:r>
      <w:r w:rsidRPr="007337AD">
        <w:rPr>
          <w:rFonts w:ascii="Times New Roman" w:hAnsi="Times New Roman" w:cs="Times New Roman"/>
          <w:color w:val="222222"/>
          <w:sz w:val="24"/>
          <w:szCs w:val="24"/>
          <w:lang w:val="en-GB"/>
        </w:rPr>
        <w:t>d</w:t>
      </w:r>
      <w:r w:rsidRPr="007337AD" w:rsidDel="009125D6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faster than those countries where performance-based funds are not available.</w:t>
      </w:r>
    </w:p>
    <w:p w:rsidR="00BA13FB" w:rsidRPr="007337AD" w:rsidRDefault="00BA13FB" w:rsidP="00BA13FB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337AD">
        <w:rPr>
          <w:rFonts w:ascii="Times New Roman" w:hAnsi="Times New Roman" w:cs="Times New Roman"/>
          <w:b/>
          <w:i/>
          <w:sz w:val="24"/>
          <w:szCs w:val="24"/>
          <w:lang w:val="en-GB"/>
        </w:rPr>
        <w:t>‘Powerful’ transformational coalitions</w:t>
      </w:r>
      <w:r w:rsidRPr="007337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(‘COAL’)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proofErr w:type="gramStart"/>
      <w:r w:rsidRPr="007337A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 assume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gramEnd"/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 that, given the dominance of business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>usual in the forestry domain, domestic pro-REDD+ political actors must be able to form coalitions, influence the direction of policy formulation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 and lead the political discourse away from business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7337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337AD" w:rsidDel="009125D6">
        <w:rPr>
          <w:rFonts w:ascii="Times New Roman" w:hAnsi="Times New Roman" w:cs="Times New Roman"/>
          <w:sz w:val="24"/>
          <w:szCs w:val="24"/>
          <w:lang w:val="en-GB"/>
        </w:rPr>
        <w:t xml:space="preserve">usual and towards transformational change. </w:t>
      </w:r>
    </w:p>
    <w:p w:rsidR="00A7422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7422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7422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7422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7422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7422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7422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ADDITIONAL INFORMATION ON THE ANALYSIS</w:t>
      </w:r>
    </w:p>
    <w:p w:rsidR="00A7422E" w:rsidRPr="00A46210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4621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Step 1: remote conditions</w:t>
      </w:r>
    </w:p>
    <w:p w:rsidR="00A7422E" w:rsidRPr="000569E2" w:rsidRDefault="00A7422E" w:rsidP="00A742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7422E" w:rsidRPr="00A46210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6210">
        <w:rPr>
          <w:rFonts w:ascii="Times New Roman" w:hAnsi="Times New Roman" w:cs="Times New Roman"/>
          <w:sz w:val="24"/>
          <w:szCs w:val="24"/>
          <w:lang w:val="en-GB"/>
        </w:rPr>
        <w:t xml:space="preserve">Table 1: </w:t>
      </w:r>
      <w:r w:rsidRPr="00A46210">
        <w:rPr>
          <w:rFonts w:ascii="Times New Roman" w:hAnsi="Times New Roman" w:cs="Times New Roman"/>
          <w:sz w:val="24"/>
          <w:szCs w:val="24"/>
          <w:lang w:val="en-US"/>
        </w:rPr>
        <w:t>Full Truth table for remote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030"/>
        <w:gridCol w:w="3931"/>
      </w:tblGrid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PRES’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‘EFF’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‘CHA’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‘REDD’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Brazil (1), Burkina Faso (0), Mozambique (0), </w:t>
            </w: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Guyana (1), Peru (1), Nepal (0)</w:t>
            </w: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Cameroon</w:t>
            </w: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DRC (1), Ethiopia (0), Vietnam (0)</w:t>
            </w: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Tanzania</w:t>
            </w: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Indonesia</w:t>
            </w: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PNG</w:t>
            </w:r>
          </w:p>
        </w:tc>
      </w:tr>
      <w:tr w:rsidR="00A7422E" w:rsidRPr="000569E2" w:rsidTr="00950E69">
        <w:tc>
          <w:tcPr>
            <w:tcW w:w="988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34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3931" w:type="dxa"/>
          </w:tcPr>
          <w:p w:rsidR="00A7422E" w:rsidRPr="000569E2" w:rsidRDefault="00A7422E" w:rsidP="00950E6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056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</w:tbl>
    <w:p w:rsidR="00A7422E" w:rsidRPr="000569E2" w:rsidRDefault="00A7422E" w:rsidP="00A7422E">
      <w:pPr>
        <w:rPr>
          <w:rFonts w:ascii="Times New Roman" w:hAnsi="Times New Roman" w:cs="Times New Roman"/>
          <w:sz w:val="24"/>
          <w:szCs w:val="24"/>
        </w:rPr>
      </w:pPr>
    </w:p>
    <w:p w:rsidR="00A7422E" w:rsidRPr="000569E2" w:rsidRDefault="00A7422E" w:rsidP="00A7422E">
      <w:pPr>
        <w:rPr>
          <w:rFonts w:ascii="Times New Roman" w:hAnsi="Times New Roman" w:cs="Times New Roman"/>
          <w:sz w:val="24"/>
          <w:szCs w:val="24"/>
        </w:rPr>
      </w:pPr>
    </w:p>
    <w:p w:rsidR="00A7422E" w:rsidRPr="000569E2" w:rsidRDefault="00A7422E" w:rsidP="00A7422E">
      <w:pPr>
        <w:rPr>
          <w:rFonts w:ascii="Times New Roman" w:hAnsi="Times New Roman" w:cs="Times New Roman"/>
          <w:b/>
          <w:sz w:val="24"/>
          <w:szCs w:val="24"/>
        </w:rPr>
      </w:pPr>
      <w:r w:rsidRPr="000569E2"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proofErr w:type="spellStart"/>
      <w:r w:rsidRPr="000569E2">
        <w:rPr>
          <w:rFonts w:ascii="Times New Roman" w:hAnsi="Times New Roman" w:cs="Times New Roman"/>
          <w:b/>
          <w:sz w:val="24"/>
          <w:szCs w:val="24"/>
        </w:rPr>
        <w:t>sufficient</w:t>
      </w:r>
      <w:proofErr w:type="spellEnd"/>
      <w:r w:rsidRPr="00056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9E2">
        <w:rPr>
          <w:rFonts w:ascii="Times New Roman" w:hAnsi="Times New Roman" w:cs="Times New Roman"/>
          <w:b/>
          <w:sz w:val="24"/>
          <w:szCs w:val="24"/>
        </w:rPr>
        <w:t>conditions</w:t>
      </w:r>
      <w:proofErr w:type="spellEnd"/>
      <w:r w:rsidRPr="000569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569E2">
        <w:rPr>
          <w:rFonts w:ascii="Times New Roman" w:hAnsi="Times New Roman" w:cs="Times New Roman"/>
          <w:b/>
          <w:sz w:val="24"/>
          <w:szCs w:val="24"/>
        </w:rPr>
        <w:t>configurations</w:t>
      </w:r>
      <w:proofErr w:type="spellEnd"/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sz w:val="24"/>
          <w:szCs w:val="24"/>
          <w:lang w:val="en-US"/>
        </w:rPr>
        <w:t>Sufficient remote conditions based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analysis of this study (run with TOSMANA): </w:t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CHA + PRES*eff. 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22E" w:rsidRPr="009C789E" w:rsidRDefault="00A7422E" w:rsidP="00A742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b/>
          <w:sz w:val="24"/>
          <w:szCs w:val="24"/>
          <w:lang w:val="en-US"/>
        </w:rPr>
        <w:t>Analysis of necessary conditions</w:t>
      </w:r>
    </w:p>
    <w:p w:rsidR="00A7422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22E" w:rsidRPr="009C789E" w:rsidRDefault="00A7422E" w:rsidP="00A742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b/>
          <w:sz w:val="24"/>
          <w:szCs w:val="24"/>
          <w:lang w:val="en-US"/>
        </w:rPr>
        <w:t>Coverage and consistency: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622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gramStart"/>
      <w:r w:rsidRPr="00806227">
        <w:rPr>
          <w:rFonts w:ascii="Times New Roman" w:hAnsi="Times New Roman" w:cs="Times New Roman"/>
          <w:sz w:val="24"/>
          <w:szCs w:val="24"/>
          <w:lang w:val="en-US"/>
        </w:rPr>
        <w:t>can be seen</w:t>
      </w:r>
      <w:proofErr w:type="gramEnd"/>
      <w:r w:rsidRPr="00806227">
        <w:rPr>
          <w:rFonts w:ascii="Times New Roman" w:hAnsi="Times New Roman" w:cs="Times New Roman"/>
          <w:sz w:val="24"/>
          <w:szCs w:val="24"/>
          <w:lang w:val="en-US"/>
        </w:rPr>
        <w:t xml:space="preserve"> in table 1, there are three rows with contradictory results. However, since this is a two-step QCA, there is no need of high consistency in step 1, since step 2 </w:t>
      </w:r>
      <w:proofErr w:type="gramStart"/>
      <w:r w:rsidRPr="00806227">
        <w:rPr>
          <w:rFonts w:ascii="Times New Roman" w:hAnsi="Times New Roman" w:cs="Times New Roman"/>
          <w:sz w:val="24"/>
          <w:szCs w:val="24"/>
          <w:lang w:val="en-US"/>
        </w:rPr>
        <w:t>is expected</w:t>
      </w:r>
      <w:proofErr w:type="gramEnd"/>
      <w:r w:rsidRPr="00806227">
        <w:rPr>
          <w:rFonts w:ascii="Times New Roman" w:hAnsi="Times New Roman" w:cs="Times New Roman"/>
          <w:sz w:val="24"/>
          <w:szCs w:val="24"/>
          <w:lang w:val="en-US"/>
        </w:rPr>
        <w:t xml:space="preserve"> to give the full picture and resolve the contradictions (Schneider and </w:t>
      </w:r>
      <w:proofErr w:type="spellStart"/>
      <w:r w:rsidRPr="00806227">
        <w:rPr>
          <w:rFonts w:ascii="Times New Roman" w:hAnsi="Times New Roman" w:cs="Times New Roman"/>
          <w:sz w:val="24"/>
          <w:szCs w:val="24"/>
          <w:lang w:val="en-US"/>
        </w:rPr>
        <w:t>Wagemann</w:t>
      </w:r>
      <w:proofErr w:type="spellEnd"/>
      <w:r w:rsidRPr="00806227">
        <w:rPr>
          <w:rFonts w:ascii="Times New Roman" w:hAnsi="Times New Roman" w:cs="Times New Roman"/>
          <w:sz w:val="24"/>
          <w:szCs w:val="24"/>
          <w:lang w:val="en-US"/>
        </w:rPr>
        <w:t xml:space="preserve"> 2012: 254).</w:t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The coverage value for CHA is 0.83, the coverage value for PRES*eff is 0.33. This shows that empirically, CHA is more relevant as and outcome-enabling condition than PRES*eff (all cases with outcome REDD apart from one – Tanzania - also show CHA). 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22E" w:rsidRPr="009C789E" w:rsidRDefault="00A7422E" w:rsidP="00A7422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C789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Step 2: proximate conditions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 the configurations leading to outcome 1 where examined.</w:t>
      </w:r>
    </w:p>
    <w:p w:rsidR="00A7422E" w:rsidRPr="007337AD" w:rsidRDefault="00A7422E" w:rsidP="00A7422E">
      <w:pPr>
        <w:pStyle w:val="Tabletitle"/>
      </w:pPr>
      <w:r>
        <w:t>Table 2: Full</w:t>
      </w:r>
      <w:r w:rsidRPr="007337AD">
        <w:t xml:space="preserve"> Truth table for proximate conditions and enabling conditions of ‘CHA’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3"/>
        <w:gridCol w:w="1123"/>
        <w:gridCol w:w="992"/>
        <w:gridCol w:w="1030"/>
        <w:gridCol w:w="1030"/>
        <w:gridCol w:w="2976"/>
      </w:tblGrid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‘CHA’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‘PERFO’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‘OWN’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‘COAL’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‘REDD’</w:t>
            </w:r>
          </w:p>
        </w:tc>
        <w:tc>
          <w:tcPr>
            <w:tcW w:w="2976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2976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Brazil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(1)</w:t>
            </w: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, Ethiopia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(0)</w:t>
            </w: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, Mozambique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(0)</w:t>
            </w: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976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Guyana</w:t>
            </w: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976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Peru</w:t>
            </w: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976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The DRC, Indonesia</w:t>
            </w: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055CFD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2976" w:type="dxa"/>
          </w:tcPr>
          <w:p w:rsidR="00A7422E" w:rsidRPr="00E9158F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</w:pPr>
            <w:r w:rsidRPr="00E9158F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055CFD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976" w:type="dxa"/>
          </w:tcPr>
          <w:p w:rsidR="00A7422E" w:rsidRPr="00E9158F" w:rsidRDefault="00E9158F" w:rsidP="00950E69">
            <w:pPr>
              <w:rPr>
                <w:rFonts w:ascii="Times New Roman" w:hAnsi="Times New Roman" w:cs="Times New Roman"/>
              </w:rPr>
            </w:pPr>
            <w:r w:rsidRPr="00E9158F">
              <w:rPr>
                <w:rFonts w:ascii="Times New Roman" w:hAnsi="Times New Roman" w:cs="Times New Roman"/>
              </w:rPr>
              <w:t>Vietnam</w:t>
            </w: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30" w:type="dxa"/>
          </w:tcPr>
          <w:p w:rsidR="00A7422E" w:rsidRPr="007337AD" w:rsidRDefault="00055CFD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2976" w:type="dxa"/>
          </w:tcPr>
          <w:p w:rsidR="00A7422E" w:rsidRPr="00E9158F" w:rsidRDefault="00A7422E" w:rsidP="00950E69">
            <w:pPr>
              <w:rPr>
                <w:rFonts w:ascii="Times New Roman" w:hAnsi="Times New Roman" w:cs="Times New Roman"/>
              </w:rPr>
            </w:pPr>
            <w:r w:rsidRPr="00E91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  <w:tr w:rsidR="00A7422E" w:rsidRPr="007337AD" w:rsidTr="00950E69">
        <w:tc>
          <w:tcPr>
            <w:tcW w:w="88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23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992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30" w:type="dxa"/>
          </w:tcPr>
          <w:p w:rsidR="00A7422E" w:rsidRPr="007337AD" w:rsidRDefault="00055CFD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7422E" w:rsidRPr="00E9158F" w:rsidRDefault="00E9158F" w:rsidP="00950E69">
            <w:pPr>
              <w:rPr>
                <w:rFonts w:ascii="Times New Roman" w:hAnsi="Times New Roman" w:cs="Times New Roman"/>
              </w:rPr>
            </w:pPr>
            <w:r w:rsidRPr="00E9158F">
              <w:rPr>
                <w:rFonts w:ascii="Times New Roman" w:hAnsi="Times New Roman" w:cs="Times New Roman"/>
              </w:rPr>
              <w:t>Burkina Faso, Nepal</w:t>
            </w:r>
          </w:p>
        </w:tc>
      </w:tr>
    </w:tbl>
    <w:p w:rsidR="00A7422E" w:rsidRDefault="00A7422E" w:rsidP="00A7422E"/>
    <w:p w:rsidR="00A7422E" w:rsidRDefault="00A7422E" w:rsidP="00A7422E">
      <w:pPr>
        <w:rPr>
          <w:rFonts w:ascii="Times New Roman" w:hAnsi="Times New Roman" w:cs="Times New Roman"/>
          <w:sz w:val="24"/>
          <w:szCs w:val="24"/>
        </w:rPr>
      </w:pPr>
    </w:p>
    <w:p w:rsidR="00A7422E" w:rsidRPr="00E9158F" w:rsidRDefault="00A7422E" w:rsidP="00A742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58F">
        <w:rPr>
          <w:rFonts w:ascii="Times New Roman" w:hAnsi="Times New Roman" w:cs="Times New Roman"/>
          <w:b/>
          <w:sz w:val="24"/>
          <w:szCs w:val="24"/>
          <w:lang w:val="en-US"/>
        </w:rPr>
        <w:t>Sufficient conditions</w:t>
      </w:r>
    </w:p>
    <w:p w:rsidR="00A7422E" w:rsidRPr="00C47BE0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7BE0">
        <w:rPr>
          <w:rFonts w:ascii="Times New Roman" w:hAnsi="Times New Roman" w:cs="Times New Roman"/>
          <w:sz w:val="24"/>
          <w:szCs w:val="24"/>
          <w:lang w:val="en-US"/>
        </w:rPr>
        <w:t>Result of analysis in this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(run with TOSMANA)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CHA * PERFO * coal + CHA*OWN*COAL </w:t>
      </w:r>
      <w:r w:rsidRPr="009D15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 REDD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However, this analysis included the contradictory row CHA*PERFO*OWN*coal 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22E" w:rsidRPr="009C789E" w:rsidRDefault="00A7422E" w:rsidP="00A742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b/>
          <w:sz w:val="24"/>
          <w:szCs w:val="24"/>
          <w:lang w:val="en-US"/>
        </w:rPr>
        <w:t>Consistency and coverage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sz w:val="24"/>
          <w:szCs w:val="24"/>
          <w:lang w:val="en-US"/>
        </w:rPr>
        <w:t>There is one contradi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tory row, which encompasses one case with REDD and two cases with </w:t>
      </w:r>
      <w:proofErr w:type="spellStart"/>
      <w:r w:rsidRPr="009C789E">
        <w:rPr>
          <w:rFonts w:ascii="Times New Roman" w:hAnsi="Times New Roman" w:cs="Times New Roman"/>
          <w:sz w:val="24"/>
          <w:szCs w:val="24"/>
          <w:lang w:val="en-US"/>
        </w:rPr>
        <w:t>redd</w:t>
      </w:r>
      <w:proofErr w:type="spellEnd"/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wo cases (Ethiopia and Mozambique) now show a configuration identified by us as sufficient, but not the outcome. This would be a classical instance for the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>dialogue with the cases” to understand why. This is especially relevant for Mozambique that also has exactly the same remote conditions as Brazil.</w:t>
      </w:r>
    </w:p>
    <w:p w:rsidR="00A7422E" w:rsidRPr="009C789E" w:rsidRDefault="00A7422E" w:rsidP="00A74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789E">
        <w:rPr>
          <w:rFonts w:ascii="Times New Roman" w:hAnsi="Times New Roman" w:cs="Times New Roman"/>
          <w:sz w:val="24"/>
          <w:szCs w:val="24"/>
          <w:lang w:val="en-US"/>
        </w:rPr>
        <w:t>The coverage value for CHA * PERFO * coal is 0.5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9C789E">
        <w:rPr>
          <w:rFonts w:ascii="Times New Roman" w:hAnsi="Times New Roman" w:cs="Times New Roman"/>
          <w:sz w:val="24"/>
          <w:szCs w:val="24"/>
          <w:lang w:val="en-US"/>
        </w:rPr>
        <w:t xml:space="preserve"> the coverage value of CHA*OWN*COAL is 0.33. This means that the first configuration is empirically more relevant than the second one, and it can explain 50% of all cases with outcome REDD. </w:t>
      </w:r>
    </w:p>
    <w:p w:rsidR="00A7422E" w:rsidRPr="007337AD" w:rsidRDefault="00A7422E" w:rsidP="00A7422E">
      <w:pPr>
        <w:pStyle w:val="Tabletitle"/>
      </w:pPr>
      <w:r>
        <w:t>Table 3: Full</w:t>
      </w:r>
      <w:r w:rsidRPr="007337AD">
        <w:t xml:space="preserve"> Truth table for proximate conditions and enabling condition of ‘PRESS*eff’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7422E" w:rsidRPr="007337AD" w:rsidTr="00950E69">
        <w:tc>
          <w:tcPr>
            <w:tcW w:w="1604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‘PRESS*eff’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‘PERFO’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‘OWN’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‘COAL’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‘REDD’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7422E" w:rsidRPr="007337AD" w:rsidTr="00950E69">
        <w:tc>
          <w:tcPr>
            <w:tcW w:w="1604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Tanzania</w:t>
            </w:r>
          </w:p>
        </w:tc>
      </w:tr>
      <w:tr w:rsidR="00A7422E" w:rsidRPr="007337AD" w:rsidTr="00950E69">
        <w:tc>
          <w:tcPr>
            <w:tcW w:w="1604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37A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Indonesia</w:t>
            </w:r>
          </w:p>
        </w:tc>
      </w:tr>
      <w:tr w:rsidR="00A7422E" w:rsidRPr="00FC0B9B" w:rsidTr="00950E69"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05" w:type="dxa"/>
          </w:tcPr>
          <w:p w:rsidR="00A7422E" w:rsidRPr="00FC0B9B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</w:pPr>
            <w:r w:rsidRPr="00FC0B9B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  <w:tr w:rsidR="00A7422E" w:rsidTr="00950E69"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05" w:type="dxa"/>
          </w:tcPr>
          <w:p w:rsidR="00A7422E" w:rsidRDefault="00A7422E" w:rsidP="00950E69">
            <w:r w:rsidRPr="0033360D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  <w:tr w:rsidR="00A7422E" w:rsidTr="00950E69"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05" w:type="dxa"/>
          </w:tcPr>
          <w:p w:rsidR="00A7422E" w:rsidRDefault="00A7422E" w:rsidP="00950E69">
            <w:r w:rsidRPr="0033360D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  <w:tr w:rsidR="00A7422E" w:rsidTr="00950E69"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05" w:type="dxa"/>
          </w:tcPr>
          <w:p w:rsidR="00A7422E" w:rsidRDefault="00A7422E" w:rsidP="00950E69">
            <w:r w:rsidRPr="0033360D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  <w:tr w:rsidR="00A7422E" w:rsidTr="00950E69">
        <w:tc>
          <w:tcPr>
            <w:tcW w:w="1604" w:type="dxa"/>
          </w:tcPr>
          <w:p w:rsidR="00A7422E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05" w:type="dxa"/>
          </w:tcPr>
          <w:p w:rsidR="00A7422E" w:rsidRDefault="00A7422E" w:rsidP="00950E69">
            <w:r w:rsidRPr="008D29C5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  <w:tr w:rsidR="00A7422E" w:rsidTr="00950E69">
        <w:tc>
          <w:tcPr>
            <w:tcW w:w="1604" w:type="dxa"/>
          </w:tcPr>
          <w:p w:rsidR="00A7422E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04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05" w:type="dxa"/>
          </w:tcPr>
          <w:p w:rsidR="00A7422E" w:rsidRPr="007337AD" w:rsidRDefault="00A7422E" w:rsidP="00950E69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05" w:type="dxa"/>
          </w:tcPr>
          <w:p w:rsidR="00A7422E" w:rsidRDefault="00A7422E" w:rsidP="00950E69">
            <w:r w:rsidRPr="008D29C5">
              <w:rPr>
                <w:rFonts w:ascii="Times New Roman" w:eastAsia="Times New Roman" w:hAnsi="Times New Roman"/>
                <w:i/>
                <w:sz w:val="24"/>
                <w:szCs w:val="24"/>
                <w:lang w:val="en-GB" w:eastAsia="en-GB"/>
              </w:rPr>
              <w:t>Not observed</w:t>
            </w:r>
          </w:p>
        </w:tc>
      </w:tr>
    </w:tbl>
    <w:p w:rsidR="00A7422E" w:rsidRDefault="00A7422E" w:rsidP="00A7422E"/>
    <w:p w:rsidR="00A7422E" w:rsidRDefault="00A7422E" w:rsidP="00A7422E">
      <w:pPr>
        <w:pStyle w:val="Tabletitle"/>
      </w:pPr>
      <w:r>
        <w:t xml:space="preserve">Here, we have only </w:t>
      </w:r>
      <w:proofErr w:type="spellStart"/>
      <w:r>
        <w:t>tow</w:t>
      </w:r>
      <w:proofErr w:type="spellEnd"/>
      <w:r>
        <w:t xml:space="preserve"> cases and no further logical minimization was possible: </w:t>
      </w:r>
    </w:p>
    <w:p w:rsidR="00A7422E" w:rsidRPr="007337AD" w:rsidRDefault="00A7422E" w:rsidP="00A7422E">
      <w:pPr>
        <w:pStyle w:val="Newparagraph"/>
        <w:numPr>
          <w:ilvl w:val="0"/>
          <w:numId w:val="3"/>
        </w:numPr>
      </w:pPr>
      <w:r w:rsidRPr="007337AD">
        <w:rPr>
          <w:i/>
        </w:rPr>
        <w:lastRenderedPageBreak/>
        <w:t>‘PRES*eff’*‘PERFO’*‘own’*‘coal’ (Indonesia)</w:t>
      </w:r>
    </w:p>
    <w:p w:rsidR="00A7422E" w:rsidRPr="007337AD" w:rsidRDefault="00A7422E" w:rsidP="00A7422E">
      <w:pPr>
        <w:pStyle w:val="Newparagraph"/>
        <w:numPr>
          <w:ilvl w:val="0"/>
          <w:numId w:val="3"/>
        </w:numPr>
        <w:rPr>
          <w:i/>
        </w:rPr>
      </w:pPr>
      <w:r w:rsidRPr="007337AD">
        <w:rPr>
          <w:i/>
        </w:rPr>
        <w:t xml:space="preserve"> ‘PRES*eff’*‘</w:t>
      </w:r>
      <w:proofErr w:type="spellStart"/>
      <w:r w:rsidRPr="007337AD">
        <w:rPr>
          <w:i/>
        </w:rPr>
        <w:t>perfo</w:t>
      </w:r>
      <w:proofErr w:type="spellEnd"/>
      <w:r w:rsidRPr="007337AD">
        <w:rPr>
          <w:i/>
        </w:rPr>
        <w:t>’*‘own’*‘COAL’ (Tanzania)</w:t>
      </w:r>
    </w:p>
    <w:p w:rsidR="00A7422E" w:rsidRPr="00B27F2B" w:rsidRDefault="00A7422E" w:rsidP="00A7422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Since every configuration covers only one country, the coverage is low (0.16)</w:t>
      </w:r>
    </w:p>
    <w:p w:rsidR="00BA13FB" w:rsidRPr="007337AD" w:rsidRDefault="00BA13FB" w:rsidP="00BA13FB">
      <w:pPr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GB" w:eastAsia="fi-FI"/>
        </w:rPr>
      </w:pPr>
      <w:r w:rsidRPr="007337AD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GB"/>
        </w:rPr>
        <w:br w:type="page"/>
      </w:r>
    </w:p>
    <w:p w:rsidR="00BA13FB" w:rsidRPr="007337AD" w:rsidRDefault="00BA13FB" w:rsidP="00BA13FB">
      <w:pPr>
        <w:pStyle w:val="NormalWeb"/>
        <w:spacing w:before="0" w:beforeAutospacing="0" w:after="0" w:afterAutospacing="0" w:line="276" w:lineRule="auto"/>
        <w:rPr>
          <w:rFonts w:eastAsiaTheme="minorEastAsia"/>
          <w:bCs/>
          <w:kern w:val="24"/>
          <w:lang w:val="en-GB"/>
        </w:rPr>
        <w:sectPr w:rsidR="00BA13FB" w:rsidRPr="007337AD" w:rsidSect="00862323">
          <w:footerReference w:type="default" r:id="rId7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82F32" w:rsidRPr="00BA13FB" w:rsidRDefault="00EA05B9">
      <w:pPr>
        <w:rPr>
          <w:lang w:val="en-GB"/>
        </w:rPr>
      </w:pPr>
    </w:p>
    <w:sectPr w:rsidR="00282F32" w:rsidRPr="00BA13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B9" w:rsidRDefault="00EA05B9">
      <w:pPr>
        <w:spacing w:after="0" w:line="240" w:lineRule="auto"/>
      </w:pPr>
      <w:r>
        <w:separator/>
      </w:r>
    </w:p>
  </w:endnote>
  <w:endnote w:type="continuationSeparator" w:id="0">
    <w:p w:rsidR="00EA05B9" w:rsidRDefault="00EA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465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9E4" w:rsidRDefault="00BA1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59E4" w:rsidRDefault="00EA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B9" w:rsidRDefault="00EA05B9">
      <w:pPr>
        <w:spacing w:after="0" w:line="240" w:lineRule="auto"/>
      </w:pPr>
      <w:r>
        <w:separator/>
      </w:r>
    </w:p>
  </w:footnote>
  <w:footnote w:type="continuationSeparator" w:id="0">
    <w:p w:rsidR="00EA05B9" w:rsidRDefault="00EA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EC3"/>
    <w:multiLevelType w:val="multilevel"/>
    <w:tmpl w:val="EE1400A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687F"/>
    <w:multiLevelType w:val="hybridMultilevel"/>
    <w:tmpl w:val="22BE1C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59E7ACD"/>
    <w:multiLevelType w:val="hybridMultilevel"/>
    <w:tmpl w:val="302C93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FB"/>
    <w:rsid w:val="00055CFD"/>
    <w:rsid w:val="000B0D66"/>
    <w:rsid w:val="00105323"/>
    <w:rsid w:val="0049773E"/>
    <w:rsid w:val="004C6FF3"/>
    <w:rsid w:val="005A3872"/>
    <w:rsid w:val="00910EAE"/>
    <w:rsid w:val="00A7422E"/>
    <w:rsid w:val="00B52943"/>
    <w:rsid w:val="00B77AAF"/>
    <w:rsid w:val="00BA13FB"/>
    <w:rsid w:val="00C73BB7"/>
    <w:rsid w:val="00E9158F"/>
    <w:rsid w:val="00E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C8CC"/>
  <w15:chartTrackingRefBased/>
  <w15:docId w15:val="{F7C4D8E3-2BAB-4951-8B9E-3A6353E1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customStyle="1" w:styleId="TableGrid1">
    <w:name w:val="Table Grid1"/>
    <w:basedOn w:val="TableNormal"/>
    <w:next w:val="TableGrid"/>
    <w:uiPriority w:val="59"/>
    <w:rsid w:val="00BA13FB"/>
    <w:pPr>
      <w:spacing w:after="0" w:line="240" w:lineRule="auto"/>
    </w:pPr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1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FB"/>
  </w:style>
  <w:style w:type="table" w:styleId="TableGrid">
    <w:name w:val="Table Grid"/>
    <w:basedOn w:val="TableNormal"/>
    <w:uiPriority w:val="59"/>
    <w:rsid w:val="00BA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A7422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7422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422E"/>
    <w:rPr>
      <w:rFonts w:ascii="Calibri" w:hAnsi="Calibri" w:cs="Times New Roman"/>
    </w:rPr>
  </w:style>
  <w:style w:type="paragraph" w:customStyle="1" w:styleId="Newparagraph">
    <w:name w:val="New paragraph"/>
    <w:basedOn w:val="Normal"/>
    <w:qFormat/>
    <w:rsid w:val="00A7422E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2130</Words>
  <Characters>12338</Characters>
  <Application>Microsoft Office Word</Application>
  <DocSecurity>0</DocSecurity>
  <Lines>186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M Kaisa</dc:creator>
  <cp:keywords/>
  <dc:description/>
  <cp:lastModifiedBy>Korhonen, M Kaisa</cp:lastModifiedBy>
  <cp:revision>3</cp:revision>
  <dcterms:created xsi:type="dcterms:W3CDTF">2018-06-29T05:14:00Z</dcterms:created>
  <dcterms:modified xsi:type="dcterms:W3CDTF">2018-06-29T05:58:00Z</dcterms:modified>
</cp:coreProperties>
</file>