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17" w:rsidRPr="007D60B5" w:rsidRDefault="00334F17" w:rsidP="000F70DC">
      <w:pPr>
        <w:pStyle w:val="NoSpacing"/>
        <w:jc w:val="center"/>
        <w:rPr>
          <w:rFonts w:asciiTheme="majorBidi" w:hAnsiTheme="majorBidi" w:cstheme="majorBidi"/>
          <w:b/>
          <w:bCs/>
          <w:sz w:val="24"/>
          <w:szCs w:val="24"/>
        </w:rPr>
      </w:pPr>
      <w:bookmarkStart w:id="0" w:name="_Toc454030074"/>
      <w:bookmarkStart w:id="1" w:name="_Toc454536965"/>
      <w:bookmarkStart w:id="2" w:name="_Toc451861317"/>
      <w:r w:rsidRPr="007D60B5">
        <w:rPr>
          <w:rFonts w:asciiTheme="majorBidi" w:hAnsiTheme="majorBidi" w:cstheme="majorBidi"/>
          <w:b/>
          <w:bCs/>
          <w:sz w:val="24"/>
          <w:szCs w:val="24"/>
        </w:rPr>
        <w:t>Supplementary</w:t>
      </w:r>
    </w:p>
    <w:p w:rsidR="00334F17" w:rsidRPr="007D60B5" w:rsidRDefault="00334F17" w:rsidP="000F70DC">
      <w:pPr>
        <w:pStyle w:val="NoSpacing"/>
        <w:rPr>
          <w:rFonts w:asciiTheme="majorBidi" w:hAnsiTheme="majorBidi" w:cstheme="majorBidi"/>
          <w:sz w:val="24"/>
          <w:szCs w:val="24"/>
        </w:rPr>
      </w:pPr>
    </w:p>
    <w:p w:rsidR="00C50967"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 xml:space="preserve">1. </w:t>
      </w:r>
      <w:r w:rsidR="00FE019E" w:rsidRPr="007D60B5">
        <w:rPr>
          <w:rFonts w:asciiTheme="majorBidi" w:hAnsiTheme="majorBidi" w:cstheme="majorBidi"/>
          <w:b/>
          <w:bCs/>
          <w:sz w:val="24"/>
          <w:szCs w:val="24"/>
        </w:rPr>
        <w:t>Experimental section</w:t>
      </w:r>
    </w:p>
    <w:p w:rsidR="003960D3" w:rsidRPr="007D60B5" w:rsidRDefault="003960D3" w:rsidP="000F70DC">
      <w:pPr>
        <w:pStyle w:val="NoSpacing"/>
        <w:jc w:val="both"/>
        <w:rPr>
          <w:rFonts w:asciiTheme="majorBidi" w:hAnsiTheme="majorBidi" w:cstheme="majorBidi"/>
          <w:b/>
          <w:bCs/>
          <w:sz w:val="24"/>
          <w:szCs w:val="24"/>
        </w:rPr>
      </w:pPr>
    </w:p>
    <w:p w:rsidR="00CB20E9" w:rsidRPr="007D60B5" w:rsidRDefault="004172D7" w:rsidP="000F70DC">
      <w:pPr>
        <w:pStyle w:val="NoSpacing"/>
        <w:jc w:val="both"/>
        <w:rPr>
          <w:rFonts w:asciiTheme="majorBidi" w:eastAsia="Times New Roman" w:hAnsiTheme="majorBidi" w:cstheme="majorBidi"/>
          <w:b/>
          <w:bCs/>
          <w:sz w:val="24"/>
          <w:szCs w:val="24"/>
        </w:rPr>
      </w:pPr>
      <w:r w:rsidRPr="007D60B5">
        <w:rPr>
          <w:rFonts w:asciiTheme="majorBidi" w:eastAsia="Times New Roman" w:hAnsiTheme="majorBidi" w:cstheme="majorBidi"/>
          <w:b/>
          <w:bCs/>
          <w:sz w:val="24"/>
          <w:szCs w:val="24"/>
        </w:rPr>
        <w:t xml:space="preserve">1.1. </w:t>
      </w:r>
      <w:r w:rsidR="00334F17" w:rsidRPr="007D60B5">
        <w:rPr>
          <w:rFonts w:asciiTheme="majorBidi" w:eastAsia="Times New Roman" w:hAnsiTheme="majorBidi" w:cstheme="majorBidi"/>
          <w:b/>
          <w:bCs/>
          <w:sz w:val="24"/>
          <w:szCs w:val="24"/>
        </w:rPr>
        <w:t>Physiochemical characterization of drug-loaded zein NS</w:t>
      </w:r>
    </w:p>
    <w:p w:rsidR="00CB20E9"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 xml:space="preserve">1.1.1. </w:t>
      </w:r>
      <w:r w:rsidR="00CB20E9" w:rsidRPr="007D60B5">
        <w:rPr>
          <w:rFonts w:asciiTheme="majorBidi" w:hAnsiTheme="majorBidi" w:cstheme="majorBidi"/>
          <w:b/>
          <w:bCs/>
          <w:sz w:val="24"/>
          <w:szCs w:val="24"/>
        </w:rPr>
        <w:t>Particle size, zeta potential analysis</w:t>
      </w:r>
    </w:p>
    <w:p w:rsidR="00CB20E9" w:rsidRPr="007D60B5" w:rsidRDefault="00CB20E9" w:rsidP="00981DC7">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Photon correlation spectroscopy (PCS) was used for determination of particle size (PS) and polydispersity index (PDI) of NPs via a NanoZS/ZEN3600 Zetasizer. The PS was measured with the non-invasive backscattering technology at a detection angle of 173° after dilution with purified water to an appropriate concentration. All of the DLS measurements were carried out at 25°C for three repeated measurements. The zeta potential of the NPs was estimated following the same method </w:t>
      </w:r>
      <w:r w:rsidR="00156A60" w:rsidRPr="007D60B5">
        <w:rPr>
          <w:rFonts w:asciiTheme="majorBidi" w:hAnsiTheme="majorBidi" w:cstheme="majorBidi"/>
          <w:sz w:val="24"/>
          <w:szCs w:val="24"/>
        </w:rPr>
        <w:t xml:space="preserve">previously </w:t>
      </w:r>
      <w:r w:rsidRPr="007D60B5">
        <w:rPr>
          <w:rFonts w:asciiTheme="majorBidi" w:hAnsiTheme="majorBidi" w:cstheme="majorBidi"/>
          <w:sz w:val="24"/>
          <w:szCs w:val="24"/>
        </w:rPr>
        <w:t xml:space="preserve">used </w:t>
      </w:r>
      <w:r w:rsidR="00156A60" w:rsidRPr="007D60B5">
        <w:rPr>
          <w:rFonts w:asciiTheme="majorBidi" w:hAnsiTheme="majorBidi" w:cstheme="majorBidi"/>
          <w:sz w:val="24"/>
          <w:szCs w:val="24"/>
        </w:rPr>
        <w:t>by our group</w:t>
      </w:r>
      <w:r w:rsidR="00981DC7" w:rsidRPr="007D60B5">
        <w:rPr>
          <w:rFonts w:asciiTheme="majorBidi" w:hAnsiTheme="majorBidi" w:cstheme="majorBidi"/>
          <w:sz w:val="24"/>
          <w:szCs w:val="24"/>
        </w:rPr>
        <w:t xml:space="preserve"> </w:t>
      </w:r>
      <w:r w:rsidR="00981DC7" w:rsidRPr="007D60B5">
        <w:rPr>
          <w:rFonts w:asciiTheme="majorBidi" w:hAnsiTheme="majorBidi" w:cstheme="majorBidi"/>
          <w:sz w:val="24"/>
          <w:szCs w:val="24"/>
        </w:rPr>
        <w:fldChar w:fldCharType="begin"/>
      </w:r>
      <w:r w:rsidR="00981DC7" w:rsidRPr="007D60B5">
        <w:rPr>
          <w:rFonts w:asciiTheme="majorBidi" w:hAnsiTheme="majorBidi" w:cstheme="majorBidi"/>
          <w:sz w:val="24"/>
          <w:szCs w:val="24"/>
        </w:rPr>
        <w:instrText xml:space="preserve"> ADDIN EN.CITE &lt;EndNote&gt;&lt;Cite&gt;&lt;Author&gt;Elzoghby&lt;/Author&gt;&lt;Year&gt;2017&lt;/Year&gt;&lt;RecNum&gt;1165&lt;/RecNum&gt;&lt;DisplayText&gt;[1]&lt;/DisplayText&gt;&lt;record&gt;&lt;rec-number&gt;1165&lt;/rec-number&gt;&lt;foreign-keys&gt;&lt;key app="EN" db-id="f055vd994xrvfee99stvw2v0sedst50xrdax" timestamp="1514898096"&gt;1165&lt;/key&gt;&lt;/foreign-keys&gt;&lt;ref-type name="Journal Article"&gt;17&lt;/ref-type&gt;&lt;contributors&gt;&lt;authors&gt;&lt;author&gt;Elzoghby, A. O.&lt;/author&gt;&lt;author&gt;El-Lakany, S. A.&lt;/author&gt;&lt;author&gt;Helmy, M. W.&lt;/author&gt;&lt;author&gt;Abu-Serie, M. M.&lt;/author&gt;&lt;author&gt;Elgindy, N. A.&lt;/author&gt;&lt;/authors&gt;&lt;/contributors&gt;&lt;auth-address&gt;Cancer Nanotechnology Research Laboratory (CNRL), Faculty of Pharmacy, Alexandria University, Alexandria 21521, Egypt.&amp;#xD;Department of Industrial Pharmacy, Faculty of Pharmacy, Alexandria University, Alexandria 21521, Egypt.&amp;#xD;Department of Pharmacology &amp;amp; Toxicology, Faculty of Pharmacy, Damanhour University, Damanhour, Egypt.&amp;#xD;Medical Biotechnology Department, Genetic Engineering &amp;amp; Biotechnology Research Institute, City of Scientific Research &amp;amp; Technological Applications, New-Borg El-Arab City, Alexandria 21934, Egypt.&lt;/auth-address&gt;&lt;titles&gt;&lt;title&gt;Shell-crosslinked zein nanocapsules for oral codelivery of exemestane and resveratrol in breast cancer therapy&lt;/title&gt;&lt;secondary-title&gt;Nanomedicine (Lond)&lt;/secondary-title&gt;&lt;alt-title&gt;Nanomedicine (London, England)&lt;/alt-title&gt;&lt;/titles&gt;&lt;periodical&gt;&lt;full-title&gt;Nanomedicine (Lond)&lt;/full-title&gt;&lt;abbr-1&gt;Nanomedicine (London, England)&lt;/abbr-1&gt;&lt;/periodical&gt;&lt;alt-periodical&gt;&lt;full-title&gt;Nanomedicine (Lond)&lt;/full-title&gt;&lt;abbr-1&gt;Nanomedicine (London, England)&lt;/abbr-1&gt;&lt;/alt-periodical&gt;&lt;pages&gt;2785-2805&lt;/pages&gt;&lt;volume&gt;12&lt;/volume&gt;&lt;number&gt;24&lt;/number&gt;&lt;edition&gt;2017/11/03&lt;/edition&gt;&lt;dates&gt;&lt;year&gt;2017&lt;/year&gt;&lt;pub-dates&gt;&lt;date&gt;Dec&lt;/date&gt;&lt;/pub-dates&gt;&lt;/dates&gt;&lt;isbn&gt;1743-5889&lt;/isbn&gt;&lt;accession-num&gt;29094642&lt;/accession-num&gt;&lt;urls&gt;&lt;/urls&gt;&lt;electronic-resource-num&gt;10.2217/nnm-2017-0247&lt;/electronic-resource-num&gt;&lt;remote-database-provider&gt;Nlm&lt;/remote-database-provider&gt;&lt;language&gt;eng&lt;/language&gt;&lt;/record&gt;&lt;/Cite&gt;&lt;/EndNote&gt;</w:instrText>
      </w:r>
      <w:r w:rsidR="00981DC7" w:rsidRPr="007D60B5">
        <w:rPr>
          <w:rFonts w:asciiTheme="majorBidi" w:hAnsiTheme="majorBidi" w:cstheme="majorBidi"/>
          <w:sz w:val="24"/>
          <w:szCs w:val="24"/>
        </w:rPr>
        <w:fldChar w:fldCharType="separate"/>
      </w:r>
      <w:r w:rsidR="00981DC7" w:rsidRPr="007D60B5">
        <w:rPr>
          <w:rFonts w:asciiTheme="majorBidi" w:hAnsiTheme="majorBidi" w:cstheme="majorBidi"/>
          <w:noProof/>
          <w:sz w:val="24"/>
          <w:szCs w:val="24"/>
        </w:rPr>
        <w:t>[</w:t>
      </w:r>
      <w:hyperlink w:anchor="_ENREF_1" w:tooltip="Elzoghby, 2017 #1165" w:history="1">
        <w:r w:rsidR="00981DC7" w:rsidRPr="007D60B5">
          <w:rPr>
            <w:rFonts w:asciiTheme="majorBidi" w:hAnsiTheme="majorBidi" w:cstheme="majorBidi"/>
            <w:noProof/>
            <w:sz w:val="24"/>
            <w:szCs w:val="24"/>
          </w:rPr>
          <w:t>1</w:t>
        </w:r>
      </w:hyperlink>
      <w:r w:rsidR="00981DC7" w:rsidRPr="007D60B5">
        <w:rPr>
          <w:rFonts w:asciiTheme="majorBidi" w:hAnsiTheme="majorBidi" w:cstheme="majorBidi"/>
          <w:noProof/>
          <w:sz w:val="24"/>
          <w:szCs w:val="24"/>
        </w:rPr>
        <w:t>]</w:t>
      </w:r>
      <w:r w:rsidR="00981DC7" w:rsidRPr="007D60B5">
        <w:rPr>
          <w:rFonts w:asciiTheme="majorBidi" w:hAnsiTheme="majorBidi" w:cstheme="majorBidi"/>
          <w:sz w:val="24"/>
          <w:szCs w:val="24"/>
        </w:rPr>
        <w:fldChar w:fldCharType="end"/>
      </w:r>
      <w:r w:rsidRPr="007D60B5">
        <w:rPr>
          <w:rFonts w:asciiTheme="majorBidi" w:hAnsiTheme="majorBidi" w:cstheme="majorBidi"/>
          <w:sz w:val="24"/>
          <w:szCs w:val="24"/>
        </w:rPr>
        <w:t>.</w:t>
      </w:r>
    </w:p>
    <w:p w:rsidR="003960D3" w:rsidRPr="007D60B5" w:rsidRDefault="003960D3" w:rsidP="000F70DC">
      <w:pPr>
        <w:pStyle w:val="NoSpacing"/>
        <w:jc w:val="both"/>
        <w:rPr>
          <w:rFonts w:asciiTheme="majorBidi" w:hAnsiTheme="majorBidi" w:cstheme="majorBidi"/>
          <w:sz w:val="24"/>
          <w:szCs w:val="24"/>
        </w:rPr>
      </w:pPr>
    </w:p>
    <w:p w:rsidR="00CB20E9"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 xml:space="preserve">1.1.2. </w:t>
      </w:r>
      <w:r w:rsidR="00CB20E9" w:rsidRPr="007D60B5">
        <w:rPr>
          <w:rFonts w:asciiTheme="majorBidi" w:hAnsiTheme="majorBidi" w:cstheme="majorBidi"/>
          <w:b/>
          <w:bCs/>
          <w:sz w:val="24"/>
          <w:szCs w:val="24"/>
        </w:rPr>
        <w:t xml:space="preserve">Drug loading and encapsulation efficiency </w:t>
      </w:r>
    </w:p>
    <w:p w:rsidR="00CB20E9" w:rsidRPr="007D60B5" w:rsidRDefault="00334F17" w:rsidP="00981DC7">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To determine % EE, the centrifuged NS sediment (20 mg) was treated with 10 mL ethanol (95% v/v) under sonication, for 5 min, to dissolve the encapsulated drug(s). The solution was then filtered through a 0.22 µm membrane filter, diluted with ethanol (95% v/v) and analyzed using HPLC developed and validated method </w:t>
      </w:r>
      <w:r w:rsidRPr="007D60B5">
        <w:rPr>
          <w:rFonts w:asciiTheme="majorBidi" w:hAnsiTheme="majorBidi" w:cstheme="majorBidi"/>
          <w:sz w:val="24"/>
          <w:szCs w:val="24"/>
        </w:rPr>
        <w:fldChar w:fldCharType="begin"/>
      </w:r>
      <w:r w:rsidR="00981DC7" w:rsidRPr="007D60B5">
        <w:rPr>
          <w:rFonts w:asciiTheme="majorBidi" w:hAnsiTheme="majorBidi" w:cstheme="majorBidi"/>
          <w:sz w:val="24"/>
          <w:szCs w:val="24"/>
        </w:rPr>
        <w:instrText xml:space="preserve"> ADDIN EN.CITE &lt;EndNote&gt;&lt;Cite&gt;&lt;Author&gt;El-lakany&lt;/Author&gt;&lt;Year&gt;2016&lt;/Year&gt;&lt;RecNum&gt;1076&lt;/RecNum&gt;&lt;DisplayText&gt;[2]&lt;/DisplayText&gt;&lt;record&gt;&lt;rec-number&gt;1076&lt;/rec-number&gt;&lt;foreign-keys&gt;&lt;key app="EN" db-id="f055vd994xrvfee99stvw2v0sedst50xrdax" timestamp="1462026496"&gt;1076&lt;/key&gt;&lt;/foreign-keys&gt;&lt;ref-type name="Journal Article"&gt;17&lt;/ref-type&gt;&lt;contributors&gt;&lt;authors&gt;&lt;author&gt;SA El-lakany &lt;/author&gt;&lt;author&gt;AO Elzoghby &lt;/author&gt;&lt;author&gt;NA Elgindy &lt;/author&gt;&lt;author&gt;DA Hamdy &lt;/author&gt;&lt;/authors&gt;&lt;/contributors&gt;&lt;titles&gt;&lt;title&gt;HPLC Methods for Quantitation of Exemestane–Luteolin and Exemestane–Resveratrol Mixtures in Nanoformulations&lt;/title&gt;&lt;secondary-title&gt;J Chromatogr Sci&lt;/secondary-title&gt;&lt;/titles&gt;&lt;periodical&gt;&lt;full-title&gt;J Chromatogr Sci&lt;/full-title&gt;&lt;abbr-1&gt;Journal of chromatographic science&lt;/abbr-1&gt;&lt;/periodical&gt;&lt;pages&gt;ahead of print&lt;/pages&gt;&lt;dates&gt;&lt;year&gt;2016&lt;/year&gt;&lt;pub-dates&gt;&lt;date&gt;April 29, 2016&lt;/date&gt;&lt;/pub-dates&gt;&lt;/dates&gt;&lt;urls&gt;&lt;related-urls&gt;&lt;url&gt;http://chromsci.oxfordjournals.org/content/early/2016/04/28/chromsci.bmw063.abstract&lt;/url&gt;&lt;/related-urls&gt;&lt;/urls&gt;&lt;/record&gt;&lt;/Cite&gt;&lt;/EndNote&gt;</w:instrText>
      </w:r>
      <w:r w:rsidRPr="007D60B5">
        <w:rPr>
          <w:rFonts w:asciiTheme="majorBidi" w:hAnsiTheme="majorBidi" w:cstheme="majorBidi"/>
          <w:sz w:val="24"/>
          <w:szCs w:val="24"/>
        </w:rPr>
        <w:fldChar w:fldCharType="separate"/>
      </w:r>
      <w:r w:rsidR="00981DC7" w:rsidRPr="007D60B5">
        <w:rPr>
          <w:rFonts w:asciiTheme="majorBidi" w:hAnsiTheme="majorBidi" w:cstheme="majorBidi"/>
          <w:noProof/>
          <w:sz w:val="24"/>
          <w:szCs w:val="24"/>
        </w:rPr>
        <w:t>[</w:t>
      </w:r>
      <w:hyperlink w:anchor="_ENREF_2" w:tooltip="El-lakany, 2016 #1076" w:history="1">
        <w:r w:rsidR="00981DC7" w:rsidRPr="007D60B5">
          <w:rPr>
            <w:rFonts w:asciiTheme="majorBidi" w:hAnsiTheme="majorBidi" w:cstheme="majorBidi"/>
            <w:noProof/>
            <w:sz w:val="24"/>
            <w:szCs w:val="24"/>
          </w:rPr>
          <w:t>2</w:t>
        </w:r>
      </w:hyperlink>
      <w:r w:rsidR="00981DC7" w:rsidRPr="007D60B5">
        <w:rPr>
          <w:rFonts w:asciiTheme="majorBidi" w:hAnsiTheme="majorBidi" w:cstheme="majorBidi"/>
          <w:noProof/>
          <w:sz w:val="24"/>
          <w:szCs w:val="24"/>
        </w:rPr>
        <w:t>]</w:t>
      </w:r>
      <w:r w:rsidRPr="007D60B5">
        <w:rPr>
          <w:rFonts w:asciiTheme="majorBidi" w:hAnsiTheme="majorBidi" w:cstheme="majorBidi"/>
          <w:sz w:val="24"/>
          <w:szCs w:val="24"/>
        </w:rPr>
        <w:fldChar w:fldCharType="end"/>
      </w:r>
      <w:r w:rsidRPr="007D60B5">
        <w:rPr>
          <w:rFonts w:asciiTheme="majorBidi" w:hAnsiTheme="majorBidi" w:cstheme="majorBidi"/>
          <w:sz w:val="24"/>
          <w:szCs w:val="24"/>
        </w:rPr>
        <w:t xml:space="preserve">. </w:t>
      </w:r>
    </w:p>
    <w:p w:rsidR="00334F17" w:rsidRPr="007D60B5" w:rsidRDefault="00334F17"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An Agilent 1260 Infinity HPLC system equipped with a quaternary pump, an autosampler, Diode Array Detector DAD, and an Agilent Chemstation data processing system were used for the analysis. A gradient elution composed of the mobile phase; methanol: water (60:40 for 4 minutes then ramped linearly to 90:10, over 12 minutes) pumped at 1.5 mL/min for 4 min then turned to 1 mL/min till the end of run. EXM, LUT and Flutamide (Internal standard) were measured at 246 nm, 350 nm and 300 nm, respectively. The injection volume was 50 </w:t>
      </w:r>
      <w:r w:rsidRPr="007D60B5">
        <w:rPr>
          <w:rFonts w:ascii="Cambria Math" w:hAnsi="Cambria Math" w:cs="Cambria Math"/>
          <w:sz w:val="24"/>
          <w:szCs w:val="24"/>
        </w:rPr>
        <w:t>𝜇</w:t>
      </w:r>
      <w:r w:rsidRPr="007D60B5">
        <w:rPr>
          <w:rFonts w:asciiTheme="majorBidi" w:hAnsiTheme="majorBidi" w:cstheme="majorBidi"/>
          <w:sz w:val="24"/>
          <w:szCs w:val="24"/>
        </w:rPr>
        <w:t>L. The chromatographic separation of the mixture was accomplished using an Inertsil ODS-3 C</w:t>
      </w:r>
      <w:r w:rsidRPr="007D60B5">
        <w:rPr>
          <w:rFonts w:asciiTheme="majorBidi" w:hAnsiTheme="majorBidi" w:cstheme="majorBidi"/>
          <w:sz w:val="24"/>
          <w:szCs w:val="24"/>
          <w:vertAlign w:val="subscript"/>
        </w:rPr>
        <w:t>18</w:t>
      </w:r>
      <w:r w:rsidRPr="007D60B5">
        <w:rPr>
          <w:rFonts w:asciiTheme="majorBidi" w:hAnsiTheme="majorBidi" w:cstheme="majorBidi"/>
          <w:sz w:val="24"/>
          <w:szCs w:val="24"/>
        </w:rPr>
        <w:t xml:space="preserve"> reversed-phase column (250 X 4.6 mm, 5µm, GL Sciences, Torrance, USA) and maintained at 25±2 °C. </w:t>
      </w:r>
    </w:p>
    <w:p w:rsidR="00334F17" w:rsidRPr="007D60B5" w:rsidRDefault="00334F17"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The encapsulation efficiency for each formula was calculated using the following equations:</w:t>
      </w:r>
    </w:p>
    <w:p w:rsidR="00334F17" w:rsidRPr="007D60B5" w:rsidRDefault="003960D3" w:rsidP="000F70DC">
      <w:pPr>
        <w:pStyle w:val="NoSpacing"/>
        <w:jc w:val="both"/>
        <w:rPr>
          <w:rFonts w:asciiTheme="majorBidi" w:hAnsiTheme="majorBidi" w:cstheme="majorBidi"/>
          <w:sz w:val="24"/>
          <w:szCs w:val="24"/>
        </w:rPr>
      </w:pPr>
      <m:oMath>
        <m:r>
          <w:rPr>
            <w:rFonts w:ascii="Cambria Math" w:hAnsi="Cambria Math" w:cstheme="majorBidi"/>
            <w:sz w:val="24"/>
            <w:szCs w:val="24"/>
          </w:rPr>
          <m:t xml:space="preserve">                    % EE=</m:t>
        </m:r>
        <m:d>
          <m:dPr>
            <m:ctrlPr>
              <w:rPr>
                <w:rFonts w:ascii="Cambria Math" w:hAnsi="Cambria Math" w:cstheme="majorBidi"/>
                <w:i/>
                <w:sz w:val="24"/>
                <w:szCs w:val="24"/>
              </w:rPr>
            </m:ctrlPr>
          </m:dPr>
          <m:e>
            <m:f>
              <m:fPr>
                <m:ctrlPr>
                  <w:rPr>
                    <w:rFonts w:ascii="Cambria Math" w:hAnsi="Cambria Math" w:cstheme="majorBidi"/>
                    <w:sz w:val="24"/>
                    <w:szCs w:val="24"/>
                  </w:rPr>
                </m:ctrlPr>
              </m:fPr>
              <m:num>
                <m:r>
                  <m:rPr>
                    <m:sty m:val="p"/>
                  </m:rPr>
                  <w:rPr>
                    <w:rFonts w:ascii="Cambria Math" w:hAnsi="Cambria Math" w:cstheme="majorBidi"/>
                    <w:sz w:val="24"/>
                    <w:szCs w:val="24"/>
                  </w:rPr>
                  <m:t>Mass of drug entrapped in NS</m:t>
                </m:r>
              </m:num>
              <m:den>
                <m:r>
                  <m:rPr>
                    <m:sty m:val="p"/>
                  </m:rPr>
                  <w:rPr>
                    <w:rFonts w:ascii="Cambria Math" w:hAnsi="Cambria Math" w:cstheme="majorBidi"/>
                    <w:sz w:val="24"/>
                    <w:szCs w:val="24"/>
                  </w:rPr>
                  <m:t>Mass of drug initially used in formulation</m:t>
                </m:r>
              </m:den>
            </m:f>
            <m:ctrlPr>
              <w:rPr>
                <w:rFonts w:ascii="Cambria Math" w:hAnsi="Cambria Math" w:cstheme="majorBidi"/>
                <w:sz w:val="24"/>
                <w:szCs w:val="24"/>
              </w:rPr>
            </m:ctrlPr>
          </m:e>
        </m:d>
        <m:r>
          <m:rPr>
            <m:sty m:val="p"/>
          </m:rPr>
          <w:rPr>
            <w:rFonts w:ascii="Cambria Math" w:hAnsi="Cambria Math" w:cstheme="majorBidi"/>
            <w:sz w:val="24"/>
            <w:szCs w:val="24"/>
          </w:rPr>
          <m:t>x 100                   (Equation S1)</m:t>
        </m:r>
      </m:oMath>
      <w:r w:rsidR="00334F17" w:rsidRPr="007D60B5">
        <w:rPr>
          <w:rFonts w:asciiTheme="majorBidi" w:hAnsiTheme="majorBidi" w:cstheme="majorBidi"/>
          <w:sz w:val="24"/>
          <w:szCs w:val="24"/>
        </w:rPr>
        <w:tab/>
      </w:r>
    </w:p>
    <w:p w:rsidR="003960D3" w:rsidRPr="007D60B5" w:rsidRDefault="003960D3" w:rsidP="000F70DC">
      <w:pPr>
        <w:pStyle w:val="NoSpacing"/>
        <w:jc w:val="both"/>
        <w:rPr>
          <w:rFonts w:asciiTheme="majorBidi" w:hAnsiTheme="majorBidi" w:cstheme="majorBidi"/>
          <w:b/>
          <w:bCs/>
          <w:sz w:val="24"/>
          <w:szCs w:val="24"/>
        </w:rPr>
      </w:pPr>
    </w:p>
    <w:p w:rsidR="00334F17"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 xml:space="preserve">1.1.3. </w:t>
      </w:r>
      <w:r w:rsidR="00CB20E9" w:rsidRPr="007D60B5">
        <w:rPr>
          <w:rFonts w:asciiTheme="majorBidi" w:hAnsiTheme="majorBidi" w:cstheme="majorBidi"/>
          <w:b/>
          <w:bCs/>
          <w:i/>
          <w:iCs/>
          <w:sz w:val="24"/>
          <w:szCs w:val="24"/>
        </w:rPr>
        <w:t>In vitro</w:t>
      </w:r>
      <w:r w:rsidR="00CB20E9" w:rsidRPr="007D60B5">
        <w:rPr>
          <w:rFonts w:asciiTheme="majorBidi" w:hAnsiTheme="majorBidi" w:cstheme="majorBidi"/>
          <w:b/>
          <w:bCs/>
          <w:sz w:val="24"/>
          <w:szCs w:val="24"/>
        </w:rPr>
        <w:t xml:space="preserve"> drug release</w:t>
      </w:r>
    </w:p>
    <w:p w:rsidR="00334F17" w:rsidRPr="007D60B5" w:rsidRDefault="00334F17" w:rsidP="000F70DC">
      <w:pPr>
        <w:pStyle w:val="NoSpacing"/>
        <w:jc w:val="both"/>
        <w:rPr>
          <w:rFonts w:asciiTheme="majorBidi" w:hAnsiTheme="majorBidi" w:cstheme="majorBidi"/>
          <w:sz w:val="24"/>
          <w:szCs w:val="24"/>
        </w:rPr>
      </w:pPr>
      <w:bookmarkStart w:id="3" w:name="_Toc451861310"/>
      <w:r w:rsidRPr="007D60B5">
        <w:rPr>
          <w:rFonts w:asciiTheme="majorBidi" w:hAnsiTheme="majorBidi" w:cstheme="majorBidi"/>
          <w:sz w:val="24"/>
          <w:szCs w:val="24"/>
        </w:rPr>
        <w:t xml:space="preserve">The dialysis membrane method was used to investigate the </w:t>
      </w:r>
      <w:r w:rsidRPr="007D60B5">
        <w:rPr>
          <w:rFonts w:asciiTheme="majorBidi" w:hAnsiTheme="majorBidi" w:cstheme="majorBidi"/>
          <w:i/>
          <w:iCs/>
          <w:sz w:val="24"/>
          <w:szCs w:val="24"/>
        </w:rPr>
        <w:t>in-vitro</w:t>
      </w:r>
      <w:r w:rsidRPr="007D60B5">
        <w:rPr>
          <w:rFonts w:asciiTheme="majorBidi" w:hAnsiTheme="majorBidi" w:cstheme="majorBidi"/>
          <w:sz w:val="24"/>
          <w:szCs w:val="24"/>
        </w:rPr>
        <w:t xml:space="preserve"> release of drugs from the single or dual drug-loaded zein NS as compared to </w:t>
      </w:r>
      <w:r w:rsidRPr="007D60B5">
        <w:rPr>
          <w:rFonts w:asciiTheme="majorBidi" w:hAnsiTheme="majorBidi" w:cstheme="majorBidi"/>
          <w:i/>
          <w:iCs/>
          <w:sz w:val="24"/>
          <w:szCs w:val="24"/>
        </w:rPr>
        <w:t>in-vitro</w:t>
      </w:r>
      <w:r w:rsidRPr="007D60B5">
        <w:rPr>
          <w:rFonts w:asciiTheme="majorBidi" w:hAnsiTheme="majorBidi" w:cstheme="majorBidi"/>
          <w:sz w:val="24"/>
          <w:szCs w:val="24"/>
        </w:rPr>
        <w:t xml:space="preserve"> release of free drug solution. Different drug-loaded zein NS formulae (equivalent to 2 mg EXM) were placed in a cellulose ester dialysis bags (12–14 kDa MWCO VISKING dialysis tubing, SERVA, Germany). The bags were then suspended in a beaker and dialyzed against 200 mL phosphate buffer (pH 7.4) containing 0.5% w/v Sodium lauryl sulfate in accordance with the FDA-approved dissolution medium for EXM. The release process remained in sink condition at 37±0.5°C for 24 hr in a shaking water bath at 100 rpm. At designated time intervals, samples of 2 mL of the dialyzing medium were withdrawn and replaced with the same volume of release medium. All samples were filtered through a 0.22 µm membrane filter, and the released EXM and LUT were quantitively analyzed by HPLC.</w:t>
      </w:r>
    </w:p>
    <w:p w:rsidR="008421BA" w:rsidRPr="007D60B5" w:rsidRDefault="008421BA" w:rsidP="00981DC7">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For </w:t>
      </w:r>
      <w:r w:rsidR="0020167E" w:rsidRPr="007D60B5">
        <w:rPr>
          <w:rFonts w:asciiTheme="majorBidi" w:hAnsiTheme="majorBidi" w:cstheme="majorBidi"/>
          <w:sz w:val="24"/>
          <w:szCs w:val="24"/>
        </w:rPr>
        <w:t>analyzing</w:t>
      </w:r>
      <w:r w:rsidRPr="007D60B5">
        <w:rPr>
          <w:rFonts w:asciiTheme="majorBidi" w:hAnsiTheme="majorBidi" w:cstheme="majorBidi"/>
          <w:sz w:val="24"/>
          <w:szCs w:val="24"/>
        </w:rPr>
        <w:t xml:space="preserve"> the kinetics modelling of </w:t>
      </w:r>
      <w:r w:rsidR="00F21C40" w:rsidRPr="007D60B5">
        <w:rPr>
          <w:rFonts w:asciiTheme="majorBidi" w:hAnsiTheme="majorBidi" w:cstheme="majorBidi"/>
          <w:sz w:val="24"/>
          <w:szCs w:val="24"/>
        </w:rPr>
        <w:t>EXM</w:t>
      </w:r>
      <w:r w:rsidRPr="007D60B5">
        <w:rPr>
          <w:rFonts w:asciiTheme="majorBidi" w:hAnsiTheme="majorBidi" w:cstheme="majorBidi"/>
          <w:sz w:val="24"/>
          <w:szCs w:val="24"/>
        </w:rPr>
        <w:t xml:space="preserve"> release from the developed optimized NS, the obtained release profiles were fitted into zero-order, first order and Higuchi equations. The model with the highest calculated correlation coefficients was considered as the best fitting model. To understand the release mechanism, the release data were subjected to the kinetic analysis using Korsmeyer–Peppas model correlating drug release to time by the simple exponential equation for the fraction of drug release</w:t>
      </w:r>
      <w:r w:rsidR="00A366E1" w:rsidRPr="007D60B5">
        <w:rPr>
          <w:rFonts w:asciiTheme="majorBidi" w:hAnsiTheme="majorBidi" w:cstheme="majorBidi"/>
          <w:sz w:val="24"/>
          <w:szCs w:val="24"/>
        </w:rPr>
        <w:t xml:space="preserve"> </w:t>
      </w:r>
      <w:r w:rsidR="00A366E1" w:rsidRPr="007D60B5">
        <w:rPr>
          <w:rFonts w:asciiTheme="majorBidi" w:hAnsiTheme="majorBidi" w:cstheme="majorBidi"/>
          <w:sz w:val="24"/>
          <w:szCs w:val="24"/>
        </w:rPr>
        <w:fldChar w:fldCharType="begin"/>
      </w:r>
      <w:r w:rsidR="00981DC7" w:rsidRPr="007D60B5">
        <w:rPr>
          <w:rFonts w:asciiTheme="majorBidi" w:hAnsiTheme="majorBidi" w:cstheme="majorBidi"/>
          <w:sz w:val="24"/>
          <w:szCs w:val="24"/>
        </w:rPr>
        <w:instrText xml:space="preserve"> ADDIN EN.CITE &lt;EndNote&gt;&lt;Cite&gt;&lt;Author&gt;Dash&lt;/Author&gt;&lt;Year&gt;2010&lt;/Year&gt;&lt;RecNum&gt;1191&lt;/RecNum&gt;&lt;DisplayText&gt;[3]&lt;/DisplayText&gt;&lt;record&gt;&lt;rec-number&gt;1191&lt;/rec-number&gt;&lt;foreign-keys&gt;&lt;key app="EN" db-id="f055vd994xrvfee99stvw2v0sedst50xrdax" timestamp="1528461624"&gt;1191&lt;/key&gt;&lt;/foreign-keys&gt;&lt;ref-type name="Journal Article"&gt;17&lt;/ref-type&gt;&lt;contributors&gt;&lt;authors&gt;&lt;author&gt;Dash, S.&lt;/author&gt;&lt;author&gt;Murthy, P. N.&lt;/author&gt;&lt;author&gt;Nath, L.&lt;/author&gt;&lt;author&gt;Chowdhury, P.&lt;/author&gt;&lt;/authors&gt;&lt;/contributors&gt;&lt;auth-address&gt;Girijananda Chowdhury Institute of Pharmaceutical Science, Azara, Hathkhowapara, NH-37, Guwahati, Assam 781 017, India. sdash777@sify.com&lt;/auth-address&gt;&lt;titles&gt;&lt;title&gt;Kinetic modeling on drug release from controlled drug delivery systems&lt;/title&gt;&lt;secondary-title&gt;Acta Pol Pharm&lt;/secondary-title&gt;&lt;alt-title&gt;Acta poloniae pharmaceutica&lt;/alt-title&gt;&lt;/titles&gt;&lt;periodical&gt;&lt;full-title&gt;Acta Pol Pharm&lt;/full-title&gt;&lt;abbr-1&gt;Acta poloniae pharmaceutica&lt;/abbr-1&gt;&lt;/periodical&gt;&lt;alt-periodical&gt;&lt;full-title&gt;Acta Pol Pharm&lt;/full-title&gt;&lt;abbr-1&gt;Acta poloniae pharmaceutica&lt;/abbr-1&gt;&lt;/alt-periodical&gt;&lt;pages&gt;217-23&lt;/pages&gt;&lt;volume&gt;67&lt;/volume&gt;&lt;number&gt;3&lt;/number&gt;&lt;edition&gt;2010/06/09&lt;/edition&gt;&lt;keywords&gt;&lt;keyword&gt;Chemistry, Pharmaceutical&lt;/keyword&gt;&lt;keyword&gt;*Delayed-Action Preparations&lt;/keyword&gt;&lt;keyword&gt;Drug Design&lt;/keyword&gt;&lt;keyword&gt;Kinetics&lt;/keyword&gt;&lt;keyword&gt;*Models, Chemical&lt;/keyword&gt;&lt;keyword&gt;*Models, Statistical&lt;/keyword&gt;&lt;keyword&gt;Reproducibility of Results&lt;/keyword&gt;&lt;keyword&gt;Solubility&lt;/keyword&gt;&lt;keyword&gt;Technology, Pharmaceutical/*methods/statistics &amp;amp; numerical data&lt;/keyword&gt;&lt;/keywords&gt;&lt;dates&gt;&lt;year&gt;2010&lt;/year&gt;&lt;pub-dates&gt;&lt;date&gt;May-Jun&lt;/date&gt;&lt;/pub-dates&gt;&lt;/dates&gt;&lt;isbn&gt;0001-6837 (Print)&amp;#xD;0001-6837&lt;/isbn&gt;&lt;accession-num&gt;20524422&lt;/accession-num&gt;&lt;urls&gt;&lt;/urls&gt;&lt;remote-database-provider&gt;Nlm&lt;/remote-database-provider&gt;&lt;language&gt;eng&lt;/language&gt;&lt;/record&gt;&lt;/Cite&gt;&lt;/EndNote&gt;</w:instrText>
      </w:r>
      <w:r w:rsidR="00A366E1" w:rsidRPr="007D60B5">
        <w:rPr>
          <w:rFonts w:asciiTheme="majorBidi" w:hAnsiTheme="majorBidi" w:cstheme="majorBidi"/>
          <w:sz w:val="24"/>
          <w:szCs w:val="24"/>
        </w:rPr>
        <w:fldChar w:fldCharType="separate"/>
      </w:r>
      <w:r w:rsidR="00981DC7" w:rsidRPr="007D60B5">
        <w:rPr>
          <w:rFonts w:asciiTheme="majorBidi" w:hAnsiTheme="majorBidi" w:cstheme="majorBidi"/>
          <w:noProof/>
          <w:sz w:val="24"/>
          <w:szCs w:val="24"/>
        </w:rPr>
        <w:t>[</w:t>
      </w:r>
      <w:hyperlink w:anchor="_ENREF_3" w:tooltip="Dash, 2010 #1191" w:history="1">
        <w:r w:rsidR="00981DC7" w:rsidRPr="007D60B5">
          <w:rPr>
            <w:rFonts w:asciiTheme="majorBidi" w:hAnsiTheme="majorBidi" w:cstheme="majorBidi"/>
            <w:noProof/>
            <w:sz w:val="24"/>
            <w:szCs w:val="24"/>
          </w:rPr>
          <w:t>3</w:t>
        </w:r>
      </w:hyperlink>
      <w:r w:rsidR="00981DC7" w:rsidRPr="007D60B5">
        <w:rPr>
          <w:rFonts w:asciiTheme="majorBidi" w:hAnsiTheme="majorBidi" w:cstheme="majorBidi"/>
          <w:noProof/>
          <w:sz w:val="24"/>
          <w:szCs w:val="24"/>
        </w:rPr>
        <w:t>]</w:t>
      </w:r>
      <w:r w:rsidR="00A366E1" w:rsidRPr="007D60B5">
        <w:rPr>
          <w:rFonts w:asciiTheme="majorBidi" w:hAnsiTheme="majorBidi" w:cstheme="majorBidi"/>
          <w:sz w:val="24"/>
          <w:szCs w:val="24"/>
        </w:rPr>
        <w:fldChar w:fldCharType="end"/>
      </w:r>
      <w:r w:rsidRPr="007D60B5">
        <w:rPr>
          <w:rFonts w:asciiTheme="majorBidi" w:hAnsiTheme="majorBidi" w:cstheme="majorBidi"/>
          <w:sz w:val="24"/>
          <w:szCs w:val="24"/>
        </w:rPr>
        <w:t>.</w:t>
      </w:r>
    </w:p>
    <w:p w:rsidR="00F21C40" w:rsidRPr="007D60B5" w:rsidRDefault="002D31BD" w:rsidP="008421BA">
      <w:pPr>
        <w:pStyle w:val="NoSpacing"/>
        <w:jc w:val="both"/>
        <w:rPr>
          <w:rFonts w:asciiTheme="majorBidi" w:hAnsiTheme="majorBidi" w:cstheme="majorBidi"/>
          <w:i/>
          <w:sz w:val="24"/>
          <w:szCs w:val="24"/>
        </w:rPr>
      </w:pPr>
      <w:r w:rsidRPr="007D60B5">
        <w:rPr>
          <w:rFonts w:asciiTheme="majorBidi" w:hAnsiTheme="majorBidi" w:cstheme="majorBidi"/>
          <w:i/>
          <w:sz w:val="24"/>
          <w:szCs w:val="24"/>
        </w:rPr>
        <w:lastRenderedPageBreak/>
        <w:t xml:space="preserve">            </w:t>
      </w:r>
      <w:r w:rsidR="00F21C40" w:rsidRPr="007D60B5">
        <w:rPr>
          <w:rFonts w:asciiTheme="majorBidi" w:hAnsiTheme="majorBidi" w:cstheme="majorBidi"/>
          <w:i/>
          <w:sz w:val="24"/>
          <w:szCs w:val="24"/>
        </w:rPr>
        <w:t xml:space="preserve">Mt /M∞= Ktn   </w:t>
      </w:r>
      <w:r w:rsidR="000802AC" w:rsidRPr="007D60B5">
        <w:rPr>
          <w:rFonts w:asciiTheme="majorBidi" w:hAnsiTheme="majorBidi" w:cstheme="majorBidi"/>
          <w:i/>
          <w:sz w:val="24"/>
          <w:szCs w:val="24"/>
        </w:rPr>
        <w:t xml:space="preserve">                                                                      </w:t>
      </w:r>
      <w:r w:rsidR="00981DC7" w:rsidRPr="007D60B5">
        <w:rPr>
          <w:rFonts w:asciiTheme="majorBidi" w:hAnsiTheme="majorBidi" w:cstheme="majorBidi"/>
          <w:i/>
          <w:sz w:val="24"/>
          <w:szCs w:val="24"/>
        </w:rPr>
        <w:t xml:space="preserve">               </w:t>
      </w:r>
      <w:r w:rsidR="00627881" w:rsidRPr="007D60B5">
        <w:rPr>
          <w:rFonts w:asciiTheme="majorBidi" w:hAnsiTheme="majorBidi" w:cstheme="majorBidi"/>
          <w:i/>
          <w:sz w:val="24"/>
          <w:szCs w:val="24"/>
        </w:rPr>
        <w:t xml:space="preserve">             </w:t>
      </w:r>
      <w:r w:rsidR="00F21C40" w:rsidRPr="007D60B5">
        <w:rPr>
          <w:rFonts w:asciiTheme="majorBidi" w:hAnsiTheme="majorBidi" w:cstheme="majorBidi"/>
          <w:i/>
          <w:sz w:val="24"/>
          <w:szCs w:val="24"/>
        </w:rPr>
        <w:t>(</w:t>
      </w:r>
      <w:r w:rsidR="00766CF7" w:rsidRPr="007D60B5">
        <w:rPr>
          <w:rFonts w:asciiTheme="majorBidi" w:hAnsiTheme="majorBidi" w:cstheme="majorBidi"/>
          <w:i/>
          <w:sz w:val="24"/>
          <w:szCs w:val="24"/>
        </w:rPr>
        <w:t>Equation</w:t>
      </w:r>
      <w:r w:rsidR="00F21C40" w:rsidRPr="007D60B5">
        <w:rPr>
          <w:rFonts w:asciiTheme="majorBidi" w:hAnsiTheme="majorBidi" w:cstheme="majorBidi"/>
          <w:i/>
          <w:sz w:val="24"/>
          <w:szCs w:val="24"/>
        </w:rPr>
        <w:t xml:space="preserve"> S2)</w:t>
      </w:r>
    </w:p>
    <w:p w:rsidR="00F21C40" w:rsidRPr="007D60B5" w:rsidRDefault="00F21C40" w:rsidP="008421BA">
      <w:pPr>
        <w:pStyle w:val="NoSpacing"/>
        <w:jc w:val="both"/>
        <w:rPr>
          <w:rFonts w:asciiTheme="majorBidi" w:hAnsiTheme="majorBidi" w:cstheme="majorBidi"/>
          <w:sz w:val="24"/>
          <w:szCs w:val="24"/>
        </w:rPr>
      </w:pPr>
    </w:p>
    <w:p w:rsidR="003960D3" w:rsidRPr="007D60B5" w:rsidRDefault="008421BA" w:rsidP="008421BA">
      <w:pPr>
        <w:pStyle w:val="NoSpacing"/>
        <w:jc w:val="both"/>
        <w:rPr>
          <w:rFonts w:asciiTheme="majorBidi" w:hAnsiTheme="majorBidi" w:cstheme="majorBidi"/>
          <w:sz w:val="24"/>
          <w:szCs w:val="24"/>
        </w:rPr>
      </w:pPr>
      <w:r w:rsidRPr="007D60B5">
        <w:rPr>
          <w:rFonts w:asciiTheme="majorBidi" w:hAnsiTheme="majorBidi" w:cstheme="majorBidi"/>
          <w:sz w:val="24"/>
          <w:szCs w:val="24"/>
        </w:rPr>
        <w:t>Where Mt /M</w:t>
      </w:r>
      <w:r w:rsidRPr="007D60B5">
        <w:rPr>
          <w:rFonts w:asciiTheme="majorBidi" w:hAnsiTheme="majorBidi" w:cstheme="majorBidi"/>
          <w:sz w:val="24"/>
          <w:szCs w:val="24"/>
          <w:vertAlign w:val="superscript"/>
        </w:rPr>
        <w:t>∞</w:t>
      </w:r>
      <w:r w:rsidRPr="007D60B5">
        <w:rPr>
          <w:rFonts w:asciiTheme="majorBidi" w:hAnsiTheme="majorBidi" w:cstheme="majorBidi"/>
          <w:sz w:val="24"/>
          <w:szCs w:val="24"/>
        </w:rPr>
        <w:t xml:space="preserve"> is the proportion of drug released at time t, k is the kinetic constant and the release exponent n has been proposed as indicative of the drug release mechanism. All measurements were carried out in triplicates and values expressed as mean ± S.D.</w:t>
      </w:r>
    </w:p>
    <w:p w:rsidR="00334F17"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1</w:t>
      </w:r>
      <w:r w:rsidR="00334F17" w:rsidRPr="007D60B5">
        <w:rPr>
          <w:rFonts w:asciiTheme="majorBidi" w:hAnsiTheme="majorBidi" w:cstheme="majorBidi"/>
          <w:b/>
          <w:bCs/>
          <w:sz w:val="24"/>
          <w:szCs w:val="24"/>
        </w:rPr>
        <w:t>.</w:t>
      </w:r>
      <w:r w:rsidRPr="007D60B5">
        <w:rPr>
          <w:rFonts w:asciiTheme="majorBidi" w:hAnsiTheme="majorBidi" w:cstheme="majorBidi"/>
          <w:b/>
          <w:bCs/>
          <w:sz w:val="24"/>
          <w:szCs w:val="24"/>
        </w:rPr>
        <w:t>2</w:t>
      </w:r>
      <w:r w:rsidR="00334F17" w:rsidRPr="007D60B5">
        <w:rPr>
          <w:rFonts w:asciiTheme="majorBidi" w:hAnsiTheme="majorBidi" w:cstheme="majorBidi"/>
          <w:b/>
          <w:bCs/>
          <w:sz w:val="24"/>
          <w:szCs w:val="24"/>
        </w:rPr>
        <w:t>. Morphological analysis (TEM)</w:t>
      </w:r>
      <w:bookmarkEnd w:id="3"/>
    </w:p>
    <w:p w:rsidR="00334F17" w:rsidRPr="007D60B5" w:rsidRDefault="00334F17"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One drop of dilute sample was placed on a copper grid and subsequently stained with uranyl acetate solution (1%w/v) for 30 seconds. The excess solution was drawn off with a filter paper and then sample was air-dried. The surface morphology of the NS was inspected and photographed using transmission electron microscopy (Instrument JFC-1100E JEOL, Japan).</w:t>
      </w:r>
    </w:p>
    <w:p w:rsidR="00334F17" w:rsidRPr="007D60B5" w:rsidRDefault="004172D7" w:rsidP="000F70DC">
      <w:pPr>
        <w:pStyle w:val="NoSpacing"/>
        <w:jc w:val="both"/>
        <w:rPr>
          <w:rFonts w:asciiTheme="majorBidi" w:hAnsiTheme="majorBidi" w:cstheme="majorBidi"/>
          <w:b/>
          <w:bCs/>
          <w:sz w:val="24"/>
          <w:szCs w:val="24"/>
        </w:rPr>
      </w:pPr>
      <w:bookmarkStart w:id="4" w:name="_Toc451861315"/>
      <w:r w:rsidRPr="007D60B5">
        <w:rPr>
          <w:rFonts w:asciiTheme="majorBidi" w:hAnsiTheme="majorBidi" w:cstheme="majorBidi"/>
          <w:b/>
          <w:bCs/>
          <w:sz w:val="24"/>
          <w:szCs w:val="24"/>
        </w:rPr>
        <w:t>1</w:t>
      </w:r>
      <w:r w:rsidR="00334F17" w:rsidRPr="007D60B5">
        <w:rPr>
          <w:rFonts w:asciiTheme="majorBidi" w:hAnsiTheme="majorBidi" w:cstheme="majorBidi"/>
          <w:b/>
          <w:bCs/>
          <w:sz w:val="24"/>
          <w:szCs w:val="24"/>
        </w:rPr>
        <w:t>.</w:t>
      </w:r>
      <w:r w:rsidRPr="007D60B5">
        <w:rPr>
          <w:rFonts w:asciiTheme="majorBidi" w:hAnsiTheme="majorBidi" w:cstheme="majorBidi"/>
          <w:b/>
          <w:bCs/>
          <w:sz w:val="24"/>
          <w:szCs w:val="24"/>
        </w:rPr>
        <w:t>3</w:t>
      </w:r>
      <w:r w:rsidR="00334F17" w:rsidRPr="007D60B5">
        <w:rPr>
          <w:rFonts w:asciiTheme="majorBidi" w:hAnsiTheme="majorBidi" w:cstheme="majorBidi"/>
          <w:b/>
          <w:bCs/>
          <w:sz w:val="24"/>
          <w:szCs w:val="24"/>
        </w:rPr>
        <w:t>. Physical Stability</w:t>
      </w:r>
      <w:bookmarkEnd w:id="4"/>
    </w:p>
    <w:p w:rsidR="00334F17" w:rsidRPr="007D60B5" w:rsidRDefault="00334F17"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The physical stability, of the three optimized formulae</w:t>
      </w:r>
      <w:r w:rsidRPr="007D60B5">
        <w:rPr>
          <w:rFonts w:asciiTheme="majorBidi" w:hAnsiTheme="majorBidi" w:cstheme="majorBidi"/>
          <w:color w:val="FF0000"/>
          <w:sz w:val="24"/>
          <w:szCs w:val="24"/>
        </w:rPr>
        <w:t xml:space="preserve"> </w:t>
      </w:r>
      <w:r w:rsidRPr="007D60B5">
        <w:rPr>
          <w:rFonts w:asciiTheme="majorBidi" w:hAnsiTheme="majorBidi" w:cstheme="majorBidi"/>
          <w:sz w:val="24"/>
          <w:szCs w:val="24"/>
        </w:rPr>
        <w:t>(M2, L3</w:t>
      </w:r>
      <w:r w:rsidRPr="007D60B5">
        <w:rPr>
          <w:rFonts w:asciiTheme="majorBidi" w:hAnsiTheme="majorBidi" w:cstheme="majorBidi"/>
          <w:color w:val="FF0000"/>
          <w:sz w:val="24"/>
          <w:szCs w:val="24"/>
        </w:rPr>
        <w:t xml:space="preserve"> </w:t>
      </w:r>
      <w:r w:rsidRPr="007D60B5">
        <w:rPr>
          <w:rFonts w:asciiTheme="majorBidi" w:hAnsiTheme="majorBidi" w:cstheme="majorBidi"/>
          <w:sz w:val="24"/>
          <w:szCs w:val="24"/>
        </w:rPr>
        <w:t>and P2), was monitored according to terms of time and temperature of storage. Therefore, aliquots of non-diluted dual drug-loaded zein NS were stored in sealed tubes in a refrigerator at 4±1 °C. PS, PDI and ZP of the three formulae were monitored at different time points for a period of 3 months.</w:t>
      </w:r>
    </w:p>
    <w:p w:rsidR="003960D3" w:rsidRPr="007D60B5" w:rsidRDefault="003960D3" w:rsidP="000F70DC">
      <w:pPr>
        <w:pStyle w:val="NoSpacing"/>
        <w:jc w:val="both"/>
        <w:rPr>
          <w:rFonts w:asciiTheme="majorBidi" w:hAnsiTheme="majorBidi" w:cstheme="majorBidi"/>
          <w:b/>
          <w:bCs/>
          <w:sz w:val="24"/>
          <w:szCs w:val="24"/>
        </w:rPr>
      </w:pPr>
      <w:bookmarkStart w:id="5" w:name="_Toc451861318"/>
    </w:p>
    <w:p w:rsidR="00CB20E9"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 xml:space="preserve">1.4. </w:t>
      </w:r>
      <w:r w:rsidR="00CB20E9" w:rsidRPr="007D60B5">
        <w:rPr>
          <w:rFonts w:asciiTheme="majorBidi" w:hAnsiTheme="majorBidi" w:cstheme="majorBidi"/>
          <w:b/>
          <w:bCs/>
          <w:sz w:val="24"/>
          <w:szCs w:val="24"/>
        </w:rPr>
        <w:t>Solid state characterization</w:t>
      </w:r>
    </w:p>
    <w:p w:rsidR="00CB20E9"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 xml:space="preserve">1.4.1. </w:t>
      </w:r>
      <w:r w:rsidR="00CB20E9" w:rsidRPr="007D60B5">
        <w:rPr>
          <w:rFonts w:asciiTheme="majorBidi" w:hAnsiTheme="majorBidi" w:cstheme="majorBidi"/>
          <w:b/>
          <w:bCs/>
          <w:sz w:val="24"/>
          <w:szCs w:val="24"/>
        </w:rPr>
        <w:t>FTIR Spectroscopy</w:t>
      </w:r>
    </w:p>
    <w:p w:rsidR="00CB20E9" w:rsidRPr="007D60B5" w:rsidRDefault="00CB20E9" w:rsidP="00981DC7">
      <w:pPr>
        <w:pStyle w:val="NoSpacing"/>
        <w:jc w:val="both"/>
        <w:rPr>
          <w:rFonts w:asciiTheme="majorBidi" w:hAnsiTheme="majorBidi" w:cstheme="majorBidi"/>
          <w:sz w:val="24"/>
          <w:szCs w:val="24"/>
        </w:rPr>
      </w:pPr>
      <w:r w:rsidRPr="007D60B5">
        <w:rPr>
          <w:rFonts w:asciiTheme="majorBidi" w:hAnsiTheme="majorBidi" w:cstheme="majorBidi"/>
          <w:sz w:val="24"/>
          <w:szCs w:val="24"/>
        </w:rPr>
        <w:t>The FTIR spectra of pure drugs and drug-loaded nanocarriers were obtained via FTIR spectrometer (spectrum RXI, Perkin Elmer, USA). Samples were finely ground with infra-red grade dry potassium bromide then pressed into pellets. The spectra were recorded in the transmission range of 4000 to 450 cm</w:t>
      </w:r>
      <w:r w:rsidRPr="007D60B5">
        <w:rPr>
          <w:rFonts w:asciiTheme="majorBidi" w:hAnsiTheme="majorBidi" w:cstheme="majorBidi"/>
          <w:sz w:val="24"/>
          <w:szCs w:val="24"/>
          <w:vertAlign w:val="superscript"/>
        </w:rPr>
        <w:t>-1</w:t>
      </w:r>
      <w:r w:rsidRPr="007D60B5">
        <w:rPr>
          <w:rFonts w:asciiTheme="majorBidi" w:hAnsiTheme="majorBidi" w:cstheme="majorBidi"/>
          <w:sz w:val="24"/>
          <w:szCs w:val="24"/>
        </w:rPr>
        <w:t xml:space="preserve"> at room temperature</w:t>
      </w:r>
      <w:r w:rsidRPr="007D60B5">
        <w:rPr>
          <w:rFonts w:asciiTheme="majorBidi" w:hAnsiTheme="majorBidi" w:cstheme="majorBidi"/>
          <w:sz w:val="24"/>
          <w:szCs w:val="24"/>
        </w:rPr>
        <w:fldChar w:fldCharType="begin"/>
      </w:r>
      <w:r w:rsidR="00981DC7" w:rsidRPr="007D60B5">
        <w:rPr>
          <w:rFonts w:asciiTheme="majorBidi" w:hAnsiTheme="majorBidi" w:cstheme="majorBidi"/>
          <w:sz w:val="24"/>
          <w:szCs w:val="24"/>
        </w:rPr>
        <w:instrText xml:space="preserve"> ADDIN EN.CITE &lt;EndNote&gt;&lt;Cite&gt;&lt;Author&gt;Elgindy&lt;/Author&gt;&lt;Year&gt;2011&lt;/Year&gt;&lt;RecNum&gt;365&lt;/RecNum&gt;&lt;DisplayText&gt;[4]&lt;/DisplayText&gt;&lt;record&gt;&lt;rec-number&gt;365&lt;/rec-number&gt;&lt;foreign-keys&gt;&lt;key app="EN" db-id="ddwesee0ar9ra9eef25xt95p59vap5tpr22f"&gt;365&lt;/key&gt;&lt;/foreign-keys&gt;&lt;ref-type name="Journal Article"&gt;17&lt;/ref-type&gt;&lt;contributors&gt;&lt;authors&gt;&lt;author&gt;Elgindy, Nazik&lt;/author&gt;&lt;author&gt;Elkhodairy, Kadria&lt;/author&gt;&lt;author&gt;Molokhia, Abdallah&lt;/author&gt;&lt;author&gt;Elzoghby, Ahmed&lt;/author&gt;&lt;/authors&gt;&lt;/contributors&gt;&lt;titles&gt;&lt;title&gt;Biopolymeric microparticles combined with lyophilized monophase dispersions for controlled flutamide release&lt;/title&gt;&lt;secondary-title&gt;International journal of pharmaceutics&lt;/secondary-title&gt;&lt;/titles&gt;&lt;periodical&gt;&lt;full-title&gt;International journal of pharmaceutics&lt;/full-title&gt;&lt;/periodical&gt;&lt;pages&gt;113-120&lt;/pages&gt;&lt;volume&gt;411&lt;/volume&gt;&lt;number&gt;1&lt;/number&gt;&lt;dates&gt;&lt;year&gt;2011&lt;/year&gt;&lt;/dates&gt;&lt;isbn&gt;0378-5173&lt;/isbn&gt;&lt;urls&gt;&lt;/urls&gt;&lt;/record&gt;&lt;/Cite&gt;&lt;/EndNote&gt;</w:instrText>
      </w:r>
      <w:r w:rsidRPr="007D60B5">
        <w:rPr>
          <w:rFonts w:asciiTheme="majorBidi" w:hAnsiTheme="majorBidi" w:cstheme="majorBidi"/>
          <w:sz w:val="24"/>
          <w:szCs w:val="24"/>
        </w:rPr>
        <w:fldChar w:fldCharType="separate"/>
      </w:r>
      <w:r w:rsidR="00981DC7" w:rsidRPr="007D60B5">
        <w:rPr>
          <w:rFonts w:asciiTheme="majorBidi" w:hAnsiTheme="majorBidi" w:cstheme="majorBidi"/>
          <w:noProof/>
          <w:sz w:val="24"/>
          <w:szCs w:val="24"/>
        </w:rPr>
        <w:t>[</w:t>
      </w:r>
      <w:hyperlink w:anchor="_ENREF_4" w:tooltip="Elgindy, 2011 #365" w:history="1">
        <w:r w:rsidR="00981DC7" w:rsidRPr="007D60B5">
          <w:rPr>
            <w:rFonts w:asciiTheme="majorBidi" w:hAnsiTheme="majorBidi" w:cstheme="majorBidi"/>
            <w:noProof/>
            <w:sz w:val="24"/>
            <w:szCs w:val="24"/>
          </w:rPr>
          <w:t>4</w:t>
        </w:r>
      </w:hyperlink>
      <w:r w:rsidR="00981DC7" w:rsidRPr="007D60B5">
        <w:rPr>
          <w:rFonts w:asciiTheme="majorBidi" w:hAnsiTheme="majorBidi" w:cstheme="majorBidi"/>
          <w:noProof/>
          <w:sz w:val="24"/>
          <w:szCs w:val="24"/>
        </w:rPr>
        <w:t>]</w:t>
      </w:r>
      <w:r w:rsidRPr="007D60B5">
        <w:rPr>
          <w:rFonts w:asciiTheme="majorBidi" w:hAnsiTheme="majorBidi" w:cstheme="majorBidi"/>
          <w:sz w:val="24"/>
          <w:szCs w:val="24"/>
        </w:rPr>
        <w:fldChar w:fldCharType="end"/>
      </w:r>
      <w:r w:rsidRPr="007D60B5">
        <w:rPr>
          <w:rFonts w:asciiTheme="majorBidi" w:hAnsiTheme="majorBidi" w:cstheme="majorBidi"/>
          <w:sz w:val="24"/>
          <w:szCs w:val="24"/>
        </w:rPr>
        <w:t>.</w:t>
      </w:r>
    </w:p>
    <w:p w:rsidR="00CB20E9"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 xml:space="preserve">1.4.2. </w:t>
      </w:r>
      <w:r w:rsidR="00CB20E9" w:rsidRPr="007D60B5">
        <w:rPr>
          <w:rFonts w:asciiTheme="majorBidi" w:hAnsiTheme="majorBidi" w:cstheme="majorBidi"/>
          <w:b/>
          <w:bCs/>
          <w:sz w:val="24"/>
          <w:szCs w:val="24"/>
        </w:rPr>
        <w:t>DSC Thermograms</w:t>
      </w:r>
    </w:p>
    <w:p w:rsidR="00CB20E9" w:rsidRPr="007D60B5" w:rsidRDefault="00CB20E9" w:rsidP="00981DC7">
      <w:pPr>
        <w:pStyle w:val="NoSpacing"/>
        <w:jc w:val="both"/>
        <w:rPr>
          <w:rFonts w:asciiTheme="majorBidi" w:hAnsiTheme="majorBidi" w:cstheme="majorBidi"/>
          <w:sz w:val="24"/>
          <w:szCs w:val="24"/>
        </w:rPr>
      </w:pPr>
      <w:r w:rsidRPr="007D60B5">
        <w:rPr>
          <w:rFonts w:asciiTheme="majorBidi" w:hAnsiTheme="majorBidi" w:cstheme="majorBidi"/>
          <w:sz w:val="24"/>
          <w:szCs w:val="24"/>
        </w:rPr>
        <w:t>DSC thermograms were recorded for free drugs and drug-loaded nanocarriers using a DSC 6 differential scanning calorimeter (</w:t>
      </w:r>
      <w:r w:rsidRPr="007D60B5">
        <w:rPr>
          <w:rFonts w:asciiTheme="majorBidi" w:eastAsia="TimesNewRoman" w:hAnsiTheme="majorBidi" w:cstheme="majorBidi"/>
          <w:sz w:val="24"/>
          <w:szCs w:val="24"/>
        </w:rPr>
        <w:t>Perkin Elmer, USA)</w:t>
      </w:r>
      <w:r w:rsidRPr="007D60B5">
        <w:rPr>
          <w:rFonts w:asciiTheme="majorBidi" w:hAnsiTheme="majorBidi" w:cstheme="majorBidi"/>
          <w:sz w:val="24"/>
          <w:szCs w:val="24"/>
        </w:rPr>
        <w:t>. Each sample (5 mg) was weighed precisely, placed onto flat-bottomed aluminum pan and scanned between 50-400°C with a constant heating rate of 10°C/min in presence of nitrogen atmosphere (flow rate 20 ml/min)</w:t>
      </w:r>
      <w:r w:rsidRPr="007D60B5">
        <w:rPr>
          <w:rFonts w:asciiTheme="majorBidi" w:hAnsiTheme="majorBidi" w:cstheme="majorBidi"/>
          <w:sz w:val="24"/>
          <w:szCs w:val="24"/>
        </w:rPr>
        <w:fldChar w:fldCharType="begin"/>
      </w:r>
      <w:r w:rsidR="00981DC7" w:rsidRPr="007D60B5">
        <w:rPr>
          <w:rFonts w:asciiTheme="majorBidi" w:hAnsiTheme="majorBidi" w:cstheme="majorBidi"/>
          <w:sz w:val="24"/>
          <w:szCs w:val="24"/>
        </w:rPr>
        <w:instrText xml:space="preserve"> ADDIN EN.CITE &lt;EndNote&gt;&lt;Cite&gt;&lt;Author&gt;Elzoghby&lt;/Author&gt;&lt;Year&gt;2015&lt;/Year&gt;&lt;RecNum&gt;364&lt;/RecNum&gt;&lt;DisplayText&gt;[5]&lt;/DisplayText&gt;&lt;record&gt;&lt;rec-number&gt;364&lt;/rec-number&gt;&lt;foreign-keys&gt;&lt;key app="EN" db-id="ddwesee0ar9ra9eef25xt95p59vap5tpr22f"&gt;364&lt;/key&gt;&lt;/foreign-keys&gt;&lt;ref-type name="Journal Article"&gt;17&lt;/ref-type&gt;&lt;contributors&gt;&lt;authors&gt;&lt;author&gt;Elzoghby, Ahmed O&lt;/author&gt;&lt;author&gt;Vranic, Branko Z&lt;/author&gt;&lt;author&gt;Samy, Wael M&lt;/author&gt;&lt;author&gt;Elgindy, Nazik A&lt;/author&gt;&lt;/authors&gt;&lt;/contributors&gt;&lt;titles&gt;&lt;title&gt;Swellable floating tablet based on spray-dried casein nanoparticles: Near-infrared spectral characterization and floating matrix evaluation&lt;/title&gt;&lt;secondary-title&gt;International journal of pharmaceutics&lt;/secondary-title&gt;&lt;/titles&gt;&lt;periodical&gt;&lt;full-title&gt;International journal of pharmaceutics&lt;/full-title&gt;&lt;/periodical&gt;&lt;pages&gt;113-122&lt;/pages&gt;&lt;volume&gt;491&lt;/volume&gt;&lt;number&gt;1&lt;/number&gt;&lt;dates&gt;&lt;year&gt;2015&lt;/year&gt;&lt;/dates&gt;&lt;isbn&gt;0378-5173&lt;/isbn&gt;&lt;urls&gt;&lt;/urls&gt;&lt;/record&gt;&lt;/Cite&gt;&lt;/EndNote&gt;</w:instrText>
      </w:r>
      <w:r w:rsidRPr="007D60B5">
        <w:rPr>
          <w:rFonts w:asciiTheme="majorBidi" w:hAnsiTheme="majorBidi" w:cstheme="majorBidi"/>
          <w:sz w:val="24"/>
          <w:szCs w:val="24"/>
        </w:rPr>
        <w:fldChar w:fldCharType="separate"/>
      </w:r>
      <w:r w:rsidR="00981DC7" w:rsidRPr="007D60B5">
        <w:rPr>
          <w:rFonts w:asciiTheme="majorBidi" w:hAnsiTheme="majorBidi" w:cstheme="majorBidi"/>
          <w:noProof/>
          <w:sz w:val="24"/>
          <w:szCs w:val="24"/>
        </w:rPr>
        <w:t>[</w:t>
      </w:r>
      <w:hyperlink w:anchor="_ENREF_5" w:tooltip="Elzoghby, 2015 #364" w:history="1">
        <w:r w:rsidR="00981DC7" w:rsidRPr="007D60B5">
          <w:rPr>
            <w:rFonts w:asciiTheme="majorBidi" w:hAnsiTheme="majorBidi" w:cstheme="majorBidi"/>
            <w:noProof/>
            <w:sz w:val="24"/>
            <w:szCs w:val="24"/>
          </w:rPr>
          <w:t>5</w:t>
        </w:r>
      </w:hyperlink>
      <w:r w:rsidR="00981DC7" w:rsidRPr="007D60B5">
        <w:rPr>
          <w:rFonts w:asciiTheme="majorBidi" w:hAnsiTheme="majorBidi" w:cstheme="majorBidi"/>
          <w:noProof/>
          <w:sz w:val="24"/>
          <w:szCs w:val="24"/>
        </w:rPr>
        <w:t>]</w:t>
      </w:r>
      <w:r w:rsidRPr="007D60B5">
        <w:rPr>
          <w:rFonts w:asciiTheme="majorBidi" w:hAnsiTheme="majorBidi" w:cstheme="majorBidi"/>
          <w:sz w:val="24"/>
          <w:szCs w:val="24"/>
        </w:rPr>
        <w:fldChar w:fldCharType="end"/>
      </w:r>
      <w:r w:rsidRPr="007D60B5">
        <w:rPr>
          <w:rFonts w:asciiTheme="majorBidi" w:hAnsiTheme="majorBidi" w:cstheme="majorBidi"/>
          <w:sz w:val="24"/>
          <w:szCs w:val="24"/>
        </w:rPr>
        <w:t>.</w:t>
      </w:r>
    </w:p>
    <w:p w:rsidR="003960D3" w:rsidRPr="007D60B5" w:rsidRDefault="003960D3" w:rsidP="000F70DC">
      <w:pPr>
        <w:pStyle w:val="NoSpacing"/>
        <w:jc w:val="both"/>
        <w:rPr>
          <w:rFonts w:asciiTheme="majorBidi" w:hAnsiTheme="majorBidi" w:cstheme="majorBidi"/>
          <w:b/>
          <w:bCs/>
          <w:sz w:val="24"/>
          <w:szCs w:val="24"/>
        </w:rPr>
      </w:pPr>
    </w:p>
    <w:p w:rsidR="00334F17"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1.5</w:t>
      </w:r>
      <w:r w:rsidR="00334F17" w:rsidRPr="007D60B5">
        <w:rPr>
          <w:rFonts w:asciiTheme="majorBidi" w:hAnsiTheme="majorBidi" w:cstheme="majorBidi"/>
          <w:b/>
          <w:bCs/>
          <w:sz w:val="24"/>
          <w:szCs w:val="24"/>
        </w:rPr>
        <w:t xml:space="preserve">. </w:t>
      </w:r>
      <w:r w:rsidR="00334F17" w:rsidRPr="007D60B5">
        <w:rPr>
          <w:rFonts w:asciiTheme="majorBidi" w:hAnsiTheme="majorBidi" w:cstheme="majorBidi"/>
          <w:b/>
          <w:bCs/>
          <w:i/>
          <w:iCs/>
          <w:sz w:val="24"/>
          <w:szCs w:val="24"/>
        </w:rPr>
        <w:t>In-vitro</w:t>
      </w:r>
      <w:r w:rsidR="00334F17" w:rsidRPr="007D60B5">
        <w:rPr>
          <w:rFonts w:asciiTheme="majorBidi" w:hAnsiTheme="majorBidi" w:cstheme="majorBidi"/>
          <w:b/>
          <w:bCs/>
          <w:sz w:val="24"/>
          <w:szCs w:val="24"/>
        </w:rPr>
        <w:t xml:space="preserve"> hemolysis</w:t>
      </w:r>
      <w:bookmarkEnd w:id="5"/>
    </w:p>
    <w:p w:rsidR="00334F17" w:rsidRPr="007D60B5" w:rsidRDefault="00334F17" w:rsidP="00981DC7">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Hemolytic toxicity of EXM/LUT-loaded zein NS (M2), Lf-coated EXM/LUT-loaded NS (L3) and PEGylated EXM/LUT-loaded NS (P1 and P2) were investigated </w:t>
      </w:r>
      <w:r w:rsidRPr="007D60B5">
        <w:rPr>
          <w:rFonts w:asciiTheme="majorBidi" w:hAnsiTheme="majorBidi" w:cstheme="majorBidi"/>
          <w:sz w:val="24"/>
          <w:szCs w:val="24"/>
        </w:rPr>
        <w:fldChar w:fldCharType="begin">
          <w:fldData xml:space="preserve">PEVuZE5vdGU+PENpdGU+PEF1dGhvcj5KYWluPC9BdXRob3I+PFllYXI+MjAxMjwvWWVhcj48UmVj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</w:fldData>
        </w:fldChar>
      </w:r>
      <w:r w:rsidR="00981DC7" w:rsidRPr="007D60B5">
        <w:rPr>
          <w:rFonts w:asciiTheme="majorBidi" w:hAnsiTheme="majorBidi" w:cstheme="majorBidi"/>
          <w:sz w:val="24"/>
          <w:szCs w:val="24"/>
        </w:rPr>
        <w:instrText xml:space="preserve"> ADDIN EN.CITE </w:instrText>
      </w:r>
      <w:r w:rsidR="00981DC7" w:rsidRPr="007D60B5">
        <w:rPr>
          <w:rFonts w:asciiTheme="majorBidi" w:hAnsiTheme="majorBidi" w:cstheme="majorBidi"/>
          <w:sz w:val="24"/>
          <w:szCs w:val="24"/>
        </w:rPr>
        <w:fldChar w:fldCharType="begin">
          <w:fldData xml:space="preserve">PEVuZE5vdGU+PENpdGU+PEF1dGhvcj5KYWluPC9BdXRob3I+PFllYXI+MjAxMjwvWWVhcj48UmVj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</w:fldData>
        </w:fldChar>
      </w:r>
      <w:r w:rsidR="00981DC7" w:rsidRPr="007D60B5">
        <w:rPr>
          <w:rFonts w:asciiTheme="majorBidi" w:hAnsiTheme="majorBidi" w:cstheme="majorBidi"/>
          <w:sz w:val="24"/>
          <w:szCs w:val="24"/>
        </w:rPr>
        <w:instrText xml:space="preserve"> ADDIN EN.CITE.DATA </w:instrText>
      </w:r>
      <w:r w:rsidR="00981DC7" w:rsidRPr="007D60B5">
        <w:rPr>
          <w:rFonts w:asciiTheme="majorBidi" w:hAnsiTheme="majorBidi" w:cstheme="majorBidi"/>
          <w:sz w:val="24"/>
          <w:szCs w:val="24"/>
        </w:rPr>
      </w:r>
      <w:r w:rsidR="00981DC7" w:rsidRPr="007D60B5">
        <w:rPr>
          <w:rFonts w:asciiTheme="majorBidi" w:hAnsiTheme="majorBidi" w:cstheme="majorBidi"/>
          <w:sz w:val="24"/>
          <w:szCs w:val="24"/>
        </w:rPr>
        <w:fldChar w:fldCharType="end"/>
      </w:r>
      <w:r w:rsidRPr="007D60B5">
        <w:rPr>
          <w:rFonts w:asciiTheme="majorBidi" w:hAnsiTheme="majorBidi" w:cstheme="majorBidi"/>
          <w:sz w:val="24"/>
          <w:szCs w:val="24"/>
        </w:rPr>
      </w:r>
      <w:r w:rsidRPr="007D60B5">
        <w:rPr>
          <w:rFonts w:asciiTheme="majorBidi" w:hAnsiTheme="majorBidi" w:cstheme="majorBidi"/>
          <w:sz w:val="24"/>
          <w:szCs w:val="24"/>
        </w:rPr>
        <w:fldChar w:fldCharType="separate"/>
      </w:r>
      <w:r w:rsidR="00981DC7" w:rsidRPr="007D60B5">
        <w:rPr>
          <w:rFonts w:asciiTheme="majorBidi" w:hAnsiTheme="majorBidi" w:cstheme="majorBidi"/>
          <w:noProof/>
          <w:sz w:val="24"/>
          <w:szCs w:val="24"/>
        </w:rPr>
        <w:t>[</w:t>
      </w:r>
      <w:hyperlink w:anchor="_ENREF_6" w:tooltip="Jain, 2012 #797" w:history="1">
        <w:r w:rsidR="00981DC7" w:rsidRPr="007D60B5">
          <w:rPr>
            <w:rFonts w:asciiTheme="majorBidi" w:hAnsiTheme="majorBidi" w:cstheme="majorBidi"/>
            <w:noProof/>
            <w:sz w:val="24"/>
            <w:szCs w:val="24"/>
          </w:rPr>
          <w:t>6</w:t>
        </w:r>
      </w:hyperlink>
      <w:r w:rsidR="00981DC7" w:rsidRPr="007D60B5">
        <w:rPr>
          <w:rFonts w:asciiTheme="majorBidi" w:hAnsiTheme="majorBidi" w:cstheme="majorBidi"/>
          <w:noProof/>
          <w:sz w:val="24"/>
          <w:szCs w:val="24"/>
        </w:rPr>
        <w:t>]</w:t>
      </w:r>
      <w:r w:rsidRPr="007D60B5">
        <w:rPr>
          <w:rFonts w:asciiTheme="majorBidi" w:hAnsiTheme="majorBidi" w:cstheme="majorBidi"/>
          <w:sz w:val="24"/>
          <w:szCs w:val="24"/>
        </w:rPr>
        <w:fldChar w:fldCharType="end"/>
      </w:r>
      <w:r w:rsidRPr="007D60B5">
        <w:rPr>
          <w:rFonts w:asciiTheme="majorBidi" w:hAnsiTheme="majorBidi" w:cstheme="majorBidi"/>
          <w:sz w:val="24"/>
          <w:szCs w:val="24"/>
        </w:rPr>
        <w:t>. Rat blood samples were collected from retro-orbital plexus into test tubes containing EDTA, centrifuged, washed twice with normal saline (0.9% w/v) and then diluted with normal saline to obtain 10 mL of a final concentration of 2 % v/v RBCs suspension. 2 mL of each formula were incubated with an equal volume of RBCs suspension at 37±0.5 ºC for 2 hr, in the shaking water bath at 50 rpm. Then, samples were centrifuged at 3000 rpm for 5 min and hemoglobin content was quantitatively determined, in the supernatant, by spectrophotometric analysis at λ</w:t>
      </w:r>
      <w:r w:rsidRPr="007D60B5">
        <w:rPr>
          <w:rFonts w:asciiTheme="majorBidi" w:hAnsiTheme="majorBidi" w:cstheme="majorBidi"/>
          <w:sz w:val="24"/>
          <w:szCs w:val="24"/>
          <w:vertAlign w:val="subscript"/>
        </w:rPr>
        <w:t>max</w:t>
      </w:r>
      <w:r w:rsidRPr="007D60B5">
        <w:rPr>
          <w:rFonts w:asciiTheme="majorBidi" w:hAnsiTheme="majorBidi" w:cstheme="majorBidi"/>
          <w:sz w:val="24"/>
          <w:szCs w:val="24"/>
        </w:rPr>
        <w:t xml:space="preserve"> 540 nm. A negative control was prepared by mixing 2 mL of the RBC suspension with 2 mL of saline, while a positive control (100% hemolysis) was induced by treating the RBCs with 1% w/v Triton X100. The hemolytic rates of the samples were calculated as the following equation:</w:t>
      </w:r>
    </w:p>
    <w:p w:rsidR="00334F17" w:rsidRPr="007D60B5" w:rsidRDefault="003960D3" w:rsidP="000F70DC">
      <w:pPr>
        <w:pStyle w:val="NoSpacing"/>
        <w:jc w:val="both"/>
        <w:rPr>
          <w:rFonts w:asciiTheme="majorBidi" w:hAnsiTheme="majorBidi" w:cstheme="majorBidi"/>
          <w:sz w:val="24"/>
          <w:szCs w:val="24"/>
        </w:rPr>
      </w:pPr>
      <m:oMath>
        <m:r>
          <m:rPr>
            <m:sty m:val="p"/>
          </m:rPr>
          <w:rPr>
            <w:rFonts w:ascii="Cambria Math" w:hAnsi="Cambria Math" w:cstheme="majorBidi"/>
            <w:sz w:val="24"/>
            <w:szCs w:val="24"/>
          </w:rPr>
          <m:t xml:space="preserve">                          Hemolytic rate </m:t>
        </m:r>
        <m:d>
          <m:dPr>
            <m:ctrlPr>
              <w:rPr>
                <w:rFonts w:ascii="Cambria Math" w:hAnsi="Cambria Math" w:cstheme="majorBidi"/>
                <w:sz w:val="24"/>
                <w:szCs w:val="24"/>
              </w:rPr>
            </m:ctrlPr>
          </m:dPr>
          <m:e>
            <m:r>
              <m:rPr>
                <m:sty m:val="p"/>
              </m:rPr>
              <w:rPr>
                <w:rFonts w:ascii="Cambria Math" w:hAnsi="Cambria Math" w:cstheme="majorBidi"/>
                <w:sz w:val="24"/>
                <w:szCs w:val="24"/>
              </w:rPr>
              <m:t>%</m:t>
            </m:r>
          </m:e>
        </m:d>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sz w:val="24"/>
                    <w:szCs w:val="24"/>
                  </w:rPr>
                </m:ctrlPr>
              </m:fPr>
              <m:num>
                <m:d>
                  <m:dPr>
                    <m:ctrlPr>
                      <w:rPr>
                        <w:rFonts w:ascii="Cambria Math" w:hAnsi="Cambria Math" w:cstheme="majorBidi"/>
                        <w:sz w:val="24"/>
                        <w:szCs w:val="24"/>
                      </w:rPr>
                    </m:ctrlPr>
                  </m:dPr>
                  <m:e>
                    <m:r>
                      <m:rPr>
                        <m:sty m:val="p"/>
                      </m:rPr>
                      <w:rPr>
                        <w:rFonts w:ascii="Cambria Math" w:hAnsi="Cambria Math" w:cstheme="majorBidi"/>
                        <w:sz w:val="24"/>
                        <w:szCs w:val="24"/>
                      </w:rPr>
                      <m:t>At-Anc</m:t>
                    </m:r>
                  </m:e>
                </m:d>
              </m:num>
              <m:den>
                <m:d>
                  <m:dPr>
                    <m:ctrlPr>
                      <w:rPr>
                        <w:rFonts w:ascii="Cambria Math" w:hAnsi="Cambria Math" w:cstheme="majorBidi"/>
                        <w:sz w:val="24"/>
                        <w:szCs w:val="24"/>
                      </w:rPr>
                    </m:ctrlPr>
                  </m:dPr>
                  <m:e>
                    <m:r>
                      <m:rPr>
                        <m:sty m:val="p"/>
                      </m:rPr>
                      <w:rPr>
                        <w:rFonts w:ascii="Cambria Math" w:hAnsi="Cambria Math" w:cstheme="majorBidi"/>
                        <w:sz w:val="24"/>
                        <w:szCs w:val="24"/>
                      </w:rPr>
                      <m:t>Apc-Anc</m:t>
                    </m:r>
                  </m:e>
                </m:d>
              </m:den>
            </m:f>
            <m:ctrlPr>
              <w:rPr>
                <w:rFonts w:ascii="Cambria Math" w:hAnsi="Cambria Math" w:cstheme="majorBidi"/>
                <w:sz w:val="24"/>
                <w:szCs w:val="24"/>
              </w:rPr>
            </m:ctrlPr>
          </m:e>
        </m:d>
        <m:r>
          <m:rPr>
            <m:sty m:val="p"/>
          </m:rPr>
          <w:rPr>
            <w:rFonts w:ascii="Cambria Math" w:hAnsi="Cambria Math" w:cstheme="majorBidi"/>
            <w:sz w:val="24"/>
            <w:szCs w:val="24"/>
          </w:rPr>
          <m:t>x 100                       (Equation S2)</m:t>
        </m:r>
      </m:oMath>
      <w:r w:rsidR="00334F17" w:rsidRPr="007D60B5">
        <w:rPr>
          <w:rFonts w:asciiTheme="majorBidi" w:hAnsiTheme="majorBidi" w:cstheme="majorBidi"/>
          <w:sz w:val="24"/>
          <w:szCs w:val="24"/>
        </w:rPr>
        <w:tab/>
      </w:r>
    </w:p>
    <w:p w:rsidR="00334F17" w:rsidRPr="007D60B5" w:rsidRDefault="00334F17"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Where, </w:t>
      </w:r>
      <w:r w:rsidRPr="007D60B5">
        <w:rPr>
          <w:rFonts w:asciiTheme="majorBidi" w:hAnsiTheme="majorBidi" w:cstheme="majorBidi"/>
          <w:i/>
          <w:iCs/>
          <w:sz w:val="24"/>
          <w:szCs w:val="24"/>
        </w:rPr>
        <w:t>At</w:t>
      </w:r>
      <w:r w:rsidRPr="007D60B5">
        <w:rPr>
          <w:rFonts w:asciiTheme="majorBidi" w:hAnsiTheme="majorBidi" w:cstheme="majorBidi"/>
          <w:sz w:val="24"/>
          <w:szCs w:val="24"/>
        </w:rPr>
        <w:t xml:space="preserve"> represents absorbance value of test sample, </w:t>
      </w:r>
      <w:r w:rsidRPr="007D60B5">
        <w:rPr>
          <w:rFonts w:asciiTheme="majorBidi" w:hAnsiTheme="majorBidi" w:cstheme="majorBidi"/>
          <w:i/>
          <w:iCs/>
          <w:sz w:val="24"/>
          <w:szCs w:val="24"/>
        </w:rPr>
        <w:t>Anc</w:t>
      </w:r>
      <w:r w:rsidRPr="007D60B5">
        <w:rPr>
          <w:rFonts w:asciiTheme="majorBidi" w:hAnsiTheme="majorBidi" w:cstheme="majorBidi"/>
          <w:sz w:val="24"/>
          <w:szCs w:val="24"/>
        </w:rPr>
        <w:t xml:space="preserve"> and </w:t>
      </w:r>
      <w:r w:rsidRPr="007D60B5">
        <w:rPr>
          <w:rFonts w:asciiTheme="majorBidi" w:hAnsiTheme="majorBidi" w:cstheme="majorBidi"/>
          <w:i/>
          <w:iCs/>
          <w:sz w:val="24"/>
          <w:szCs w:val="24"/>
        </w:rPr>
        <w:t>Apc</w:t>
      </w:r>
      <w:r w:rsidRPr="007D60B5">
        <w:rPr>
          <w:rFonts w:asciiTheme="majorBidi" w:hAnsiTheme="majorBidi" w:cstheme="majorBidi"/>
          <w:sz w:val="24"/>
          <w:szCs w:val="24"/>
        </w:rPr>
        <w:t xml:space="preserve"> stand for absorption value of negative and positive controls, respectively.</w:t>
      </w:r>
    </w:p>
    <w:p w:rsidR="003960D3" w:rsidRPr="007D60B5" w:rsidRDefault="003960D3" w:rsidP="000F70DC">
      <w:pPr>
        <w:pStyle w:val="NoSpacing"/>
        <w:jc w:val="both"/>
        <w:rPr>
          <w:rFonts w:asciiTheme="majorBidi" w:hAnsiTheme="majorBidi" w:cstheme="majorBidi"/>
          <w:b/>
          <w:bCs/>
          <w:sz w:val="24"/>
          <w:szCs w:val="24"/>
        </w:rPr>
      </w:pPr>
      <w:bookmarkStart w:id="6" w:name="_Toc451861319"/>
    </w:p>
    <w:p w:rsidR="00334F17"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1.6</w:t>
      </w:r>
      <w:r w:rsidR="00334F17" w:rsidRPr="007D60B5">
        <w:rPr>
          <w:rFonts w:asciiTheme="majorBidi" w:hAnsiTheme="majorBidi" w:cstheme="majorBidi"/>
          <w:b/>
          <w:bCs/>
          <w:sz w:val="24"/>
          <w:szCs w:val="24"/>
        </w:rPr>
        <w:t xml:space="preserve">. </w:t>
      </w:r>
      <w:r w:rsidR="00334F17" w:rsidRPr="007D60B5">
        <w:rPr>
          <w:rFonts w:asciiTheme="majorBidi" w:hAnsiTheme="majorBidi" w:cstheme="majorBidi"/>
          <w:b/>
          <w:bCs/>
          <w:i/>
          <w:iCs/>
          <w:sz w:val="24"/>
          <w:szCs w:val="24"/>
        </w:rPr>
        <w:t>In-vitro</w:t>
      </w:r>
      <w:r w:rsidR="00334F17" w:rsidRPr="007D60B5">
        <w:rPr>
          <w:rFonts w:asciiTheme="majorBidi" w:hAnsiTheme="majorBidi" w:cstheme="majorBidi"/>
          <w:b/>
          <w:bCs/>
          <w:sz w:val="24"/>
          <w:szCs w:val="24"/>
        </w:rPr>
        <w:t xml:space="preserve"> serum stability</w:t>
      </w:r>
      <w:bookmarkEnd w:id="6"/>
    </w:p>
    <w:p w:rsidR="00334F17" w:rsidRPr="007D60B5" w:rsidRDefault="00334F17"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lastRenderedPageBreak/>
        <w:t xml:space="preserve">To assess the physical stability of zein NS in an appropriate biological medium, the stability of the three optimized formulae; M2, L3 </w:t>
      </w:r>
      <w:r w:rsidRPr="007D60B5">
        <w:rPr>
          <w:rFonts w:asciiTheme="majorBidi" w:hAnsiTheme="majorBidi" w:cstheme="majorBidi"/>
          <w:color w:val="000000" w:themeColor="text1"/>
          <w:sz w:val="24"/>
          <w:szCs w:val="24"/>
        </w:rPr>
        <w:t>and P2 in</w:t>
      </w:r>
      <w:r w:rsidRPr="007D60B5">
        <w:rPr>
          <w:rFonts w:asciiTheme="majorBidi" w:hAnsiTheme="majorBidi" w:cstheme="majorBidi"/>
          <w:sz w:val="24"/>
          <w:szCs w:val="24"/>
        </w:rPr>
        <w:t xml:space="preserve"> 10% w/v fetal bovine serum (FBS) solution (pH 7.4) was determined. Each formula was incubated in a shaking water bath at 37±0.5°C under mild stirring with an equal volume of 10% w/v FBS for 6 hr. At each time interval (0, 1, 2, 4 and 6 hr), 50 µL of the mixture was withdrawn then diluted with distilled water (1:50 v/v) to measure the PS and PDI.</w:t>
      </w:r>
    </w:p>
    <w:p w:rsidR="003960D3" w:rsidRPr="007D60B5" w:rsidRDefault="003960D3" w:rsidP="000F70DC">
      <w:pPr>
        <w:pStyle w:val="NoSpacing"/>
        <w:jc w:val="both"/>
        <w:rPr>
          <w:rFonts w:asciiTheme="majorBidi" w:hAnsiTheme="majorBidi" w:cstheme="majorBidi"/>
          <w:b/>
          <w:bCs/>
          <w:sz w:val="24"/>
          <w:szCs w:val="24"/>
        </w:rPr>
      </w:pPr>
    </w:p>
    <w:p w:rsidR="005E7CBE"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 xml:space="preserve">1.7. </w:t>
      </w:r>
      <w:r w:rsidR="005E7CBE" w:rsidRPr="007D60B5">
        <w:rPr>
          <w:rFonts w:asciiTheme="majorBidi" w:hAnsiTheme="majorBidi" w:cstheme="majorBidi"/>
          <w:b/>
          <w:bCs/>
          <w:sz w:val="24"/>
          <w:szCs w:val="24"/>
        </w:rPr>
        <w:t>Scaling-up</w:t>
      </w:r>
      <w:bookmarkEnd w:id="2"/>
      <w:r w:rsidR="005E7CBE" w:rsidRPr="007D60B5">
        <w:rPr>
          <w:rFonts w:asciiTheme="majorBidi" w:hAnsiTheme="majorBidi" w:cstheme="majorBidi"/>
          <w:b/>
          <w:bCs/>
          <w:sz w:val="24"/>
          <w:szCs w:val="24"/>
        </w:rPr>
        <w:t xml:space="preserve"> </w:t>
      </w:r>
    </w:p>
    <w:p w:rsidR="005E7CBE" w:rsidRPr="007D60B5" w:rsidRDefault="00195B69" w:rsidP="00981DC7">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A 5-fold scaled up of combined EXM/LUT-loaded NS formula was developed following the formerly employed procedure of preparation of M2 with exception in quantities of the materials used. </w:t>
      </w:r>
      <w:r w:rsidR="005E7CBE" w:rsidRPr="007D60B5">
        <w:rPr>
          <w:rFonts w:asciiTheme="majorBidi" w:hAnsiTheme="majorBidi" w:cstheme="majorBidi"/>
          <w:sz w:val="24"/>
          <w:szCs w:val="24"/>
        </w:rPr>
        <w:t xml:space="preserve">To the produced NS suspension, an aqueous mannitol solution (2.5% w/v) was added, under magnetic stirring for 10 min. This preparation was fed into a B-290 mini-spray dryer (Büchi, Flawil, Switzerland) with inlet temperature of 105 °C, outlet temperature of 55 °C, aspiration air of 100%, feed flow of 2.5 mL/min, spraying pressure of 5.0–5.8 mbar and air flow rate of 600 L/hr </w:t>
      </w:r>
      <w:r w:rsidR="005E7CBE" w:rsidRPr="007D60B5">
        <w:rPr>
          <w:rFonts w:asciiTheme="majorBidi" w:hAnsiTheme="majorBidi" w:cstheme="majorBidi"/>
          <w:sz w:val="24"/>
          <w:szCs w:val="24"/>
        </w:rPr>
        <w:fldChar w:fldCharType="begin">
          <w:fldData xml:space="preserve">PEVuZE5vdGU+PENpdGU+PEF1dGhvcj5UZXdhLVRhZ25lPC9BdXRob3I+PFllYXI+MjAwNzwvWWVh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</w:fldData>
        </w:fldChar>
      </w:r>
      <w:r w:rsidR="00981DC7" w:rsidRPr="007D60B5">
        <w:rPr>
          <w:rFonts w:asciiTheme="majorBidi" w:hAnsiTheme="majorBidi" w:cstheme="majorBidi"/>
          <w:sz w:val="24"/>
          <w:szCs w:val="24"/>
        </w:rPr>
        <w:instrText xml:space="preserve"> ADDIN EN.CITE </w:instrText>
      </w:r>
      <w:r w:rsidR="00981DC7" w:rsidRPr="007D60B5">
        <w:rPr>
          <w:rFonts w:asciiTheme="majorBidi" w:hAnsiTheme="majorBidi" w:cstheme="majorBidi"/>
          <w:sz w:val="24"/>
          <w:szCs w:val="24"/>
        </w:rPr>
        <w:fldChar w:fldCharType="begin">
          <w:fldData xml:space="preserve">PEVuZE5vdGU+PENpdGU+PEF1dGhvcj5UZXdhLVRhZ25lPC9BdXRob3I+PFllYXI+MjAwNzwvWWVh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</w:fldData>
        </w:fldChar>
      </w:r>
      <w:r w:rsidR="00981DC7" w:rsidRPr="007D60B5">
        <w:rPr>
          <w:rFonts w:asciiTheme="majorBidi" w:hAnsiTheme="majorBidi" w:cstheme="majorBidi"/>
          <w:sz w:val="24"/>
          <w:szCs w:val="24"/>
        </w:rPr>
        <w:instrText xml:space="preserve"> ADDIN EN.CITE.DATA </w:instrText>
      </w:r>
      <w:r w:rsidR="00981DC7" w:rsidRPr="007D60B5">
        <w:rPr>
          <w:rFonts w:asciiTheme="majorBidi" w:hAnsiTheme="majorBidi" w:cstheme="majorBidi"/>
          <w:sz w:val="24"/>
          <w:szCs w:val="24"/>
        </w:rPr>
      </w:r>
      <w:r w:rsidR="00981DC7" w:rsidRPr="007D60B5">
        <w:rPr>
          <w:rFonts w:asciiTheme="majorBidi" w:hAnsiTheme="majorBidi" w:cstheme="majorBidi"/>
          <w:sz w:val="24"/>
          <w:szCs w:val="24"/>
        </w:rPr>
        <w:fldChar w:fldCharType="end"/>
      </w:r>
      <w:r w:rsidR="005E7CBE" w:rsidRPr="007D60B5">
        <w:rPr>
          <w:rFonts w:asciiTheme="majorBidi" w:hAnsiTheme="majorBidi" w:cstheme="majorBidi"/>
          <w:sz w:val="24"/>
          <w:szCs w:val="24"/>
        </w:rPr>
      </w:r>
      <w:r w:rsidR="005E7CBE" w:rsidRPr="007D60B5">
        <w:rPr>
          <w:rFonts w:asciiTheme="majorBidi" w:hAnsiTheme="majorBidi" w:cstheme="majorBidi"/>
          <w:sz w:val="24"/>
          <w:szCs w:val="24"/>
        </w:rPr>
        <w:fldChar w:fldCharType="separate"/>
      </w:r>
      <w:r w:rsidR="00981DC7" w:rsidRPr="007D60B5">
        <w:rPr>
          <w:rFonts w:asciiTheme="majorBidi" w:hAnsiTheme="majorBidi" w:cstheme="majorBidi"/>
          <w:noProof/>
          <w:sz w:val="24"/>
          <w:szCs w:val="24"/>
        </w:rPr>
        <w:t>[</w:t>
      </w:r>
      <w:hyperlink w:anchor="_ENREF_7" w:tooltip="Tewa-Tagne, 2007 #991" w:history="1">
        <w:r w:rsidR="00981DC7" w:rsidRPr="007D60B5">
          <w:rPr>
            <w:rFonts w:asciiTheme="majorBidi" w:hAnsiTheme="majorBidi" w:cstheme="majorBidi"/>
            <w:noProof/>
            <w:sz w:val="24"/>
            <w:szCs w:val="24"/>
          </w:rPr>
          <w:t>7</w:t>
        </w:r>
      </w:hyperlink>
      <w:r w:rsidR="00981DC7" w:rsidRPr="007D60B5">
        <w:rPr>
          <w:rFonts w:asciiTheme="majorBidi" w:hAnsiTheme="majorBidi" w:cstheme="majorBidi"/>
          <w:noProof/>
          <w:sz w:val="24"/>
          <w:szCs w:val="24"/>
        </w:rPr>
        <w:t>]</w:t>
      </w:r>
      <w:r w:rsidR="005E7CBE" w:rsidRPr="007D60B5">
        <w:rPr>
          <w:rFonts w:asciiTheme="majorBidi" w:hAnsiTheme="majorBidi" w:cstheme="majorBidi"/>
          <w:sz w:val="24"/>
          <w:szCs w:val="24"/>
        </w:rPr>
        <w:fldChar w:fldCharType="end"/>
      </w:r>
      <w:r w:rsidR="005E7CBE" w:rsidRPr="007D60B5">
        <w:rPr>
          <w:rFonts w:asciiTheme="majorBidi" w:hAnsiTheme="majorBidi" w:cstheme="majorBidi"/>
          <w:sz w:val="24"/>
          <w:szCs w:val="24"/>
        </w:rPr>
        <w:t xml:space="preserve">. The spray-drying yield was calculated by dividing the weights of the spray-dried powders collected by the total initial mass of solids in the preparation submitted to drying. PS, PDI and ZP of the reconstituted spray-dried NS were evaluated. </w:t>
      </w:r>
    </w:p>
    <w:p w:rsidR="005E7CBE" w:rsidRPr="007D60B5" w:rsidRDefault="005E7CBE"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Moreover, the percentage drug loading (% LE) and % EE </w:t>
      </w:r>
      <w:r w:rsidRPr="007D60B5">
        <w:rPr>
          <w:rFonts w:asciiTheme="majorBidi" w:hAnsiTheme="majorBidi" w:cstheme="majorBidi"/>
          <w:sz w:val="24"/>
          <w:szCs w:val="24"/>
          <w:lang w:bidi="ar-LB"/>
        </w:rPr>
        <w:t>w</w:t>
      </w:r>
      <w:r w:rsidRPr="007D60B5">
        <w:rPr>
          <w:rFonts w:asciiTheme="majorBidi" w:hAnsiTheme="majorBidi" w:cstheme="majorBidi"/>
          <w:sz w:val="24"/>
          <w:szCs w:val="24"/>
        </w:rPr>
        <w:t xml:space="preserve">ere calculated. To calculate % LE, an aliquot of accurately weighed 200 mg of the spray-dried NS was treated with 50 mL 95% ethanol under ultrasonication. This solution was then filtered through a 0.22 µm membrane filter and injected into the HPLC. % LE was calculated using the following equation: </w:t>
      </w:r>
    </w:p>
    <w:p w:rsidR="005E7CBE" w:rsidRPr="007D60B5" w:rsidRDefault="003960D3" w:rsidP="000F70DC">
      <w:pPr>
        <w:pStyle w:val="NoSpacing"/>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                         % LE=</m:t>
          </m:r>
          <m:d>
            <m:dPr>
              <m:ctrlPr>
                <w:rPr>
                  <w:rFonts w:ascii="Cambria Math" w:hAnsi="Cambria Math" w:cstheme="majorBidi"/>
                  <w:i/>
                  <w:sz w:val="24"/>
                  <w:szCs w:val="24"/>
                </w:rPr>
              </m:ctrlPr>
            </m:dPr>
            <m:e>
              <m:f>
                <m:fPr>
                  <m:ctrlPr>
                    <w:rPr>
                      <w:rFonts w:ascii="Cambria Math" w:hAnsi="Cambria Math" w:cstheme="majorBidi"/>
                      <w:sz w:val="24"/>
                      <w:szCs w:val="24"/>
                    </w:rPr>
                  </m:ctrlPr>
                </m:fPr>
                <m:num>
                  <m:r>
                    <m:rPr>
                      <m:sty m:val="p"/>
                    </m:rPr>
                    <w:rPr>
                      <w:rFonts w:ascii="Cambria Math" w:hAnsi="Cambria Math" w:cstheme="majorBidi"/>
                      <w:sz w:val="24"/>
                      <w:szCs w:val="24"/>
                    </w:rPr>
                    <m:t>Mass of drug in NS</m:t>
                  </m:r>
                </m:num>
                <m:den>
                  <m:r>
                    <m:rPr>
                      <m:sty m:val="p"/>
                    </m:rPr>
                    <w:rPr>
                      <w:rFonts w:ascii="Cambria Math" w:hAnsi="Cambria Math" w:cstheme="majorBidi"/>
                      <w:sz w:val="24"/>
                      <w:szCs w:val="24"/>
                    </w:rPr>
                    <m:t>Mass of NS recovered</m:t>
                  </m:r>
                </m:den>
              </m:f>
              <m:ctrlPr>
                <w:rPr>
                  <w:rFonts w:ascii="Cambria Math" w:hAnsi="Cambria Math" w:cstheme="majorBidi"/>
                  <w:sz w:val="24"/>
                  <w:szCs w:val="24"/>
                </w:rPr>
              </m:ctrlPr>
            </m:e>
          </m:d>
          <m:r>
            <m:rPr>
              <m:sty m:val="p"/>
            </m:rPr>
            <w:rPr>
              <w:rFonts w:ascii="Cambria Math" w:hAnsi="Cambria Math" w:cstheme="majorBidi"/>
              <w:sz w:val="24"/>
              <w:szCs w:val="24"/>
            </w:rPr>
            <m:t>x 100                      (Equation S3)</m:t>
          </m:r>
        </m:oMath>
      </m:oMathPara>
    </w:p>
    <w:p w:rsidR="003960D3" w:rsidRPr="007D60B5" w:rsidRDefault="003960D3" w:rsidP="000F70DC">
      <w:pPr>
        <w:pStyle w:val="NoSpacing"/>
        <w:jc w:val="both"/>
        <w:rPr>
          <w:rFonts w:asciiTheme="majorBidi" w:hAnsiTheme="majorBidi" w:cstheme="majorBidi"/>
          <w:b/>
          <w:bCs/>
          <w:sz w:val="24"/>
          <w:szCs w:val="24"/>
        </w:rPr>
      </w:pPr>
    </w:p>
    <w:p w:rsidR="00645C39" w:rsidRPr="007D60B5" w:rsidRDefault="00FE019E"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1.8</w:t>
      </w:r>
      <w:r w:rsidR="00645C39" w:rsidRPr="007D60B5">
        <w:rPr>
          <w:rFonts w:asciiTheme="majorBidi" w:hAnsiTheme="majorBidi" w:cstheme="majorBidi"/>
          <w:b/>
          <w:bCs/>
          <w:sz w:val="24"/>
          <w:szCs w:val="24"/>
        </w:rPr>
        <w:t xml:space="preserve">. </w:t>
      </w:r>
      <w:r w:rsidR="00645C39" w:rsidRPr="007D60B5">
        <w:rPr>
          <w:rFonts w:asciiTheme="majorBidi" w:hAnsiTheme="majorBidi" w:cstheme="majorBidi"/>
          <w:b/>
          <w:bCs/>
          <w:i/>
          <w:iCs/>
          <w:sz w:val="24"/>
          <w:szCs w:val="24"/>
        </w:rPr>
        <w:t>In vivo</w:t>
      </w:r>
      <w:r w:rsidR="00645C39" w:rsidRPr="007D60B5">
        <w:rPr>
          <w:rFonts w:asciiTheme="majorBidi" w:hAnsiTheme="majorBidi" w:cstheme="majorBidi"/>
          <w:b/>
          <w:bCs/>
          <w:sz w:val="24"/>
          <w:szCs w:val="24"/>
        </w:rPr>
        <w:t xml:space="preserve"> studies</w:t>
      </w:r>
    </w:p>
    <w:p w:rsidR="00645C39" w:rsidRPr="007D60B5" w:rsidRDefault="004172D7" w:rsidP="000F70DC">
      <w:pPr>
        <w:pStyle w:val="NoSpacing"/>
        <w:jc w:val="both"/>
        <w:rPr>
          <w:rFonts w:asciiTheme="majorBidi" w:hAnsiTheme="majorBidi" w:cstheme="majorBidi"/>
          <w:b/>
          <w:bCs/>
          <w:color w:val="000000" w:themeColor="text1"/>
          <w:sz w:val="24"/>
          <w:szCs w:val="24"/>
        </w:rPr>
      </w:pPr>
      <w:r w:rsidRPr="007D60B5">
        <w:rPr>
          <w:rFonts w:asciiTheme="majorBidi" w:hAnsiTheme="majorBidi" w:cstheme="majorBidi"/>
          <w:b/>
          <w:bCs/>
          <w:color w:val="000000" w:themeColor="text1"/>
          <w:sz w:val="24"/>
          <w:szCs w:val="24"/>
        </w:rPr>
        <w:t>1</w:t>
      </w:r>
      <w:r w:rsidR="00645C39" w:rsidRPr="007D60B5">
        <w:rPr>
          <w:rFonts w:asciiTheme="majorBidi" w:hAnsiTheme="majorBidi" w:cstheme="majorBidi"/>
          <w:b/>
          <w:bCs/>
          <w:color w:val="000000" w:themeColor="text1"/>
          <w:sz w:val="24"/>
          <w:szCs w:val="24"/>
        </w:rPr>
        <w:t>.</w:t>
      </w:r>
      <w:r w:rsidR="00FE019E" w:rsidRPr="007D60B5">
        <w:rPr>
          <w:rFonts w:asciiTheme="majorBidi" w:hAnsiTheme="majorBidi" w:cstheme="majorBidi"/>
          <w:b/>
          <w:bCs/>
          <w:color w:val="000000" w:themeColor="text1"/>
          <w:sz w:val="24"/>
          <w:szCs w:val="24"/>
        </w:rPr>
        <w:t>8</w:t>
      </w:r>
      <w:r w:rsidR="00645C39" w:rsidRPr="007D60B5">
        <w:rPr>
          <w:rFonts w:asciiTheme="majorBidi" w:hAnsiTheme="majorBidi" w:cstheme="majorBidi"/>
          <w:b/>
          <w:bCs/>
          <w:color w:val="000000" w:themeColor="text1"/>
          <w:sz w:val="24"/>
          <w:szCs w:val="24"/>
        </w:rPr>
        <w:t>.1. Animals</w:t>
      </w:r>
    </w:p>
    <w:p w:rsidR="001F5E36" w:rsidRPr="007D60B5" w:rsidRDefault="001F5E36"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Female BALB/C mice (7-8 weeks of age, </w:t>
      </w:r>
      <w:r w:rsidRPr="007D60B5">
        <w:rPr>
          <w:rFonts w:asciiTheme="majorBidi" w:hAnsiTheme="majorBidi" w:cstheme="majorBidi"/>
          <w:color w:val="000000" w:themeColor="text1"/>
          <w:sz w:val="24"/>
          <w:szCs w:val="24"/>
        </w:rPr>
        <w:t>25 ± 5 g</w:t>
      </w:r>
      <w:r w:rsidRPr="007D60B5">
        <w:rPr>
          <w:rFonts w:asciiTheme="majorBidi" w:hAnsiTheme="majorBidi" w:cstheme="majorBidi"/>
          <w:sz w:val="24"/>
          <w:szCs w:val="24"/>
        </w:rPr>
        <w:t xml:space="preserve">) were housed in a pathogen-free environment at a 4–5 mice/cage </w:t>
      </w:r>
      <w:r w:rsidRPr="007D60B5">
        <w:rPr>
          <w:rFonts w:asciiTheme="majorBidi" w:eastAsiaTheme="minorEastAsia" w:hAnsiTheme="majorBidi" w:cstheme="majorBidi"/>
          <w:color w:val="000000" w:themeColor="text1"/>
          <w:sz w:val="24"/>
          <w:szCs w:val="24"/>
        </w:rPr>
        <w:t>under standard conditions of light illumination, relative humidity, and temperature, and they had free access to standard laboratory food and water throughout</w:t>
      </w:r>
      <w:r w:rsidRPr="007D60B5">
        <w:rPr>
          <w:rFonts w:asciiTheme="majorBidi" w:eastAsiaTheme="minorEastAsia" w:hAnsiTheme="majorBidi" w:cstheme="majorBidi"/>
          <w:sz w:val="24"/>
          <w:szCs w:val="24"/>
        </w:rPr>
        <w:t xml:space="preserve"> the study</w:t>
      </w:r>
      <w:r w:rsidRPr="007D60B5">
        <w:rPr>
          <w:rFonts w:asciiTheme="majorBidi" w:hAnsiTheme="majorBidi" w:cstheme="majorBidi"/>
          <w:sz w:val="24"/>
          <w:szCs w:val="24"/>
        </w:rPr>
        <w:t>. All procedures were performed according to a protocol approved by the Animal Care and Use Committee of the Faculty of Pharmacy, Alexandria University, Alexandria, Egypt, and in accordance with regulations of the National Research Council’s guide for the care and use of laboratory animals.</w:t>
      </w:r>
    </w:p>
    <w:p w:rsidR="003960D3" w:rsidRPr="007D60B5" w:rsidRDefault="003960D3" w:rsidP="000F70DC">
      <w:pPr>
        <w:pStyle w:val="NoSpacing"/>
        <w:jc w:val="both"/>
        <w:rPr>
          <w:rFonts w:asciiTheme="majorBidi" w:hAnsiTheme="majorBidi" w:cstheme="majorBidi"/>
          <w:sz w:val="24"/>
          <w:szCs w:val="24"/>
        </w:rPr>
      </w:pPr>
    </w:p>
    <w:p w:rsidR="00645C39" w:rsidRPr="007D60B5" w:rsidRDefault="004172D7" w:rsidP="000F70DC">
      <w:pPr>
        <w:pStyle w:val="NoSpacing"/>
        <w:jc w:val="both"/>
        <w:rPr>
          <w:rFonts w:asciiTheme="majorBidi" w:hAnsiTheme="majorBidi" w:cstheme="majorBidi"/>
          <w:b/>
          <w:bCs/>
          <w:i/>
          <w:iCs/>
          <w:color w:val="000000" w:themeColor="text1"/>
          <w:sz w:val="24"/>
          <w:szCs w:val="24"/>
        </w:rPr>
      </w:pPr>
      <w:bookmarkStart w:id="7" w:name="_Toc441232706"/>
      <w:r w:rsidRPr="007D60B5">
        <w:rPr>
          <w:rFonts w:asciiTheme="majorBidi" w:hAnsiTheme="majorBidi" w:cstheme="majorBidi"/>
          <w:b/>
          <w:bCs/>
          <w:color w:val="000000" w:themeColor="text1"/>
          <w:sz w:val="24"/>
          <w:szCs w:val="24"/>
        </w:rPr>
        <w:t>1</w:t>
      </w:r>
      <w:r w:rsidR="00645C39" w:rsidRPr="007D60B5">
        <w:rPr>
          <w:rFonts w:asciiTheme="majorBidi" w:hAnsiTheme="majorBidi" w:cstheme="majorBidi"/>
          <w:b/>
          <w:bCs/>
          <w:color w:val="000000" w:themeColor="text1"/>
          <w:sz w:val="24"/>
          <w:szCs w:val="24"/>
        </w:rPr>
        <w:t>.</w:t>
      </w:r>
      <w:r w:rsidR="00FE019E" w:rsidRPr="007D60B5">
        <w:rPr>
          <w:rFonts w:asciiTheme="majorBidi" w:hAnsiTheme="majorBidi" w:cstheme="majorBidi"/>
          <w:b/>
          <w:bCs/>
          <w:color w:val="000000" w:themeColor="text1"/>
          <w:sz w:val="24"/>
          <w:szCs w:val="24"/>
        </w:rPr>
        <w:t>8</w:t>
      </w:r>
      <w:r w:rsidR="00645C39" w:rsidRPr="007D60B5">
        <w:rPr>
          <w:rFonts w:asciiTheme="majorBidi" w:hAnsiTheme="majorBidi" w:cstheme="majorBidi"/>
          <w:b/>
          <w:bCs/>
          <w:color w:val="000000" w:themeColor="text1"/>
          <w:sz w:val="24"/>
          <w:szCs w:val="24"/>
        </w:rPr>
        <w:t>.2. Development of tumor model</w:t>
      </w:r>
      <w:bookmarkEnd w:id="7"/>
    </w:p>
    <w:p w:rsidR="00645C39" w:rsidRPr="007D60B5" w:rsidRDefault="00645C39" w:rsidP="00981DC7">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Female BALB/C mice (7-8 weeks of age) were housed in a pathogen-free environment at 7 mice/cage. They were provided with autoclaved and non-fluorescent mouse chow and water. Ehrlich ascites tumor (EAT) cells, supplied from National Institute of Cancer, Egypt, were collected from the ascitic fluid of BALB/C mice harboring 8–10 days old ascitic tumor. </w:t>
      </w:r>
      <w:r w:rsidRPr="007D60B5">
        <w:rPr>
          <w:rFonts w:asciiTheme="majorBidi" w:hAnsiTheme="majorBidi" w:cstheme="majorBidi"/>
          <w:sz w:val="24"/>
          <w:szCs w:val="24"/>
          <w:lang w:val="en-BZ"/>
        </w:rPr>
        <w:t>Approximately, 10</w:t>
      </w:r>
      <w:r w:rsidRPr="007D60B5">
        <w:rPr>
          <w:rFonts w:asciiTheme="majorBidi" w:hAnsiTheme="majorBidi" w:cstheme="majorBidi"/>
          <w:sz w:val="24"/>
          <w:szCs w:val="24"/>
          <w:vertAlign w:val="superscript"/>
          <w:lang w:val="en-BZ"/>
        </w:rPr>
        <w:t>7</w:t>
      </w:r>
      <w:r w:rsidRPr="007D60B5">
        <w:rPr>
          <w:rFonts w:asciiTheme="majorBidi" w:hAnsiTheme="majorBidi" w:cstheme="majorBidi"/>
          <w:sz w:val="24"/>
          <w:szCs w:val="24"/>
          <w:lang w:val="en-BZ"/>
        </w:rPr>
        <w:t xml:space="preserve"> of </w:t>
      </w:r>
      <w:r w:rsidRPr="007D60B5">
        <w:rPr>
          <w:rFonts w:asciiTheme="majorBidi" w:hAnsiTheme="majorBidi" w:cstheme="majorBidi"/>
          <w:sz w:val="24"/>
          <w:szCs w:val="24"/>
        </w:rPr>
        <w:t xml:space="preserve">EAT cells </w:t>
      </w:r>
      <w:r w:rsidRPr="007D60B5">
        <w:rPr>
          <w:rFonts w:asciiTheme="majorBidi" w:hAnsiTheme="majorBidi" w:cstheme="majorBidi"/>
          <w:color w:val="131413"/>
          <w:sz w:val="24"/>
          <w:szCs w:val="24"/>
        </w:rPr>
        <w:t xml:space="preserve">suspended in PBS </w:t>
      </w:r>
      <w:r w:rsidRPr="007D60B5">
        <w:rPr>
          <w:rFonts w:asciiTheme="majorBidi" w:hAnsiTheme="majorBidi" w:cstheme="majorBidi"/>
          <w:sz w:val="24"/>
          <w:szCs w:val="24"/>
        </w:rPr>
        <w:t>were injected into the left side of the mammary fat pad of BALB/C female mice. Tumor growth was assessed daily until its volume reached 100 mm</w:t>
      </w:r>
      <w:r w:rsidRPr="007D60B5">
        <w:rPr>
          <w:rFonts w:asciiTheme="majorBidi" w:hAnsiTheme="majorBidi" w:cstheme="majorBidi"/>
          <w:sz w:val="24"/>
          <w:szCs w:val="24"/>
          <w:vertAlign w:val="superscript"/>
        </w:rPr>
        <w:t>3</w:t>
      </w:r>
      <w:r w:rsidRPr="007D60B5">
        <w:rPr>
          <w:rFonts w:asciiTheme="majorBidi" w:hAnsiTheme="majorBidi" w:cstheme="majorBidi"/>
          <w:sz w:val="24"/>
          <w:szCs w:val="24"/>
        </w:rPr>
        <w:t xml:space="preserve">. Tumor volume was calculated by measuring both perpendicular diameters of the tumor using a micrometer based on the following equation </w:t>
      </w:r>
      <w:r w:rsidRPr="007D60B5">
        <w:rPr>
          <w:rFonts w:asciiTheme="majorBidi" w:hAnsiTheme="majorBidi" w:cstheme="majorBidi"/>
          <w:sz w:val="24"/>
          <w:szCs w:val="24"/>
        </w:rPr>
        <w:fldChar w:fldCharType="begin"/>
      </w:r>
      <w:r w:rsidR="00981DC7" w:rsidRPr="007D60B5">
        <w:rPr>
          <w:rFonts w:asciiTheme="majorBidi" w:hAnsiTheme="majorBidi" w:cstheme="majorBidi"/>
          <w:sz w:val="24"/>
          <w:szCs w:val="24"/>
        </w:rPr>
        <w:instrText xml:space="preserve"> ADDIN EN.CITE &lt;EndNote&gt;&lt;Cite&gt;&lt;Author&gt;Freag&lt;/Author&gt;&lt;Year&gt;2016&lt;/Year&gt;&lt;RecNum&gt;411&lt;/RecNum&gt;&lt;DisplayText&gt;[8]&lt;/DisplayText&gt;&lt;record&gt;&lt;rec-number&gt;411&lt;/rec-number&gt;&lt;foreign-keys&gt;&lt;key app="EN" db-id="ddwesee0ar9ra9eef25xt95p59vap5tpr22f"&gt;411&lt;/key&gt;&lt;/foreign-keys&gt;&lt;ref-type name="Journal Article"&gt;17&lt;/ref-type&gt;&lt;contributors&gt;&lt;authors&gt;&lt;author&gt;Freag, M. S.&lt;/author&gt;&lt;author&gt;Elnaggar, Y. S.&lt;/author&gt;&lt;author&gt;Abdelmonsif, D. A.&lt;/author&gt;&lt;author&gt;Abdallah, O. Y.&lt;/author&gt;&lt;/authors&gt;&lt;/contributors&gt;&lt;auth-address&gt;Department of Pharmaceutics, Faculty of Pharmacy, Alexandria University, Alexandria, Egypt.&amp;#xD;Department of Pharmaceutics, Faculty of Pharmacy &amp;amp; Drug Manufacturing, Pharos University in Alexandria, Alexandria, Egypt.&amp;#xD;Department of Medical Biochemistry, Faculty of Medicine, Alexandria University, Alexandria, Egypt.&lt;/auth-address&gt;&lt;titles&gt;&lt;title&gt;Layer-by-layer-coated lyotropic liquid crystalline nanoparticles for active tumor targeting of rapamycin&lt;/title&gt;&lt;secondary-title&gt;Nanomedicine (Lond)&lt;/secondary-title&gt;&lt;alt-title&gt;Nanomedicine (London, England)&lt;/alt-title&gt;&lt;/titles&gt;&lt;periodical&gt;&lt;full-title&gt;Nanomedicine (Lond)&lt;/full-title&gt;&lt;abbr-1&gt;Nanomedicine (London, England)&lt;/abbr-1&gt;&lt;/periodical&gt;&lt;alt-periodical&gt;&lt;full-title&gt;Nanomedicine (Lond)&lt;/full-title&gt;&lt;abbr-1&gt;Nanomedicine (London, England)&lt;/abbr-1&gt;&lt;/alt-periodical&gt;&lt;pages&gt;2975-2996&lt;/pages&gt;&lt;volume&gt;11&lt;/volume&gt;&lt;number&gt;22&lt;/number&gt;&lt;edition&gt;2016/11/01&lt;/edition&gt;&lt;dates&gt;&lt;year&gt;2016&lt;/year&gt;&lt;pub-dates&gt;&lt;date&gt;Nov&lt;/date&gt;&lt;/pub-dates&gt;&lt;/dates&gt;&lt;isbn&gt;1743-5889&lt;/isbn&gt;&lt;accession-num&gt;27785978&lt;/accession-num&gt;&lt;urls&gt;&lt;/urls&gt;&lt;electronic-resource-num&gt;10.2217/nnm-2016-0236&lt;/electronic-resource-num&gt;&lt;remote-database-provider&gt;Nlm&lt;/remote-database-provider&gt;&lt;language&gt;eng&lt;/language&gt;&lt;/record&gt;&lt;/Cite&gt;&lt;/EndNote&gt;</w:instrText>
      </w:r>
      <w:r w:rsidRPr="007D60B5">
        <w:rPr>
          <w:rFonts w:asciiTheme="majorBidi" w:hAnsiTheme="majorBidi" w:cstheme="majorBidi"/>
          <w:sz w:val="24"/>
          <w:szCs w:val="24"/>
        </w:rPr>
        <w:fldChar w:fldCharType="separate"/>
      </w:r>
      <w:r w:rsidR="00981DC7" w:rsidRPr="007D60B5">
        <w:rPr>
          <w:rFonts w:asciiTheme="majorBidi" w:hAnsiTheme="majorBidi" w:cstheme="majorBidi"/>
          <w:noProof/>
          <w:sz w:val="24"/>
          <w:szCs w:val="24"/>
        </w:rPr>
        <w:t>[</w:t>
      </w:r>
      <w:hyperlink w:anchor="_ENREF_8" w:tooltip="Freag, 2016 #411" w:history="1">
        <w:r w:rsidR="00981DC7" w:rsidRPr="007D60B5">
          <w:rPr>
            <w:rFonts w:asciiTheme="majorBidi" w:hAnsiTheme="majorBidi" w:cstheme="majorBidi"/>
            <w:noProof/>
            <w:sz w:val="24"/>
            <w:szCs w:val="24"/>
          </w:rPr>
          <w:t>8</w:t>
        </w:r>
      </w:hyperlink>
      <w:r w:rsidR="00981DC7" w:rsidRPr="007D60B5">
        <w:rPr>
          <w:rFonts w:asciiTheme="majorBidi" w:hAnsiTheme="majorBidi" w:cstheme="majorBidi"/>
          <w:noProof/>
          <w:sz w:val="24"/>
          <w:szCs w:val="24"/>
        </w:rPr>
        <w:t>]</w:t>
      </w:r>
      <w:r w:rsidRPr="007D60B5">
        <w:rPr>
          <w:rFonts w:asciiTheme="majorBidi" w:hAnsiTheme="majorBidi" w:cstheme="majorBidi"/>
          <w:sz w:val="24"/>
          <w:szCs w:val="24"/>
        </w:rPr>
        <w:fldChar w:fldCharType="end"/>
      </w:r>
      <w:r w:rsidRPr="007D60B5">
        <w:rPr>
          <w:rFonts w:asciiTheme="majorBidi" w:hAnsiTheme="majorBidi" w:cstheme="majorBidi"/>
          <w:sz w:val="24"/>
          <w:szCs w:val="24"/>
        </w:rPr>
        <w:t>:</w:t>
      </w:r>
    </w:p>
    <w:p w:rsidR="00645C39" w:rsidRPr="007D60B5" w:rsidRDefault="00645C39" w:rsidP="000F70DC">
      <w:pPr>
        <w:pStyle w:val="NoSpacing"/>
        <w:jc w:val="both"/>
        <w:rPr>
          <w:rFonts w:asciiTheme="majorBidi" w:hAnsiTheme="majorBidi" w:cstheme="majorBidi"/>
          <w:sz w:val="24"/>
          <w:szCs w:val="24"/>
        </w:rPr>
      </w:pPr>
      <m:oMathPara>
        <m:oMath>
          <m:r>
            <w:rPr>
              <w:rFonts w:ascii="Cambria Math" w:hAnsi="Cambria Math" w:cstheme="majorBidi"/>
              <w:sz w:val="24"/>
              <w:szCs w:val="24"/>
            </w:rPr>
            <m:t>Tumor volume=</m:t>
          </m:r>
          <m:f>
            <m:fPr>
              <m:ctrlPr>
                <w:rPr>
                  <w:rFonts w:ascii="Cambria Math" w:hAnsi="Cambria Math" w:cstheme="majorBidi"/>
                  <w:i/>
                  <w:sz w:val="24"/>
                  <w:szCs w:val="24"/>
                </w:rPr>
              </m:ctrlPr>
            </m:fPr>
            <m:num>
              <m:r>
                <w:rPr>
                  <w:rFonts w:ascii="Cambria Math" w:hAnsi="Cambria Math" w:cstheme="majorBidi"/>
                  <w:sz w:val="24"/>
                  <w:szCs w:val="24"/>
                </w:rPr>
                <m:t>L×W×W</m:t>
              </m:r>
            </m:num>
            <m:den>
              <m:r>
                <w:rPr>
                  <w:rFonts w:ascii="Cambria Math" w:hAnsi="Cambria Math" w:cstheme="majorBidi"/>
                  <w:sz w:val="24"/>
                  <w:szCs w:val="24"/>
                </w:rPr>
                <m:t>2</m:t>
              </m:r>
            </m:den>
          </m:f>
          <m:r>
            <w:rPr>
              <w:rFonts w:ascii="Cambria Math" w:hAnsi="Cambria Math" w:cstheme="majorBidi"/>
              <w:sz w:val="24"/>
              <w:szCs w:val="24"/>
            </w:rPr>
            <m:t xml:space="preserve">               (</m:t>
          </m:r>
          <m:r>
            <m:rPr>
              <m:sty m:val="p"/>
            </m:rPr>
            <w:rPr>
              <w:rFonts w:ascii="Cambria Math" w:hAnsi="Cambria Math" w:cstheme="majorBidi"/>
              <w:sz w:val="24"/>
              <w:szCs w:val="24"/>
            </w:rPr>
            <m:t>Equation S4</m:t>
          </m:r>
          <m:r>
            <w:rPr>
              <w:rFonts w:ascii="Cambria Math" w:hAnsi="Cambria Math" w:cstheme="majorBidi"/>
              <w:sz w:val="24"/>
              <w:szCs w:val="24"/>
            </w:rPr>
            <m:t>)</m:t>
          </m:r>
        </m:oMath>
      </m:oMathPara>
    </w:p>
    <w:p w:rsidR="00645C39" w:rsidRPr="007D60B5" w:rsidRDefault="00645C39"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where W is tumor width, L is tumor length.</w:t>
      </w:r>
      <w:r w:rsidRPr="007D60B5">
        <w:rPr>
          <w:rFonts w:asciiTheme="majorBidi" w:hAnsiTheme="majorBidi" w:cstheme="majorBidi"/>
          <w:sz w:val="24"/>
          <w:szCs w:val="24"/>
          <w:lang w:val="en-BZ"/>
        </w:rPr>
        <w:t xml:space="preserve">          </w:t>
      </w:r>
    </w:p>
    <w:p w:rsidR="003960D3" w:rsidRPr="007D60B5" w:rsidRDefault="003960D3" w:rsidP="000F70DC">
      <w:pPr>
        <w:pStyle w:val="NoSpacing"/>
        <w:jc w:val="both"/>
        <w:rPr>
          <w:rFonts w:asciiTheme="majorBidi" w:hAnsiTheme="majorBidi" w:cstheme="majorBidi"/>
          <w:b/>
          <w:bCs/>
          <w:sz w:val="24"/>
          <w:szCs w:val="24"/>
        </w:rPr>
      </w:pPr>
    </w:p>
    <w:p w:rsidR="00645C39"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lastRenderedPageBreak/>
        <w:t>1</w:t>
      </w:r>
      <w:r w:rsidR="00645C39" w:rsidRPr="007D60B5">
        <w:rPr>
          <w:rFonts w:asciiTheme="majorBidi" w:hAnsiTheme="majorBidi" w:cstheme="majorBidi"/>
          <w:b/>
          <w:bCs/>
          <w:sz w:val="24"/>
          <w:szCs w:val="24"/>
        </w:rPr>
        <w:t>.</w:t>
      </w:r>
      <w:r w:rsidR="00FE019E" w:rsidRPr="007D60B5">
        <w:rPr>
          <w:rFonts w:asciiTheme="majorBidi" w:hAnsiTheme="majorBidi" w:cstheme="majorBidi"/>
          <w:b/>
          <w:bCs/>
          <w:sz w:val="24"/>
          <w:szCs w:val="24"/>
        </w:rPr>
        <w:t>8</w:t>
      </w:r>
      <w:r w:rsidR="00645C39" w:rsidRPr="007D60B5">
        <w:rPr>
          <w:rFonts w:asciiTheme="majorBidi" w:hAnsiTheme="majorBidi" w:cstheme="majorBidi"/>
          <w:b/>
          <w:bCs/>
          <w:sz w:val="24"/>
          <w:szCs w:val="24"/>
        </w:rPr>
        <w:t>.3. Tumor growth biomarkers</w:t>
      </w:r>
    </w:p>
    <w:p w:rsidR="00645C39" w:rsidRPr="007D60B5" w:rsidRDefault="00645C39"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Excised tumors were homogenized using cold PBS to make a final 40% tissue homogenate. </w:t>
      </w:r>
      <w:r w:rsidR="001F5E36" w:rsidRPr="007D60B5">
        <w:rPr>
          <w:rFonts w:asciiTheme="majorBidi" w:hAnsiTheme="majorBidi" w:cstheme="majorBidi"/>
          <w:sz w:val="24"/>
          <w:szCs w:val="24"/>
        </w:rPr>
        <w:t xml:space="preserve">Rat Aromatase (ARO) BioAssay™ ELISA Kit (Rat) Cat No. 023576 was purchased from US Biological Life Sciences, USA. Cyclin-D1 (CD1) ELISA Kit (EIAab® Catalog No: E0585r) was purchased from Cedarlane Laboratories USA Inc., USA. </w:t>
      </w:r>
      <w:r w:rsidRPr="007D60B5">
        <w:rPr>
          <w:rFonts w:asciiTheme="majorBidi" w:hAnsiTheme="majorBidi" w:cstheme="majorBidi"/>
          <w:color w:val="131413"/>
          <w:sz w:val="24"/>
          <w:szCs w:val="24"/>
        </w:rPr>
        <w:t>Angiogenesis was determined by measurement of the level of the angiogenic factor; vascular endothelial growth factor (VEGF-1)</w:t>
      </w:r>
      <w:r w:rsidRPr="007D60B5">
        <w:rPr>
          <w:rFonts w:asciiTheme="majorBidi" w:hAnsiTheme="majorBidi" w:cstheme="majorBidi"/>
          <w:sz w:val="24"/>
          <w:szCs w:val="24"/>
        </w:rPr>
        <w:t xml:space="preserve"> using "VEGF-1 ELISA Kit" (RayBio Tech Inc., USA). Apoptosis induction was detected by</w:t>
      </w:r>
      <w:r w:rsidRPr="007D60B5">
        <w:rPr>
          <w:rFonts w:asciiTheme="majorBidi" w:hAnsiTheme="majorBidi" w:cstheme="majorBidi"/>
          <w:color w:val="131413"/>
          <w:sz w:val="24"/>
          <w:szCs w:val="24"/>
        </w:rPr>
        <w:t xml:space="preserve"> measurement of </w:t>
      </w:r>
      <w:r w:rsidRPr="007D60B5">
        <w:rPr>
          <w:rFonts w:asciiTheme="majorBidi" w:hAnsiTheme="majorBidi" w:cstheme="majorBidi"/>
          <w:sz w:val="24"/>
          <w:szCs w:val="24"/>
        </w:rPr>
        <w:t xml:space="preserve">tissue caspase-3 level using "Caspase-3 (Casp-3) ELISA Kit” (WKEA Med Supplies Corp., USA). The markers were quantified according to the manufacturer’s protocol. </w:t>
      </w:r>
    </w:p>
    <w:p w:rsidR="003960D3" w:rsidRPr="007D60B5" w:rsidRDefault="003960D3" w:rsidP="000F70DC">
      <w:pPr>
        <w:pStyle w:val="NoSpacing"/>
        <w:jc w:val="both"/>
        <w:rPr>
          <w:rFonts w:asciiTheme="majorBidi" w:hAnsiTheme="majorBidi" w:cstheme="majorBidi"/>
          <w:b/>
          <w:bCs/>
          <w:sz w:val="24"/>
          <w:szCs w:val="24"/>
        </w:rPr>
      </w:pPr>
    </w:p>
    <w:p w:rsidR="003960D3" w:rsidRPr="007D60B5" w:rsidRDefault="003960D3" w:rsidP="000F70DC">
      <w:pPr>
        <w:pStyle w:val="NoSpacing"/>
        <w:jc w:val="both"/>
        <w:rPr>
          <w:rFonts w:asciiTheme="majorBidi" w:hAnsiTheme="majorBidi" w:cstheme="majorBidi"/>
          <w:b/>
          <w:bCs/>
          <w:sz w:val="24"/>
          <w:szCs w:val="24"/>
        </w:rPr>
      </w:pPr>
    </w:p>
    <w:p w:rsidR="00645C39" w:rsidRPr="007D60B5" w:rsidRDefault="004172D7" w:rsidP="000F70DC">
      <w:pPr>
        <w:pStyle w:val="NoSpacing"/>
        <w:jc w:val="both"/>
        <w:rPr>
          <w:rFonts w:asciiTheme="majorBidi" w:hAnsiTheme="majorBidi" w:cstheme="majorBidi"/>
          <w:b/>
          <w:bCs/>
          <w:sz w:val="24"/>
          <w:szCs w:val="24"/>
        </w:rPr>
      </w:pPr>
      <w:r w:rsidRPr="007D60B5">
        <w:rPr>
          <w:rFonts w:asciiTheme="majorBidi" w:hAnsiTheme="majorBidi" w:cstheme="majorBidi"/>
          <w:b/>
          <w:bCs/>
          <w:sz w:val="24"/>
          <w:szCs w:val="24"/>
        </w:rPr>
        <w:t>1</w:t>
      </w:r>
      <w:r w:rsidR="00645C39" w:rsidRPr="007D60B5">
        <w:rPr>
          <w:rFonts w:asciiTheme="majorBidi" w:hAnsiTheme="majorBidi" w:cstheme="majorBidi"/>
          <w:b/>
          <w:bCs/>
          <w:sz w:val="24"/>
          <w:szCs w:val="24"/>
        </w:rPr>
        <w:t>.</w:t>
      </w:r>
      <w:r w:rsidR="00FE019E" w:rsidRPr="007D60B5">
        <w:rPr>
          <w:rFonts w:asciiTheme="majorBidi" w:hAnsiTheme="majorBidi" w:cstheme="majorBidi"/>
          <w:b/>
          <w:bCs/>
          <w:sz w:val="24"/>
          <w:szCs w:val="24"/>
        </w:rPr>
        <w:t>8</w:t>
      </w:r>
      <w:r w:rsidR="00645C39" w:rsidRPr="007D60B5">
        <w:rPr>
          <w:rFonts w:asciiTheme="majorBidi" w:hAnsiTheme="majorBidi" w:cstheme="majorBidi"/>
          <w:b/>
          <w:bCs/>
          <w:sz w:val="24"/>
          <w:szCs w:val="24"/>
        </w:rPr>
        <w:t xml:space="preserve">.4. Histopathological analysis </w:t>
      </w:r>
    </w:p>
    <w:p w:rsidR="00C37E58" w:rsidRPr="007D60B5" w:rsidRDefault="00645C39"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 xml:space="preserve">10% neutral formalin was used for fixation of the tumor samples for 24 h at room temperature. A 5 μm thick section were brought down to distilled water, stained with H &amp; E for 5 min and 2 min, respectively, dehydrated in alcohol and mounted in Canada balsam, then examined microscopically. </w:t>
      </w:r>
    </w:p>
    <w:p w:rsidR="00C43469" w:rsidRPr="007D60B5" w:rsidRDefault="00C43469" w:rsidP="000F70DC">
      <w:pPr>
        <w:pStyle w:val="NoSpacing"/>
        <w:jc w:val="both"/>
        <w:rPr>
          <w:rFonts w:asciiTheme="majorBidi" w:eastAsia="Calibri" w:hAnsiTheme="majorBidi" w:cstheme="majorBidi"/>
          <w:color w:val="000000"/>
          <w:sz w:val="24"/>
          <w:szCs w:val="24"/>
        </w:rPr>
      </w:pPr>
      <w:r w:rsidRPr="007D60B5">
        <w:rPr>
          <w:rFonts w:asciiTheme="majorBidi" w:eastAsia="Calibri" w:hAnsiTheme="majorBidi" w:cstheme="majorBidi"/>
          <w:color w:val="000000"/>
          <w:sz w:val="24"/>
          <w:szCs w:val="24"/>
        </w:rPr>
        <w:t xml:space="preserve">The necrosis in the excised mammary tumor was assessed semi-quantitatively by examining 10 random sections (×40) from each excised tumor and scoring on a scale from 1 to 4 for the following criterion: Score 4; section in poorly differentiated tumor showing &gt;50% necrosis, Score 3; section in poorly differentiated tumor showing about 35% necrosis, Score 2; section in poorly differentiated tumor showing about 25% necrosis, Score 1; section in poorly differentiated tumor showing about 10% necrosis. The mean value of all 10 scores was computed for each excised tumor and expressed as Mean of necrosis scale ± S.E </w:t>
      </w:r>
    </w:p>
    <w:p w:rsidR="0073284F" w:rsidRPr="007D60B5" w:rsidRDefault="00645C39" w:rsidP="000F70DC">
      <w:pPr>
        <w:pStyle w:val="NoSpacing"/>
        <w:jc w:val="both"/>
        <w:rPr>
          <w:rFonts w:asciiTheme="majorBidi" w:hAnsiTheme="majorBidi" w:cstheme="majorBidi"/>
          <w:sz w:val="24"/>
          <w:szCs w:val="24"/>
        </w:rPr>
      </w:pPr>
      <w:r w:rsidRPr="007D60B5">
        <w:rPr>
          <w:rFonts w:asciiTheme="majorBidi" w:hAnsiTheme="majorBidi" w:cstheme="majorBidi"/>
          <w:sz w:val="24"/>
          <w:szCs w:val="24"/>
        </w:rPr>
        <w:t>The mean value of all 10 scores was computed for each excised tumor and expressed as Mean of necrosis scale ± S.E.</w:t>
      </w:r>
    </w:p>
    <w:p w:rsidR="003960D3" w:rsidRPr="007D60B5" w:rsidRDefault="003960D3" w:rsidP="000F70DC">
      <w:pPr>
        <w:pStyle w:val="NoSpacing"/>
        <w:jc w:val="both"/>
        <w:rPr>
          <w:rFonts w:asciiTheme="majorBidi" w:hAnsiTheme="majorBidi" w:cstheme="majorBidi"/>
          <w:sz w:val="24"/>
          <w:szCs w:val="24"/>
        </w:rPr>
      </w:pPr>
    </w:p>
    <w:p w:rsidR="0073789A" w:rsidRPr="007D60B5" w:rsidRDefault="00FE019E" w:rsidP="000F70DC">
      <w:pPr>
        <w:pStyle w:val="NoSpacing"/>
        <w:jc w:val="both"/>
        <w:rPr>
          <w:rFonts w:asciiTheme="majorBidi" w:hAnsiTheme="majorBidi" w:cstheme="majorBidi"/>
          <w:b/>
          <w:bCs/>
          <w:sz w:val="24"/>
          <w:szCs w:val="24"/>
        </w:rPr>
      </w:pPr>
      <w:bookmarkStart w:id="8" w:name="_Toc441232711"/>
      <w:bookmarkStart w:id="9" w:name="_Toc454537042"/>
      <w:r w:rsidRPr="007D60B5">
        <w:rPr>
          <w:rFonts w:asciiTheme="majorBidi" w:hAnsiTheme="majorBidi" w:cstheme="majorBidi"/>
          <w:b/>
          <w:bCs/>
          <w:sz w:val="24"/>
          <w:szCs w:val="24"/>
        </w:rPr>
        <w:t xml:space="preserve">1.9. </w:t>
      </w:r>
      <w:r w:rsidR="0073789A" w:rsidRPr="007D60B5">
        <w:rPr>
          <w:rFonts w:asciiTheme="majorBidi" w:hAnsiTheme="majorBidi" w:cstheme="majorBidi"/>
          <w:b/>
          <w:bCs/>
          <w:sz w:val="24"/>
          <w:szCs w:val="24"/>
        </w:rPr>
        <w:t>Statistic</w:t>
      </w:r>
      <w:bookmarkEnd w:id="8"/>
      <w:bookmarkEnd w:id="9"/>
      <w:r w:rsidR="0073789A" w:rsidRPr="007D60B5">
        <w:rPr>
          <w:rFonts w:asciiTheme="majorBidi" w:hAnsiTheme="majorBidi" w:cstheme="majorBidi"/>
          <w:b/>
          <w:bCs/>
          <w:sz w:val="24"/>
          <w:szCs w:val="24"/>
        </w:rPr>
        <w:t>al analysis</w:t>
      </w:r>
    </w:p>
    <w:p w:rsidR="00C37E58" w:rsidRPr="007D60B5" w:rsidRDefault="0073789A" w:rsidP="000F70DC">
      <w:pPr>
        <w:pStyle w:val="NoSpacing"/>
        <w:jc w:val="both"/>
        <w:rPr>
          <w:rFonts w:asciiTheme="majorBidi" w:hAnsiTheme="majorBidi" w:cstheme="majorBidi"/>
          <w:color w:val="211D1E"/>
          <w:sz w:val="24"/>
          <w:szCs w:val="24"/>
        </w:rPr>
      </w:pPr>
      <w:r w:rsidRPr="007D60B5">
        <w:rPr>
          <w:rFonts w:asciiTheme="majorBidi" w:hAnsiTheme="majorBidi" w:cstheme="majorBidi"/>
          <w:color w:val="211D1E"/>
          <w:sz w:val="24"/>
          <w:szCs w:val="24"/>
        </w:rPr>
        <w:t xml:space="preserve">All measurements were carried out in triplicate and values are presented as the mean ± S.D. For all </w:t>
      </w:r>
      <w:r w:rsidRPr="007D60B5">
        <w:rPr>
          <w:rFonts w:asciiTheme="majorBidi" w:hAnsiTheme="majorBidi" w:cstheme="majorBidi"/>
          <w:i/>
          <w:iCs/>
          <w:color w:val="211D1E"/>
          <w:sz w:val="24"/>
          <w:szCs w:val="24"/>
        </w:rPr>
        <w:t>in-vitro</w:t>
      </w:r>
      <w:r w:rsidRPr="007D60B5">
        <w:rPr>
          <w:rFonts w:asciiTheme="majorBidi" w:hAnsiTheme="majorBidi" w:cstheme="majorBidi"/>
          <w:color w:val="211D1E"/>
          <w:sz w:val="24"/>
          <w:szCs w:val="24"/>
        </w:rPr>
        <w:t xml:space="preserve"> characterization, analysis of Variance test (ANOVA) and Tukey’s Multiple Comparison test were used to compare mean values between groups. </w:t>
      </w:r>
      <w:r w:rsidRPr="007D60B5">
        <w:rPr>
          <w:rFonts w:asciiTheme="majorBidi" w:hAnsiTheme="majorBidi" w:cstheme="majorBidi"/>
          <w:sz w:val="24"/>
          <w:szCs w:val="24"/>
        </w:rPr>
        <w:t xml:space="preserve">Statistical analysis of </w:t>
      </w:r>
      <w:r w:rsidRPr="007D60B5">
        <w:rPr>
          <w:rFonts w:asciiTheme="majorBidi" w:hAnsiTheme="majorBidi" w:cstheme="majorBidi"/>
          <w:i/>
          <w:iCs/>
          <w:sz w:val="24"/>
          <w:szCs w:val="24"/>
        </w:rPr>
        <w:t>in-vivo</w:t>
      </w:r>
      <w:r w:rsidRPr="007D60B5">
        <w:rPr>
          <w:rFonts w:asciiTheme="majorBidi" w:hAnsiTheme="majorBidi" w:cstheme="majorBidi"/>
          <w:sz w:val="24"/>
          <w:szCs w:val="24"/>
        </w:rPr>
        <w:t xml:space="preserve"> pharmacokinetic and anti-tumor efficacy were performed using the software package Prism® 5.0 (GraphPad Software, Inc., CA and USA). </w:t>
      </w:r>
      <w:r w:rsidRPr="007D60B5">
        <w:rPr>
          <w:rFonts w:asciiTheme="majorBidi" w:hAnsiTheme="majorBidi" w:cstheme="majorBidi"/>
          <w:color w:val="211D1E"/>
          <w:sz w:val="24"/>
          <w:szCs w:val="24"/>
        </w:rPr>
        <w:t xml:space="preserve">The difference was considered significant when </w:t>
      </w:r>
      <w:r w:rsidRPr="007D60B5">
        <w:rPr>
          <w:rFonts w:asciiTheme="majorBidi" w:hAnsiTheme="majorBidi" w:cstheme="majorBidi"/>
          <w:i/>
          <w:iCs/>
          <w:color w:val="211D1E"/>
          <w:sz w:val="24"/>
          <w:szCs w:val="24"/>
        </w:rPr>
        <w:t>p</w:t>
      </w:r>
      <w:r w:rsidRPr="007D60B5">
        <w:rPr>
          <w:rFonts w:asciiTheme="majorBidi" w:hAnsiTheme="majorBidi" w:cstheme="majorBidi"/>
          <w:color w:val="211D1E"/>
          <w:sz w:val="24"/>
          <w:szCs w:val="24"/>
        </w:rPr>
        <w:t>-values &lt; 0.05.</w:t>
      </w:r>
    </w:p>
    <w:p w:rsidR="000F70DC" w:rsidRPr="007D60B5" w:rsidRDefault="000F70DC"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3960D3" w:rsidRPr="007D60B5" w:rsidRDefault="003960D3" w:rsidP="000F70DC">
      <w:pPr>
        <w:pStyle w:val="NoSpacing"/>
        <w:jc w:val="both"/>
        <w:rPr>
          <w:rFonts w:asciiTheme="majorBidi" w:hAnsiTheme="majorBidi" w:cstheme="majorBidi"/>
          <w:color w:val="211D1E"/>
          <w:sz w:val="24"/>
          <w:szCs w:val="24"/>
        </w:rPr>
      </w:pPr>
    </w:p>
    <w:p w:rsidR="000F70DC" w:rsidRPr="007D60B5" w:rsidRDefault="003960D3" w:rsidP="000F70DC">
      <w:pPr>
        <w:pStyle w:val="NoSpacing"/>
        <w:jc w:val="both"/>
        <w:rPr>
          <w:rFonts w:asciiTheme="majorBidi" w:hAnsiTheme="majorBidi" w:cstheme="majorBidi"/>
          <w:b/>
          <w:color w:val="211D1E"/>
          <w:sz w:val="24"/>
          <w:szCs w:val="24"/>
        </w:rPr>
      </w:pPr>
      <w:r w:rsidRPr="007D60B5">
        <w:rPr>
          <w:rFonts w:asciiTheme="majorBidi" w:hAnsiTheme="majorBidi" w:cstheme="majorBidi"/>
          <w:b/>
          <w:color w:val="211D1E"/>
          <w:sz w:val="24"/>
          <w:szCs w:val="24"/>
        </w:rPr>
        <w:lastRenderedPageBreak/>
        <w:t xml:space="preserve">2. </w:t>
      </w:r>
      <w:r w:rsidR="000F70DC" w:rsidRPr="007D60B5">
        <w:rPr>
          <w:rFonts w:asciiTheme="majorBidi" w:hAnsiTheme="majorBidi" w:cstheme="majorBidi"/>
          <w:b/>
          <w:color w:val="211D1E"/>
          <w:sz w:val="24"/>
          <w:szCs w:val="24"/>
        </w:rPr>
        <w:t>Results</w:t>
      </w:r>
    </w:p>
    <w:p w:rsidR="000F70DC" w:rsidRPr="007D60B5" w:rsidRDefault="000F70DC" w:rsidP="000F70DC">
      <w:pPr>
        <w:pStyle w:val="NoSpacing"/>
        <w:jc w:val="both"/>
        <w:rPr>
          <w:rFonts w:asciiTheme="majorBidi" w:hAnsiTheme="majorBidi" w:cstheme="majorBidi"/>
          <w:color w:val="211D1E"/>
          <w:sz w:val="24"/>
          <w:szCs w:val="24"/>
        </w:rPr>
      </w:pPr>
    </w:p>
    <w:p w:rsidR="000F70DC" w:rsidRPr="007D60B5" w:rsidRDefault="000F70DC" w:rsidP="000F70DC">
      <w:pPr>
        <w:pStyle w:val="NoSpacing"/>
        <w:jc w:val="center"/>
        <w:rPr>
          <w:rFonts w:asciiTheme="majorBidi" w:hAnsiTheme="majorBidi" w:cstheme="majorBidi"/>
          <w:b/>
          <w:color w:val="211D1E"/>
          <w:sz w:val="24"/>
          <w:szCs w:val="24"/>
        </w:rPr>
      </w:pPr>
      <w:r w:rsidRPr="007D60B5">
        <w:rPr>
          <w:rFonts w:asciiTheme="majorBidi" w:hAnsiTheme="majorBidi" w:cstheme="majorBidi"/>
          <w:b/>
          <w:color w:val="211D1E"/>
          <w:sz w:val="24"/>
          <w:szCs w:val="24"/>
        </w:rPr>
        <w:t>Figures</w:t>
      </w:r>
    </w:p>
    <w:p w:rsidR="000F70DC" w:rsidRPr="007D60B5" w:rsidRDefault="000F70DC" w:rsidP="000F70DC">
      <w:pPr>
        <w:pStyle w:val="NoSpacing"/>
        <w:jc w:val="center"/>
        <w:rPr>
          <w:rFonts w:asciiTheme="majorBidi" w:hAnsiTheme="majorBidi" w:cstheme="majorBidi"/>
          <w:b/>
          <w:color w:val="211D1E"/>
          <w:sz w:val="24"/>
          <w:szCs w:val="24"/>
          <w:u w:val="single"/>
        </w:rPr>
      </w:pPr>
    </w:p>
    <w:bookmarkEnd w:id="1"/>
    <w:p w:rsidR="008E4E1C" w:rsidRPr="007D60B5" w:rsidRDefault="00CB29E6" w:rsidP="000F70DC">
      <w:pPr>
        <w:pStyle w:val="NoSpacing"/>
        <w:jc w:val="center"/>
        <w:rPr>
          <w:rFonts w:asciiTheme="majorBidi" w:hAnsiTheme="majorBidi" w:cstheme="majorBidi"/>
          <w:sz w:val="24"/>
          <w:szCs w:val="24"/>
        </w:rPr>
      </w:pPr>
      <w:r w:rsidRPr="007D60B5">
        <w:rPr>
          <w:rFonts w:asciiTheme="majorBidi" w:hAnsiTheme="majorBidi" w:cstheme="majorBidi"/>
          <w:noProof/>
          <w:sz w:val="24"/>
          <w:szCs w:val="24"/>
        </w:rPr>
        <w:drawing>
          <wp:inline distT="0" distB="0" distL="0" distR="0">
            <wp:extent cx="5939155" cy="3342005"/>
            <wp:effectExtent l="0" t="0" r="4445" b="0"/>
            <wp:docPr id="1" name="Picture 1" descr="C:\Users\Sarah\Desktop\Fig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Fig S1.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155" cy="3342005"/>
                    </a:xfrm>
                    <a:prstGeom prst="rect">
                      <a:avLst/>
                    </a:prstGeom>
                    <a:noFill/>
                    <a:ln>
                      <a:noFill/>
                    </a:ln>
                  </pic:spPr>
                </pic:pic>
              </a:graphicData>
            </a:graphic>
          </wp:inline>
        </w:drawing>
      </w:r>
    </w:p>
    <w:p w:rsidR="008E4E1C" w:rsidRPr="007D60B5" w:rsidRDefault="008E4E1C" w:rsidP="000F70DC">
      <w:pPr>
        <w:pStyle w:val="NoSpacing"/>
        <w:jc w:val="both"/>
        <w:rPr>
          <w:rFonts w:asciiTheme="majorBidi" w:hAnsiTheme="majorBidi" w:cstheme="majorBidi"/>
          <w:sz w:val="24"/>
          <w:szCs w:val="24"/>
        </w:rPr>
      </w:pPr>
      <w:r w:rsidRPr="007D60B5">
        <w:rPr>
          <w:rFonts w:asciiTheme="majorBidi" w:hAnsiTheme="majorBidi" w:cstheme="majorBidi"/>
          <w:b/>
          <w:bCs/>
          <w:sz w:val="24"/>
          <w:szCs w:val="24"/>
        </w:rPr>
        <w:t>Figure S1</w:t>
      </w:r>
      <w:r w:rsidRPr="007D60B5">
        <w:rPr>
          <w:rFonts w:asciiTheme="majorBidi" w:hAnsiTheme="majorBidi" w:cstheme="majorBidi"/>
          <w:sz w:val="24"/>
          <w:szCs w:val="24"/>
        </w:rPr>
        <w:t xml:space="preserve">. </w:t>
      </w:r>
      <w:r w:rsidRPr="007D60B5">
        <w:rPr>
          <w:rFonts w:asciiTheme="majorBidi" w:hAnsiTheme="majorBidi" w:cstheme="majorBidi"/>
          <w:i/>
          <w:iCs/>
          <w:sz w:val="24"/>
          <w:szCs w:val="24"/>
        </w:rPr>
        <w:t xml:space="preserve">In-vitro </w:t>
      </w:r>
      <w:r w:rsidRPr="007D60B5">
        <w:rPr>
          <w:rFonts w:asciiTheme="majorBidi" w:hAnsiTheme="majorBidi" w:cstheme="majorBidi"/>
          <w:sz w:val="24"/>
          <w:szCs w:val="24"/>
        </w:rPr>
        <w:t>release profiles showing; the influence of (A) stabilizer type,</w:t>
      </w:r>
      <w:r w:rsidR="003B5435" w:rsidRPr="007D60B5">
        <w:rPr>
          <w:rFonts w:asciiTheme="majorBidi" w:hAnsiTheme="majorBidi" w:cstheme="majorBidi"/>
          <w:sz w:val="24"/>
          <w:szCs w:val="24"/>
        </w:rPr>
        <w:t xml:space="preserve"> </w:t>
      </w:r>
      <w:r w:rsidRPr="007D60B5">
        <w:rPr>
          <w:rFonts w:asciiTheme="majorBidi" w:hAnsiTheme="majorBidi" w:cstheme="majorBidi"/>
          <w:sz w:val="24"/>
          <w:szCs w:val="24"/>
        </w:rPr>
        <w:t xml:space="preserve">(B) EXM concentrations, and (C) zein concentrations with a fixed ratio of zein: EXM (3:1) on the </w:t>
      </w:r>
      <w:r w:rsidRPr="007D60B5">
        <w:rPr>
          <w:rFonts w:asciiTheme="majorBidi" w:hAnsiTheme="majorBidi" w:cstheme="majorBidi"/>
          <w:i/>
          <w:iCs/>
          <w:sz w:val="24"/>
          <w:szCs w:val="24"/>
        </w:rPr>
        <w:t xml:space="preserve">in-vitro </w:t>
      </w:r>
      <w:r w:rsidRPr="007D60B5">
        <w:rPr>
          <w:rFonts w:asciiTheme="majorBidi" w:hAnsiTheme="majorBidi" w:cstheme="majorBidi"/>
          <w:sz w:val="24"/>
          <w:szCs w:val="24"/>
        </w:rPr>
        <w:t>release of EXM from zein NS. (D)</w:t>
      </w:r>
      <w:r w:rsidRPr="007D60B5">
        <w:rPr>
          <w:rFonts w:asciiTheme="majorBidi" w:hAnsiTheme="majorBidi" w:cstheme="majorBidi"/>
          <w:i/>
          <w:iCs/>
          <w:sz w:val="24"/>
          <w:szCs w:val="24"/>
        </w:rPr>
        <w:t xml:space="preserve"> in-vitro</w:t>
      </w:r>
      <w:r w:rsidRPr="007D60B5">
        <w:rPr>
          <w:rFonts w:asciiTheme="majorBidi" w:hAnsiTheme="majorBidi" w:cstheme="majorBidi"/>
          <w:sz w:val="24"/>
          <w:szCs w:val="24"/>
        </w:rPr>
        <w:t xml:space="preserve"> release of LUT from LUT-loaded zein NS in PBS pH 7.4; 0.5% (w/v) SLS at 100 rpm and 37±0.5 ºC</w:t>
      </w:r>
      <w:r w:rsidR="000F70DC" w:rsidRPr="007D60B5">
        <w:rPr>
          <w:rFonts w:asciiTheme="majorBidi" w:hAnsiTheme="majorBidi" w:cstheme="majorBidi"/>
          <w:sz w:val="24"/>
          <w:szCs w:val="24"/>
        </w:rPr>
        <w:t>.</w:t>
      </w:r>
    </w:p>
    <w:p w:rsidR="000F70DC" w:rsidRPr="007D60B5" w:rsidRDefault="000F70DC" w:rsidP="000F70DC">
      <w:pPr>
        <w:pStyle w:val="NoSpacing"/>
        <w:rPr>
          <w:rFonts w:asciiTheme="majorBidi" w:hAnsiTheme="majorBidi" w:cstheme="majorBidi"/>
          <w:sz w:val="24"/>
          <w:szCs w:val="24"/>
        </w:rPr>
      </w:pPr>
    </w:p>
    <w:p w:rsidR="000F70DC" w:rsidRPr="007D60B5" w:rsidRDefault="000F70DC" w:rsidP="000F70DC">
      <w:pPr>
        <w:pStyle w:val="NoSpacing"/>
        <w:rPr>
          <w:rFonts w:asciiTheme="majorBidi" w:hAnsiTheme="majorBidi" w:cstheme="majorBidi"/>
          <w:sz w:val="24"/>
          <w:szCs w:val="24"/>
        </w:rPr>
      </w:pPr>
    </w:p>
    <w:p w:rsidR="000F70DC" w:rsidRPr="007D60B5" w:rsidRDefault="000F70DC" w:rsidP="000F70DC">
      <w:pPr>
        <w:pStyle w:val="NoSpacing"/>
        <w:rPr>
          <w:rFonts w:asciiTheme="majorBidi" w:hAnsiTheme="majorBidi" w:cstheme="majorBidi"/>
          <w:sz w:val="24"/>
          <w:szCs w:val="24"/>
        </w:rPr>
      </w:pPr>
    </w:p>
    <w:p w:rsidR="000F70DC" w:rsidRPr="007D60B5" w:rsidRDefault="000F70DC" w:rsidP="000F70DC">
      <w:pPr>
        <w:pStyle w:val="NoSpacing"/>
        <w:rPr>
          <w:rFonts w:asciiTheme="majorBidi" w:hAnsiTheme="majorBidi" w:cstheme="majorBidi"/>
          <w:sz w:val="24"/>
          <w:szCs w:val="24"/>
        </w:rPr>
      </w:pPr>
    </w:p>
    <w:p w:rsidR="000F70DC" w:rsidRPr="007D60B5" w:rsidRDefault="000F70DC"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3960D3" w:rsidRPr="007D60B5" w:rsidRDefault="003960D3" w:rsidP="000F70DC">
      <w:pPr>
        <w:pStyle w:val="NoSpacing"/>
        <w:rPr>
          <w:rFonts w:asciiTheme="majorBidi" w:hAnsiTheme="majorBidi" w:cstheme="majorBidi"/>
          <w:sz w:val="24"/>
          <w:szCs w:val="24"/>
        </w:rPr>
      </w:pPr>
    </w:p>
    <w:p w:rsidR="00104EEB" w:rsidRPr="007D60B5" w:rsidRDefault="00104EEB" w:rsidP="000F70DC">
      <w:pPr>
        <w:pStyle w:val="NoSpacing"/>
        <w:rPr>
          <w:rFonts w:asciiTheme="majorBidi" w:hAnsiTheme="majorBidi" w:cstheme="majorBidi"/>
          <w:sz w:val="24"/>
          <w:szCs w:val="24"/>
        </w:rPr>
      </w:pP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b/>
          <w:bCs/>
          <w:sz w:val="24"/>
          <w:szCs w:val="24"/>
        </w:rPr>
        <w:lastRenderedPageBreak/>
        <w:t>Table S1</w:t>
      </w:r>
      <w:r w:rsidRPr="007D60B5">
        <w:rPr>
          <w:rFonts w:asciiTheme="majorBidi" w:hAnsiTheme="majorBidi" w:cstheme="majorBidi"/>
          <w:sz w:val="24"/>
          <w:szCs w:val="24"/>
        </w:rPr>
        <w:t>: Composition and physicochemical properties of EXM-loaded zein NS.</w:t>
      </w:r>
      <w:bookmarkEnd w:id="0"/>
    </w:p>
    <w:tbl>
      <w:tblPr>
        <w:tblW w:w="9630" w:type="dxa"/>
        <w:jc w:val="center"/>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737"/>
        <w:gridCol w:w="964"/>
        <w:gridCol w:w="1809"/>
        <w:gridCol w:w="1350"/>
        <w:gridCol w:w="900"/>
        <w:gridCol w:w="1440"/>
        <w:gridCol w:w="1260"/>
        <w:gridCol w:w="1170"/>
      </w:tblGrid>
      <w:tr w:rsidR="00DB06E6" w:rsidRPr="007D60B5" w:rsidTr="00EE5262">
        <w:trPr>
          <w:trHeight w:val="144"/>
          <w:jc w:val="center"/>
        </w:trPr>
        <w:tc>
          <w:tcPr>
            <w:tcW w:w="737" w:type="dxa"/>
            <w:vMerge w:val="restart"/>
            <w:shd w:val="clear" w:color="auto" w:fill="D0CECE" w:themeFill="background2" w:themeFillShade="E6"/>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Code</w:t>
            </w:r>
          </w:p>
        </w:tc>
        <w:tc>
          <w:tcPr>
            <w:tcW w:w="964" w:type="dxa"/>
            <w:vMerge w:val="restart"/>
            <w:shd w:val="clear" w:color="auto" w:fill="D0CECE" w:themeFill="background2" w:themeFillShade="E6"/>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Zein</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 (w/v)</w:t>
            </w:r>
          </w:p>
        </w:tc>
        <w:tc>
          <w:tcPr>
            <w:tcW w:w="1809" w:type="dxa"/>
            <w:vMerge w:val="restart"/>
            <w:shd w:val="clear" w:color="auto" w:fill="D0CECE" w:themeFill="background2" w:themeFillShade="E6"/>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Stabilizer concentration</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 w/v)</w:t>
            </w:r>
          </w:p>
        </w:tc>
        <w:tc>
          <w:tcPr>
            <w:tcW w:w="2250" w:type="dxa"/>
            <w:gridSpan w:val="2"/>
            <w:tcBorders>
              <w:bottom w:val="nil"/>
            </w:tcBorders>
            <w:shd w:val="clear" w:color="auto" w:fill="D0CECE" w:themeFill="background2" w:themeFillShade="E6"/>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EXM</w:t>
            </w:r>
          </w:p>
        </w:tc>
        <w:tc>
          <w:tcPr>
            <w:tcW w:w="1440" w:type="dxa"/>
            <w:vMerge w:val="restart"/>
            <w:shd w:val="clear" w:color="auto" w:fill="D0CECE" w:themeFill="background2" w:themeFillShade="E6"/>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Particle</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Size</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(nm)</w:t>
            </w:r>
          </w:p>
        </w:tc>
        <w:tc>
          <w:tcPr>
            <w:tcW w:w="1260" w:type="dxa"/>
            <w:vMerge w:val="restart"/>
            <w:shd w:val="clear" w:color="auto" w:fill="D0CECE" w:themeFill="background2" w:themeFillShade="E6"/>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PDI</w:t>
            </w:r>
          </w:p>
        </w:tc>
        <w:tc>
          <w:tcPr>
            <w:tcW w:w="1170" w:type="dxa"/>
            <w:vMerge w:val="restart"/>
            <w:shd w:val="clear" w:color="auto" w:fill="D0CECE" w:themeFill="background2" w:themeFillShade="E6"/>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Zeta Potential</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(mV)</w:t>
            </w:r>
          </w:p>
        </w:tc>
      </w:tr>
      <w:tr w:rsidR="00DB06E6" w:rsidRPr="007D60B5" w:rsidTr="00EE5262">
        <w:trPr>
          <w:trHeight w:val="144"/>
          <w:jc w:val="center"/>
        </w:trPr>
        <w:tc>
          <w:tcPr>
            <w:tcW w:w="737" w:type="dxa"/>
            <w:vMerge/>
            <w:shd w:val="clear" w:color="auto" w:fill="auto"/>
          </w:tcPr>
          <w:p w:rsidR="00DB06E6" w:rsidRPr="007D60B5" w:rsidRDefault="00DB06E6" w:rsidP="000F70DC">
            <w:pPr>
              <w:pStyle w:val="NoSpacing"/>
              <w:rPr>
                <w:rFonts w:asciiTheme="majorBidi" w:hAnsiTheme="majorBidi" w:cstheme="majorBidi"/>
                <w:sz w:val="24"/>
                <w:szCs w:val="24"/>
              </w:rPr>
            </w:pPr>
          </w:p>
        </w:tc>
        <w:tc>
          <w:tcPr>
            <w:tcW w:w="964" w:type="dxa"/>
            <w:vMerge/>
            <w:shd w:val="clear" w:color="auto" w:fill="auto"/>
          </w:tcPr>
          <w:p w:rsidR="00DB06E6" w:rsidRPr="007D60B5" w:rsidRDefault="00DB06E6" w:rsidP="000F70DC">
            <w:pPr>
              <w:pStyle w:val="NoSpacing"/>
              <w:rPr>
                <w:rFonts w:asciiTheme="majorBidi" w:hAnsiTheme="majorBidi" w:cstheme="majorBidi"/>
                <w:sz w:val="24"/>
                <w:szCs w:val="24"/>
              </w:rPr>
            </w:pPr>
          </w:p>
        </w:tc>
        <w:tc>
          <w:tcPr>
            <w:tcW w:w="1809" w:type="dxa"/>
            <w:vMerge/>
            <w:shd w:val="clear" w:color="auto" w:fill="auto"/>
          </w:tcPr>
          <w:p w:rsidR="00DB06E6" w:rsidRPr="007D60B5" w:rsidRDefault="00DB06E6" w:rsidP="000F70DC">
            <w:pPr>
              <w:pStyle w:val="NoSpacing"/>
              <w:rPr>
                <w:rFonts w:asciiTheme="majorBidi" w:hAnsiTheme="majorBidi" w:cstheme="majorBidi"/>
                <w:sz w:val="24"/>
                <w:szCs w:val="24"/>
              </w:rPr>
            </w:pPr>
          </w:p>
        </w:tc>
        <w:tc>
          <w:tcPr>
            <w:tcW w:w="1350" w:type="dxa"/>
            <w:tcBorders>
              <w:top w:val="nil"/>
            </w:tcBorders>
            <w:shd w:val="clear" w:color="auto" w:fill="D0CECE" w:themeFill="background2" w:themeFillShade="E6"/>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Theoretical</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(mg)</w:t>
            </w:r>
          </w:p>
        </w:tc>
        <w:tc>
          <w:tcPr>
            <w:tcW w:w="900" w:type="dxa"/>
            <w:tcBorders>
              <w:top w:val="nil"/>
            </w:tcBorders>
            <w:shd w:val="clear" w:color="auto" w:fill="D0CECE" w:themeFill="background2" w:themeFillShade="E6"/>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 EE</w:t>
            </w:r>
          </w:p>
        </w:tc>
        <w:tc>
          <w:tcPr>
            <w:tcW w:w="1440" w:type="dxa"/>
            <w:vMerge/>
            <w:shd w:val="clear" w:color="auto" w:fill="D0CECE" w:themeFill="background2" w:themeFillShade="E6"/>
          </w:tcPr>
          <w:p w:rsidR="00DB06E6" w:rsidRPr="007D60B5" w:rsidRDefault="00DB06E6" w:rsidP="000F70DC">
            <w:pPr>
              <w:pStyle w:val="NoSpacing"/>
              <w:rPr>
                <w:rFonts w:asciiTheme="majorBidi" w:hAnsiTheme="majorBidi" w:cstheme="majorBidi"/>
                <w:sz w:val="24"/>
                <w:szCs w:val="24"/>
              </w:rPr>
            </w:pPr>
          </w:p>
        </w:tc>
        <w:tc>
          <w:tcPr>
            <w:tcW w:w="1260" w:type="dxa"/>
            <w:vMerge/>
            <w:shd w:val="clear" w:color="auto" w:fill="auto"/>
          </w:tcPr>
          <w:p w:rsidR="00DB06E6" w:rsidRPr="007D60B5" w:rsidRDefault="00DB06E6" w:rsidP="000F70DC">
            <w:pPr>
              <w:pStyle w:val="NoSpacing"/>
              <w:rPr>
                <w:rFonts w:asciiTheme="majorBidi" w:hAnsiTheme="majorBidi" w:cstheme="majorBidi"/>
                <w:sz w:val="24"/>
                <w:szCs w:val="24"/>
              </w:rPr>
            </w:pPr>
          </w:p>
        </w:tc>
        <w:tc>
          <w:tcPr>
            <w:tcW w:w="1170" w:type="dxa"/>
            <w:vMerge/>
            <w:shd w:val="clear" w:color="auto" w:fill="auto"/>
          </w:tcPr>
          <w:p w:rsidR="00DB06E6" w:rsidRPr="007D60B5" w:rsidRDefault="00DB06E6" w:rsidP="000F70DC">
            <w:pPr>
              <w:pStyle w:val="NoSpacing"/>
              <w:rPr>
                <w:rFonts w:asciiTheme="majorBidi" w:hAnsiTheme="majorBidi" w:cstheme="majorBidi"/>
                <w:sz w:val="24"/>
                <w:szCs w:val="24"/>
              </w:rPr>
            </w:pPr>
          </w:p>
        </w:tc>
      </w:tr>
      <w:tr w:rsidR="00DB06E6" w:rsidRPr="007D60B5" w:rsidTr="00EE5262">
        <w:trPr>
          <w:trHeight w:val="674"/>
          <w:jc w:val="center"/>
        </w:trPr>
        <w:tc>
          <w:tcPr>
            <w:tcW w:w="737"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F0</w:t>
            </w:r>
          </w:p>
        </w:tc>
        <w:tc>
          <w:tcPr>
            <w:tcW w:w="964"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1.00</w:t>
            </w:r>
          </w:p>
        </w:tc>
        <w:tc>
          <w:tcPr>
            <w:tcW w:w="1809"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L-S75 (0.45%)</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PLX (0.9%)</w:t>
            </w:r>
          </w:p>
        </w:tc>
        <w:tc>
          <w:tcPr>
            <w:tcW w:w="135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w:t>
            </w:r>
          </w:p>
        </w:tc>
        <w:tc>
          <w:tcPr>
            <w:tcW w:w="90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w:t>
            </w:r>
          </w:p>
        </w:tc>
        <w:tc>
          <w:tcPr>
            <w:tcW w:w="144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210.5±3.6</w:t>
            </w:r>
          </w:p>
        </w:tc>
        <w:tc>
          <w:tcPr>
            <w:tcW w:w="126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0.21±0.04</w:t>
            </w:r>
          </w:p>
        </w:tc>
        <w:tc>
          <w:tcPr>
            <w:tcW w:w="117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-36.6</w:t>
            </w:r>
          </w:p>
        </w:tc>
      </w:tr>
      <w:tr w:rsidR="00DB06E6" w:rsidRPr="007D60B5" w:rsidTr="00EE5262">
        <w:trPr>
          <w:trHeight w:val="701"/>
          <w:jc w:val="center"/>
        </w:trPr>
        <w:tc>
          <w:tcPr>
            <w:tcW w:w="737"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F1</w:t>
            </w:r>
          </w:p>
        </w:tc>
        <w:tc>
          <w:tcPr>
            <w:tcW w:w="964"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1.00</w:t>
            </w:r>
          </w:p>
        </w:tc>
        <w:tc>
          <w:tcPr>
            <w:tcW w:w="1809"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HPMC (1%)</w:t>
            </w:r>
          </w:p>
        </w:tc>
        <w:tc>
          <w:tcPr>
            <w:tcW w:w="135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10</w:t>
            </w:r>
          </w:p>
        </w:tc>
        <w:tc>
          <w:tcPr>
            <w:tcW w:w="90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73.5</w:t>
            </w:r>
          </w:p>
        </w:tc>
        <w:tc>
          <w:tcPr>
            <w:tcW w:w="144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492.3±10.7</w:t>
            </w:r>
          </w:p>
        </w:tc>
        <w:tc>
          <w:tcPr>
            <w:tcW w:w="126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0.54±0.07</w:t>
            </w:r>
          </w:p>
        </w:tc>
        <w:tc>
          <w:tcPr>
            <w:tcW w:w="117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-15.0</w:t>
            </w:r>
          </w:p>
        </w:tc>
      </w:tr>
      <w:tr w:rsidR="00DB06E6" w:rsidRPr="007D60B5" w:rsidTr="00EE5262">
        <w:trPr>
          <w:trHeight w:val="710"/>
          <w:jc w:val="center"/>
        </w:trPr>
        <w:tc>
          <w:tcPr>
            <w:tcW w:w="737"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F2</w:t>
            </w:r>
          </w:p>
        </w:tc>
        <w:tc>
          <w:tcPr>
            <w:tcW w:w="964"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1.00</w:t>
            </w:r>
          </w:p>
        </w:tc>
        <w:tc>
          <w:tcPr>
            <w:tcW w:w="1809"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SC (1%)</w:t>
            </w:r>
          </w:p>
        </w:tc>
        <w:tc>
          <w:tcPr>
            <w:tcW w:w="135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10</w:t>
            </w:r>
          </w:p>
        </w:tc>
        <w:tc>
          <w:tcPr>
            <w:tcW w:w="90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88.3</w:t>
            </w:r>
          </w:p>
        </w:tc>
        <w:tc>
          <w:tcPr>
            <w:tcW w:w="144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500.9±2.5</w:t>
            </w:r>
          </w:p>
        </w:tc>
        <w:tc>
          <w:tcPr>
            <w:tcW w:w="126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0.25±0.06</w:t>
            </w:r>
          </w:p>
        </w:tc>
        <w:tc>
          <w:tcPr>
            <w:tcW w:w="117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-35.7</w:t>
            </w:r>
          </w:p>
        </w:tc>
      </w:tr>
      <w:tr w:rsidR="00DB06E6" w:rsidRPr="007D60B5" w:rsidTr="00EE5262">
        <w:trPr>
          <w:trHeight w:val="710"/>
          <w:jc w:val="center"/>
        </w:trPr>
        <w:tc>
          <w:tcPr>
            <w:tcW w:w="737"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F3</w:t>
            </w:r>
          </w:p>
        </w:tc>
        <w:tc>
          <w:tcPr>
            <w:tcW w:w="964"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1.00</w:t>
            </w:r>
          </w:p>
        </w:tc>
        <w:tc>
          <w:tcPr>
            <w:tcW w:w="1809"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L-S75 (0.45%)</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PLX (0.9%)</w:t>
            </w:r>
          </w:p>
        </w:tc>
        <w:tc>
          <w:tcPr>
            <w:tcW w:w="135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10</w:t>
            </w:r>
          </w:p>
        </w:tc>
        <w:tc>
          <w:tcPr>
            <w:tcW w:w="90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68.7</w:t>
            </w:r>
          </w:p>
        </w:tc>
        <w:tc>
          <w:tcPr>
            <w:tcW w:w="144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237.2±3.3</w:t>
            </w:r>
          </w:p>
        </w:tc>
        <w:tc>
          <w:tcPr>
            <w:tcW w:w="126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0.11±0.02</w:t>
            </w:r>
          </w:p>
        </w:tc>
        <w:tc>
          <w:tcPr>
            <w:tcW w:w="117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-37.9</w:t>
            </w:r>
          </w:p>
        </w:tc>
      </w:tr>
      <w:tr w:rsidR="00DB06E6" w:rsidRPr="007D60B5" w:rsidTr="00EE5262">
        <w:trPr>
          <w:trHeight w:val="710"/>
          <w:jc w:val="center"/>
        </w:trPr>
        <w:tc>
          <w:tcPr>
            <w:tcW w:w="737"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F4</w:t>
            </w:r>
          </w:p>
        </w:tc>
        <w:tc>
          <w:tcPr>
            <w:tcW w:w="964"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1.00</w:t>
            </w:r>
          </w:p>
        </w:tc>
        <w:tc>
          <w:tcPr>
            <w:tcW w:w="1809"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L-S75 (0.45%)</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PLX (0.9%)</w:t>
            </w:r>
          </w:p>
        </w:tc>
        <w:tc>
          <w:tcPr>
            <w:tcW w:w="135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6</w:t>
            </w:r>
          </w:p>
        </w:tc>
        <w:tc>
          <w:tcPr>
            <w:tcW w:w="90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61.8</w:t>
            </w:r>
          </w:p>
        </w:tc>
        <w:tc>
          <w:tcPr>
            <w:tcW w:w="144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229.5±3.8</w:t>
            </w:r>
          </w:p>
        </w:tc>
        <w:tc>
          <w:tcPr>
            <w:tcW w:w="126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0.14±0.03</w:t>
            </w:r>
          </w:p>
        </w:tc>
        <w:tc>
          <w:tcPr>
            <w:tcW w:w="117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-37.9</w:t>
            </w:r>
          </w:p>
        </w:tc>
      </w:tr>
      <w:tr w:rsidR="00DB06E6" w:rsidRPr="007D60B5" w:rsidTr="00EE5262">
        <w:trPr>
          <w:trHeight w:val="710"/>
          <w:jc w:val="center"/>
        </w:trPr>
        <w:tc>
          <w:tcPr>
            <w:tcW w:w="737"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F5</w:t>
            </w:r>
          </w:p>
        </w:tc>
        <w:tc>
          <w:tcPr>
            <w:tcW w:w="964"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1.00</w:t>
            </w:r>
          </w:p>
        </w:tc>
        <w:tc>
          <w:tcPr>
            <w:tcW w:w="1809"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L-S75 (0.45%)</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PLX (0.9%)</w:t>
            </w:r>
          </w:p>
        </w:tc>
        <w:tc>
          <w:tcPr>
            <w:tcW w:w="135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20</w:t>
            </w:r>
          </w:p>
        </w:tc>
        <w:tc>
          <w:tcPr>
            <w:tcW w:w="90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83.5</w:t>
            </w:r>
          </w:p>
        </w:tc>
        <w:tc>
          <w:tcPr>
            <w:tcW w:w="144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338.2±2.4</w:t>
            </w:r>
          </w:p>
        </w:tc>
        <w:tc>
          <w:tcPr>
            <w:tcW w:w="126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0.48±0.02</w:t>
            </w:r>
          </w:p>
        </w:tc>
        <w:tc>
          <w:tcPr>
            <w:tcW w:w="117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-37.9</w:t>
            </w:r>
          </w:p>
        </w:tc>
      </w:tr>
      <w:tr w:rsidR="00DB06E6" w:rsidRPr="007D60B5" w:rsidTr="00EE5262">
        <w:trPr>
          <w:trHeight w:val="710"/>
          <w:jc w:val="center"/>
        </w:trPr>
        <w:tc>
          <w:tcPr>
            <w:tcW w:w="737"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F6</w:t>
            </w:r>
          </w:p>
        </w:tc>
        <w:tc>
          <w:tcPr>
            <w:tcW w:w="964"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1.67</w:t>
            </w:r>
          </w:p>
        </w:tc>
        <w:tc>
          <w:tcPr>
            <w:tcW w:w="1809"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L-S75 (0.45%)</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PLX (0.9%)</w:t>
            </w:r>
          </w:p>
        </w:tc>
        <w:tc>
          <w:tcPr>
            <w:tcW w:w="135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16</w:t>
            </w:r>
          </w:p>
        </w:tc>
        <w:tc>
          <w:tcPr>
            <w:tcW w:w="90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64.3</w:t>
            </w:r>
          </w:p>
        </w:tc>
        <w:tc>
          <w:tcPr>
            <w:tcW w:w="144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300.3±6.4</w:t>
            </w:r>
          </w:p>
        </w:tc>
        <w:tc>
          <w:tcPr>
            <w:tcW w:w="126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0.33±0.01</w:t>
            </w:r>
          </w:p>
        </w:tc>
        <w:tc>
          <w:tcPr>
            <w:tcW w:w="117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-38.3</w:t>
            </w:r>
          </w:p>
          <w:p w:rsidR="00DB06E6" w:rsidRPr="007D60B5" w:rsidRDefault="00DB06E6" w:rsidP="000F70DC">
            <w:pPr>
              <w:pStyle w:val="NoSpacing"/>
              <w:rPr>
                <w:rFonts w:asciiTheme="majorBidi" w:hAnsiTheme="majorBidi" w:cstheme="majorBidi"/>
                <w:sz w:val="24"/>
                <w:szCs w:val="24"/>
              </w:rPr>
            </w:pPr>
          </w:p>
        </w:tc>
      </w:tr>
      <w:tr w:rsidR="00DB06E6" w:rsidRPr="007D60B5" w:rsidTr="00EE5262">
        <w:trPr>
          <w:trHeight w:val="710"/>
          <w:jc w:val="center"/>
        </w:trPr>
        <w:tc>
          <w:tcPr>
            <w:tcW w:w="737"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F7</w:t>
            </w:r>
          </w:p>
        </w:tc>
        <w:tc>
          <w:tcPr>
            <w:tcW w:w="964"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2.33</w:t>
            </w:r>
          </w:p>
        </w:tc>
        <w:tc>
          <w:tcPr>
            <w:tcW w:w="1809"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L-S75 (0.45%)</w:t>
            </w:r>
          </w:p>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PLX (0.9%)</w:t>
            </w:r>
          </w:p>
        </w:tc>
        <w:tc>
          <w:tcPr>
            <w:tcW w:w="135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23</w:t>
            </w:r>
          </w:p>
        </w:tc>
        <w:tc>
          <w:tcPr>
            <w:tcW w:w="90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80.2</w:t>
            </w:r>
          </w:p>
        </w:tc>
        <w:tc>
          <w:tcPr>
            <w:tcW w:w="144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373.4±5.3</w:t>
            </w:r>
          </w:p>
        </w:tc>
        <w:tc>
          <w:tcPr>
            <w:tcW w:w="126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0.20±0.03</w:t>
            </w:r>
          </w:p>
        </w:tc>
        <w:tc>
          <w:tcPr>
            <w:tcW w:w="1170" w:type="dxa"/>
            <w:shd w:val="clear" w:color="auto" w:fill="auto"/>
            <w:vAlign w:val="center"/>
          </w:tcPr>
          <w:p w:rsidR="00DB06E6" w:rsidRPr="007D60B5" w:rsidRDefault="00DB06E6" w:rsidP="000F70DC">
            <w:pPr>
              <w:pStyle w:val="NoSpacing"/>
              <w:rPr>
                <w:rFonts w:asciiTheme="majorBidi" w:hAnsiTheme="majorBidi" w:cstheme="majorBidi"/>
                <w:sz w:val="24"/>
                <w:szCs w:val="24"/>
              </w:rPr>
            </w:pPr>
            <w:r w:rsidRPr="007D60B5">
              <w:rPr>
                <w:rFonts w:asciiTheme="majorBidi" w:hAnsiTheme="majorBidi" w:cstheme="majorBidi"/>
                <w:sz w:val="24"/>
                <w:szCs w:val="24"/>
              </w:rPr>
              <w:t>-46.2</w:t>
            </w:r>
          </w:p>
        </w:tc>
      </w:tr>
    </w:tbl>
    <w:p w:rsidR="00DB06E6" w:rsidRPr="007D60B5" w:rsidRDefault="00DB06E6" w:rsidP="000F70DC">
      <w:pPr>
        <w:pStyle w:val="NoSpacing"/>
        <w:rPr>
          <w:rFonts w:asciiTheme="majorBidi" w:hAnsiTheme="majorBidi" w:cstheme="majorBidi"/>
          <w:sz w:val="24"/>
          <w:szCs w:val="24"/>
        </w:rPr>
      </w:pPr>
    </w:p>
    <w:p w:rsidR="000F70DC" w:rsidRPr="007D60B5" w:rsidRDefault="000F70DC" w:rsidP="000F70DC">
      <w:pPr>
        <w:pStyle w:val="NoSpacing"/>
        <w:rPr>
          <w:rFonts w:asciiTheme="majorBidi" w:hAnsiTheme="majorBidi" w:cstheme="majorBidi"/>
          <w:b/>
          <w:bCs/>
          <w:sz w:val="24"/>
          <w:szCs w:val="24"/>
        </w:rPr>
      </w:pPr>
      <w:bookmarkStart w:id="10" w:name="_Toc454030075"/>
    </w:p>
    <w:p w:rsidR="00033C88" w:rsidRPr="007D60B5" w:rsidRDefault="00033C88" w:rsidP="000F70DC">
      <w:pPr>
        <w:pStyle w:val="NoSpacing"/>
        <w:rPr>
          <w:rFonts w:asciiTheme="majorBidi" w:hAnsiTheme="majorBidi" w:cstheme="majorBidi"/>
          <w:sz w:val="24"/>
          <w:szCs w:val="24"/>
        </w:rPr>
      </w:pPr>
      <w:r w:rsidRPr="007D60B5">
        <w:rPr>
          <w:rFonts w:asciiTheme="majorBidi" w:hAnsiTheme="majorBidi" w:cstheme="majorBidi"/>
          <w:b/>
          <w:bCs/>
          <w:sz w:val="24"/>
          <w:szCs w:val="24"/>
        </w:rPr>
        <w:t>Table S2</w:t>
      </w:r>
      <w:r w:rsidRPr="007D60B5">
        <w:rPr>
          <w:rFonts w:asciiTheme="majorBidi" w:hAnsiTheme="majorBidi" w:cstheme="majorBidi"/>
          <w:sz w:val="24"/>
          <w:szCs w:val="24"/>
        </w:rPr>
        <w:t>: Physicochemical properties of combined EXM/LUT-loaded zein NS.</w:t>
      </w:r>
      <w:bookmarkEnd w:id="10"/>
    </w:p>
    <w:tbl>
      <w:tblPr>
        <w:tblW w:w="5000" w:type="pct"/>
        <w:jc w:val="center"/>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1135"/>
        <w:gridCol w:w="1076"/>
        <w:gridCol w:w="1076"/>
        <w:gridCol w:w="2301"/>
        <w:gridCol w:w="1202"/>
        <w:gridCol w:w="2570"/>
      </w:tblGrid>
      <w:tr w:rsidR="00033C88" w:rsidRPr="007D60B5" w:rsidTr="00033C88">
        <w:trPr>
          <w:trHeight w:val="20"/>
          <w:jc w:val="center"/>
        </w:trPr>
        <w:tc>
          <w:tcPr>
            <w:tcW w:w="606" w:type="pct"/>
            <w:vMerge w:val="restart"/>
            <w:shd w:val="clear" w:color="auto" w:fill="D0CECE" w:themeFill="background2" w:themeFillShade="E6"/>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Code</w:t>
            </w:r>
          </w:p>
        </w:tc>
        <w:tc>
          <w:tcPr>
            <w:tcW w:w="1150" w:type="pct"/>
            <w:gridSpan w:val="2"/>
            <w:tcBorders>
              <w:bottom w:val="nil"/>
            </w:tcBorders>
            <w:shd w:val="clear" w:color="auto" w:fill="D0CECE" w:themeFill="background2" w:themeFillShade="E6"/>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 EE</w:t>
            </w:r>
          </w:p>
        </w:tc>
        <w:tc>
          <w:tcPr>
            <w:tcW w:w="1229" w:type="pct"/>
            <w:vMerge w:val="restart"/>
            <w:shd w:val="clear" w:color="auto" w:fill="D0CECE" w:themeFill="background2" w:themeFillShade="E6"/>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Particle Size</w:t>
            </w:r>
          </w:p>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(nm)</w:t>
            </w:r>
          </w:p>
        </w:tc>
        <w:tc>
          <w:tcPr>
            <w:tcW w:w="642" w:type="pct"/>
            <w:vMerge w:val="restart"/>
            <w:shd w:val="clear" w:color="auto" w:fill="D0CECE" w:themeFill="background2" w:themeFillShade="E6"/>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PDI</w:t>
            </w:r>
          </w:p>
        </w:tc>
        <w:tc>
          <w:tcPr>
            <w:tcW w:w="1373" w:type="pct"/>
            <w:vMerge w:val="restart"/>
            <w:shd w:val="clear" w:color="auto" w:fill="D0CECE" w:themeFill="background2" w:themeFillShade="E6"/>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Zeta Potential</w:t>
            </w:r>
          </w:p>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(mV)</w:t>
            </w:r>
          </w:p>
        </w:tc>
      </w:tr>
      <w:tr w:rsidR="00033C88" w:rsidRPr="007D60B5" w:rsidTr="00033C88">
        <w:trPr>
          <w:trHeight w:val="20"/>
          <w:jc w:val="center"/>
        </w:trPr>
        <w:tc>
          <w:tcPr>
            <w:tcW w:w="606" w:type="pct"/>
            <w:vMerge/>
            <w:shd w:val="clear" w:color="auto" w:fill="auto"/>
          </w:tcPr>
          <w:p w:rsidR="00033C88" w:rsidRPr="007D60B5" w:rsidRDefault="00033C88" w:rsidP="000F70DC">
            <w:pPr>
              <w:pStyle w:val="NoSpacing"/>
              <w:jc w:val="center"/>
              <w:rPr>
                <w:rFonts w:asciiTheme="majorBidi" w:hAnsiTheme="majorBidi" w:cstheme="majorBidi"/>
                <w:sz w:val="24"/>
                <w:szCs w:val="24"/>
              </w:rPr>
            </w:pPr>
          </w:p>
        </w:tc>
        <w:tc>
          <w:tcPr>
            <w:tcW w:w="575" w:type="pct"/>
            <w:tcBorders>
              <w:top w:val="nil"/>
            </w:tcBorders>
            <w:shd w:val="clear" w:color="auto" w:fill="D0CECE" w:themeFill="background2" w:themeFillShade="E6"/>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EXM</w:t>
            </w:r>
          </w:p>
        </w:tc>
        <w:tc>
          <w:tcPr>
            <w:tcW w:w="575" w:type="pct"/>
            <w:tcBorders>
              <w:top w:val="nil"/>
            </w:tcBorders>
            <w:shd w:val="clear" w:color="auto" w:fill="D0CECE" w:themeFill="background2" w:themeFillShade="E6"/>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LUT</w:t>
            </w:r>
          </w:p>
        </w:tc>
        <w:tc>
          <w:tcPr>
            <w:tcW w:w="1229" w:type="pct"/>
            <w:vMerge/>
            <w:shd w:val="clear" w:color="auto" w:fill="D0CECE" w:themeFill="background2" w:themeFillShade="E6"/>
          </w:tcPr>
          <w:p w:rsidR="00033C88" w:rsidRPr="007D60B5" w:rsidRDefault="00033C88" w:rsidP="000F70DC">
            <w:pPr>
              <w:pStyle w:val="NoSpacing"/>
              <w:jc w:val="center"/>
              <w:rPr>
                <w:rFonts w:asciiTheme="majorBidi" w:hAnsiTheme="majorBidi" w:cstheme="majorBidi"/>
                <w:sz w:val="24"/>
                <w:szCs w:val="24"/>
              </w:rPr>
            </w:pPr>
          </w:p>
        </w:tc>
        <w:tc>
          <w:tcPr>
            <w:tcW w:w="642" w:type="pct"/>
            <w:vMerge/>
            <w:shd w:val="clear" w:color="auto" w:fill="auto"/>
          </w:tcPr>
          <w:p w:rsidR="00033C88" w:rsidRPr="007D60B5" w:rsidRDefault="00033C88" w:rsidP="000F70DC">
            <w:pPr>
              <w:pStyle w:val="NoSpacing"/>
              <w:jc w:val="center"/>
              <w:rPr>
                <w:rFonts w:asciiTheme="majorBidi" w:hAnsiTheme="majorBidi" w:cstheme="majorBidi"/>
                <w:sz w:val="24"/>
                <w:szCs w:val="24"/>
              </w:rPr>
            </w:pPr>
          </w:p>
        </w:tc>
        <w:tc>
          <w:tcPr>
            <w:tcW w:w="1373" w:type="pct"/>
            <w:vMerge/>
            <w:shd w:val="clear" w:color="auto" w:fill="auto"/>
          </w:tcPr>
          <w:p w:rsidR="00033C88" w:rsidRPr="007D60B5" w:rsidRDefault="00033C88" w:rsidP="000F70DC">
            <w:pPr>
              <w:pStyle w:val="NoSpacing"/>
              <w:jc w:val="center"/>
              <w:rPr>
                <w:rFonts w:asciiTheme="majorBidi" w:hAnsiTheme="majorBidi" w:cstheme="majorBidi"/>
                <w:sz w:val="24"/>
                <w:szCs w:val="24"/>
              </w:rPr>
            </w:pPr>
          </w:p>
        </w:tc>
      </w:tr>
      <w:tr w:rsidR="00033C88" w:rsidRPr="007D60B5" w:rsidTr="00033C88">
        <w:trPr>
          <w:trHeight w:val="20"/>
          <w:jc w:val="center"/>
        </w:trPr>
        <w:tc>
          <w:tcPr>
            <w:tcW w:w="606"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T1</w:t>
            </w:r>
          </w:p>
        </w:tc>
        <w:tc>
          <w:tcPr>
            <w:tcW w:w="575"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w:t>
            </w:r>
          </w:p>
        </w:tc>
        <w:tc>
          <w:tcPr>
            <w:tcW w:w="575"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63.0</w:t>
            </w:r>
          </w:p>
        </w:tc>
        <w:tc>
          <w:tcPr>
            <w:tcW w:w="1229"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315.4±3.2</w:t>
            </w:r>
          </w:p>
        </w:tc>
        <w:tc>
          <w:tcPr>
            <w:tcW w:w="642"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0.24±0.04</w:t>
            </w:r>
          </w:p>
        </w:tc>
        <w:tc>
          <w:tcPr>
            <w:tcW w:w="1373"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-31.6</w:t>
            </w:r>
          </w:p>
        </w:tc>
      </w:tr>
      <w:tr w:rsidR="00033C88" w:rsidRPr="007D60B5" w:rsidTr="00033C88">
        <w:trPr>
          <w:trHeight w:val="20"/>
          <w:jc w:val="center"/>
        </w:trPr>
        <w:tc>
          <w:tcPr>
            <w:tcW w:w="606"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E1</w:t>
            </w:r>
          </w:p>
        </w:tc>
        <w:tc>
          <w:tcPr>
            <w:tcW w:w="575"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67.3</w:t>
            </w:r>
          </w:p>
        </w:tc>
        <w:tc>
          <w:tcPr>
            <w:tcW w:w="575"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w:t>
            </w:r>
          </w:p>
        </w:tc>
        <w:tc>
          <w:tcPr>
            <w:tcW w:w="1229"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344.5±2.7</w:t>
            </w:r>
          </w:p>
        </w:tc>
        <w:tc>
          <w:tcPr>
            <w:tcW w:w="642"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0.27±0.03</w:t>
            </w:r>
          </w:p>
        </w:tc>
        <w:tc>
          <w:tcPr>
            <w:tcW w:w="1373" w:type="pct"/>
            <w:shd w:val="clear" w:color="auto" w:fill="auto"/>
            <w:vAlign w:val="center"/>
          </w:tcPr>
          <w:p w:rsidR="00033C88" w:rsidRPr="007D60B5" w:rsidRDefault="00033C88" w:rsidP="000F70DC">
            <w:pPr>
              <w:pStyle w:val="NoSpacing"/>
              <w:jc w:val="center"/>
              <w:rPr>
                <w:rFonts w:asciiTheme="majorBidi" w:hAnsiTheme="majorBidi" w:cstheme="majorBidi"/>
                <w:sz w:val="24"/>
                <w:szCs w:val="24"/>
              </w:rPr>
            </w:pPr>
            <w:r w:rsidRPr="007D60B5">
              <w:rPr>
                <w:rFonts w:asciiTheme="majorBidi" w:hAnsiTheme="majorBidi" w:cstheme="majorBidi"/>
                <w:sz w:val="24"/>
                <w:szCs w:val="24"/>
              </w:rPr>
              <w:t>-37.4</w:t>
            </w:r>
          </w:p>
        </w:tc>
      </w:tr>
    </w:tbl>
    <w:p w:rsidR="003302DF" w:rsidRPr="007D60B5" w:rsidRDefault="003302DF" w:rsidP="000F70DC">
      <w:pPr>
        <w:pStyle w:val="NoSpacing"/>
        <w:rPr>
          <w:rFonts w:asciiTheme="majorBidi" w:hAnsiTheme="majorBidi" w:cstheme="majorBidi"/>
          <w:sz w:val="24"/>
          <w:szCs w:val="24"/>
        </w:rPr>
      </w:pPr>
    </w:p>
    <w:p w:rsidR="00406B5A" w:rsidRPr="007D60B5" w:rsidRDefault="00406B5A" w:rsidP="00BE4D87">
      <w:pPr>
        <w:pStyle w:val="NoSpacing"/>
        <w:jc w:val="both"/>
        <w:rPr>
          <w:rFonts w:asciiTheme="majorBidi" w:hAnsiTheme="majorBidi" w:cstheme="majorBidi"/>
          <w:sz w:val="24"/>
          <w:szCs w:val="24"/>
        </w:rPr>
      </w:pPr>
      <w:r w:rsidRPr="007D60B5">
        <w:rPr>
          <w:rFonts w:asciiTheme="majorBidi" w:hAnsiTheme="majorBidi" w:cstheme="majorBidi"/>
          <w:b/>
          <w:bCs/>
          <w:sz w:val="24"/>
          <w:szCs w:val="24"/>
        </w:rPr>
        <w:t>Table S3</w:t>
      </w:r>
      <w:r w:rsidRPr="007D60B5">
        <w:rPr>
          <w:rFonts w:asciiTheme="majorBidi" w:hAnsiTheme="majorBidi" w:cstheme="majorBidi"/>
          <w:sz w:val="24"/>
          <w:szCs w:val="24"/>
        </w:rPr>
        <w:t xml:space="preserve">: Release kinetic parameters for </w:t>
      </w:r>
      <w:r w:rsidR="00B32145" w:rsidRPr="007D60B5">
        <w:rPr>
          <w:rFonts w:asciiTheme="majorBidi" w:hAnsiTheme="majorBidi" w:cstheme="majorBidi"/>
          <w:sz w:val="24"/>
          <w:szCs w:val="24"/>
        </w:rPr>
        <w:t>EXM from o</w:t>
      </w:r>
      <w:r w:rsidR="00BE4D87" w:rsidRPr="007D60B5">
        <w:rPr>
          <w:rFonts w:asciiTheme="majorBidi" w:hAnsiTheme="majorBidi" w:cstheme="majorBidi"/>
          <w:sz w:val="24"/>
          <w:szCs w:val="24"/>
        </w:rPr>
        <w:t xml:space="preserve">ptimized EXM/LUT-loaded zein NS </w:t>
      </w:r>
      <w:r w:rsidR="00B32145" w:rsidRPr="007D60B5">
        <w:rPr>
          <w:rFonts w:asciiTheme="majorBidi" w:hAnsiTheme="majorBidi" w:cstheme="majorBidi"/>
          <w:sz w:val="24"/>
          <w:szCs w:val="24"/>
        </w:rPr>
        <w:t xml:space="preserve">formulae </w:t>
      </w:r>
      <w:r w:rsidRPr="007D60B5">
        <w:rPr>
          <w:rFonts w:asciiTheme="majorBidi" w:hAnsiTheme="majorBidi" w:cstheme="majorBidi"/>
          <w:sz w:val="24"/>
          <w:szCs w:val="24"/>
        </w:rPr>
        <w:t>in PBS pH 7.4; 0.5% (w/v) SLS at 100 rpm and 37±0.5 ºC.</w:t>
      </w:r>
    </w:p>
    <w:p w:rsidR="00406B5A" w:rsidRPr="007D60B5" w:rsidRDefault="00406B5A" w:rsidP="00BE4D87">
      <w:pPr>
        <w:pStyle w:val="NoSpacing"/>
        <w:jc w:val="both"/>
        <w:rPr>
          <w:rFonts w:asciiTheme="majorBidi" w:hAnsiTheme="majorBidi" w:cstheme="majorBidi"/>
          <w:sz w:val="24"/>
          <w:szCs w:val="24"/>
        </w:rPr>
      </w:pPr>
      <w:bookmarkStart w:id="11" w:name="_GoBack"/>
      <w:bookmarkEnd w:id="11"/>
    </w:p>
    <w:tbl>
      <w:tblPr>
        <w:tblStyle w:val="TableGrid"/>
        <w:tblW w:w="0" w:type="auto"/>
        <w:tblLook w:val="04A0" w:firstRow="1" w:lastRow="0" w:firstColumn="1" w:lastColumn="0" w:noHBand="0" w:noVBand="1"/>
      </w:tblPr>
      <w:tblGrid>
        <w:gridCol w:w="1427"/>
        <w:gridCol w:w="851"/>
        <w:gridCol w:w="829"/>
        <w:gridCol w:w="939"/>
        <w:gridCol w:w="830"/>
        <w:gridCol w:w="899"/>
        <w:gridCol w:w="830"/>
        <w:gridCol w:w="991"/>
        <w:gridCol w:w="924"/>
        <w:gridCol w:w="830"/>
      </w:tblGrid>
      <w:tr w:rsidR="00EE3B5D" w:rsidRPr="007D60B5" w:rsidTr="00A618A5">
        <w:tc>
          <w:tcPr>
            <w:tcW w:w="1394" w:type="dxa"/>
            <w:vMerge w:val="restart"/>
            <w:vAlign w:val="center"/>
          </w:tcPr>
          <w:p w:rsidR="00EE3B5D" w:rsidRPr="007D60B5" w:rsidRDefault="00EE3B5D" w:rsidP="00A618A5">
            <w:pPr>
              <w:jc w:val="center"/>
              <w:rPr>
                <w:rFonts w:asciiTheme="majorBidi" w:hAnsiTheme="majorBidi" w:cstheme="majorBidi"/>
                <w:b/>
                <w:bCs/>
              </w:rPr>
            </w:pPr>
            <w:r w:rsidRPr="007D60B5">
              <w:rPr>
                <w:rFonts w:asciiTheme="majorBidi" w:hAnsiTheme="majorBidi" w:cstheme="majorBidi"/>
                <w:b/>
                <w:bCs/>
              </w:rPr>
              <w:t>Nanospheres code</w:t>
            </w:r>
          </w:p>
        </w:tc>
        <w:tc>
          <w:tcPr>
            <w:tcW w:w="1687" w:type="dxa"/>
            <w:gridSpan w:val="2"/>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b/>
                <w:bCs/>
              </w:rPr>
              <w:t>Zero-order model</w:t>
            </w:r>
          </w:p>
        </w:tc>
        <w:tc>
          <w:tcPr>
            <w:tcW w:w="1778" w:type="dxa"/>
            <w:gridSpan w:val="2"/>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b/>
                <w:bCs/>
              </w:rPr>
              <w:t>First-order model</w:t>
            </w:r>
          </w:p>
        </w:tc>
        <w:tc>
          <w:tcPr>
            <w:tcW w:w="1732" w:type="dxa"/>
            <w:gridSpan w:val="2"/>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b/>
                <w:bCs/>
              </w:rPr>
              <w:t>Higuchi model</w:t>
            </w:r>
          </w:p>
        </w:tc>
        <w:tc>
          <w:tcPr>
            <w:tcW w:w="2759" w:type="dxa"/>
            <w:gridSpan w:val="3"/>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b/>
                <w:bCs/>
              </w:rPr>
              <w:t>Korsmeyer-Peppas model</w:t>
            </w:r>
          </w:p>
        </w:tc>
      </w:tr>
      <w:tr w:rsidR="00EE3B5D" w:rsidRPr="007D60B5" w:rsidTr="00A618A5">
        <w:tc>
          <w:tcPr>
            <w:tcW w:w="1394" w:type="dxa"/>
            <w:vMerge/>
            <w:vAlign w:val="center"/>
          </w:tcPr>
          <w:p w:rsidR="00EE3B5D" w:rsidRPr="007D60B5" w:rsidRDefault="00EE3B5D" w:rsidP="00A618A5">
            <w:pPr>
              <w:jc w:val="center"/>
              <w:rPr>
                <w:rFonts w:asciiTheme="majorBidi" w:hAnsiTheme="majorBidi" w:cstheme="majorBidi"/>
                <w:b/>
                <w:bCs/>
              </w:rPr>
            </w:pPr>
          </w:p>
        </w:tc>
        <w:tc>
          <w:tcPr>
            <w:tcW w:w="857"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sz w:val="23"/>
                <w:szCs w:val="23"/>
              </w:rPr>
              <w:t>K</w:t>
            </w:r>
            <w:r w:rsidRPr="007D60B5">
              <w:rPr>
                <w:rFonts w:asciiTheme="majorBidi" w:hAnsiTheme="majorBidi" w:cstheme="majorBidi"/>
                <w:sz w:val="23"/>
                <w:szCs w:val="23"/>
                <w:vertAlign w:val="subscript"/>
              </w:rPr>
              <w:t>0</w:t>
            </w:r>
            <w:r w:rsidRPr="007D60B5">
              <w:rPr>
                <w:rFonts w:asciiTheme="majorBidi" w:hAnsiTheme="majorBidi" w:cstheme="majorBidi"/>
              </w:rPr>
              <w:t>*</w:t>
            </w:r>
          </w:p>
          <w:p w:rsidR="00EE3B5D" w:rsidRPr="007D60B5" w:rsidRDefault="00EE3B5D" w:rsidP="00A618A5">
            <w:pPr>
              <w:jc w:val="center"/>
              <w:rPr>
                <w:rFonts w:asciiTheme="majorBidi" w:hAnsiTheme="majorBidi" w:cstheme="majorBidi"/>
              </w:rPr>
            </w:pPr>
            <w:r w:rsidRPr="007D60B5">
              <w:rPr>
                <w:rFonts w:asciiTheme="majorBidi" w:hAnsiTheme="majorBidi" w:cstheme="majorBidi"/>
              </w:rPr>
              <w:t>(% h</w:t>
            </w:r>
            <w:r w:rsidRPr="007D60B5">
              <w:rPr>
                <w:rFonts w:asciiTheme="majorBidi" w:hAnsiTheme="majorBidi" w:cstheme="majorBidi"/>
                <w:vertAlign w:val="superscript"/>
              </w:rPr>
              <w:t>-1</w:t>
            </w:r>
            <w:r w:rsidRPr="007D60B5">
              <w:rPr>
                <w:rFonts w:asciiTheme="majorBidi" w:hAnsiTheme="majorBidi" w:cstheme="majorBidi"/>
              </w:rPr>
              <w:t>)</w:t>
            </w:r>
          </w:p>
        </w:tc>
        <w:tc>
          <w:tcPr>
            <w:tcW w:w="830" w:type="dxa"/>
            <w:vAlign w:val="center"/>
          </w:tcPr>
          <w:p w:rsidR="00EE3B5D" w:rsidRPr="007D60B5" w:rsidRDefault="00EE3B5D" w:rsidP="00A618A5">
            <w:pPr>
              <w:jc w:val="center"/>
              <w:rPr>
                <w:rFonts w:asciiTheme="majorBidi" w:hAnsiTheme="majorBidi" w:cstheme="majorBidi"/>
                <w:vertAlign w:val="superscript"/>
              </w:rPr>
            </w:pPr>
            <w:r w:rsidRPr="007D60B5">
              <w:rPr>
                <w:rFonts w:asciiTheme="majorBidi" w:hAnsiTheme="majorBidi" w:cstheme="majorBidi"/>
              </w:rPr>
              <w:t>R</w:t>
            </w:r>
            <w:r w:rsidRPr="007D60B5">
              <w:rPr>
                <w:rFonts w:asciiTheme="majorBidi" w:hAnsiTheme="majorBidi" w:cstheme="majorBidi"/>
                <w:vertAlign w:val="superscript"/>
              </w:rPr>
              <w:t>2</w:t>
            </w:r>
          </w:p>
        </w:tc>
        <w:tc>
          <w:tcPr>
            <w:tcW w:w="948"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K</w:t>
            </w:r>
            <w:r w:rsidRPr="007D60B5">
              <w:rPr>
                <w:rFonts w:asciiTheme="majorBidi" w:hAnsiTheme="majorBidi" w:cstheme="majorBidi"/>
                <w:vertAlign w:val="subscript"/>
              </w:rPr>
              <w:t>1</w:t>
            </w:r>
            <w:r w:rsidRPr="007D60B5">
              <w:rPr>
                <w:rFonts w:asciiTheme="majorBidi" w:hAnsiTheme="majorBidi" w:cstheme="majorBidi"/>
              </w:rPr>
              <w:t>*</w:t>
            </w:r>
          </w:p>
          <w:p w:rsidR="00EE3B5D" w:rsidRPr="007D60B5" w:rsidRDefault="00EE3B5D" w:rsidP="00A618A5">
            <w:pPr>
              <w:jc w:val="center"/>
              <w:rPr>
                <w:rFonts w:asciiTheme="majorBidi" w:hAnsiTheme="majorBidi" w:cstheme="majorBidi"/>
              </w:rPr>
            </w:pPr>
            <w:r w:rsidRPr="007D60B5">
              <w:rPr>
                <w:rFonts w:asciiTheme="majorBidi" w:hAnsiTheme="majorBidi" w:cstheme="majorBidi"/>
              </w:rPr>
              <w:t>(% h</w:t>
            </w:r>
            <w:r w:rsidRPr="007D60B5">
              <w:rPr>
                <w:rFonts w:asciiTheme="majorBidi" w:hAnsiTheme="majorBidi" w:cstheme="majorBidi"/>
                <w:vertAlign w:val="superscript"/>
              </w:rPr>
              <w:t>-1/2</w:t>
            </w:r>
            <w:r w:rsidRPr="007D60B5">
              <w:rPr>
                <w:rFonts w:asciiTheme="majorBidi" w:hAnsiTheme="majorBidi" w:cstheme="majorBidi"/>
              </w:rPr>
              <w:t>)</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R</w:t>
            </w:r>
            <w:r w:rsidRPr="007D60B5">
              <w:rPr>
                <w:rFonts w:asciiTheme="majorBidi" w:hAnsiTheme="majorBidi" w:cstheme="majorBidi"/>
                <w:vertAlign w:val="superscript"/>
              </w:rPr>
              <w:t>2</w:t>
            </w:r>
          </w:p>
        </w:tc>
        <w:tc>
          <w:tcPr>
            <w:tcW w:w="902"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K</w:t>
            </w:r>
            <w:r w:rsidRPr="007D60B5">
              <w:rPr>
                <w:rFonts w:asciiTheme="majorBidi" w:hAnsiTheme="majorBidi" w:cstheme="majorBidi"/>
                <w:vertAlign w:val="subscript"/>
              </w:rPr>
              <w:t>H</w:t>
            </w:r>
            <w:r w:rsidRPr="007D60B5">
              <w:rPr>
                <w:rFonts w:asciiTheme="majorBidi" w:hAnsiTheme="majorBidi" w:cstheme="majorBidi"/>
              </w:rPr>
              <w:t>*</w:t>
            </w:r>
          </w:p>
          <w:p w:rsidR="00EE3B5D" w:rsidRPr="007D60B5" w:rsidRDefault="00EE3B5D" w:rsidP="00A618A5">
            <w:pPr>
              <w:jc w:val="center"/>
              <w:rPr>
                <w:rFonts w:asciiTheme="majorBidi" w:hAnsiTheme="majorBidi" w:cstheme="majorBidi"/>
              </w:rPr>
            </w:pPr>
            <w:r w:rsidRPr="007D60B5">
              <w:rPr>
                <w:rFonts w:asciiTheme="majorBidi" w:hAnsiTheme="majorBidi" w:cstheme="majorBidi"/>
              </w:rPr>
              <w:t>(% h</w:t>
            </w:r>
            <w:r w:rsidRPr="007D60B5">
              <w:rPr>
                <w:rFonts w:asciiTheme="majorBidi" w:hAnsiTheme="majorBidi" w:cstheme="majorBidi"/>
                <w:vertAlign w:val="superscript"/>
              </w:rPr>
              <w:t>-1</w:t>
            </w:r>
            <w:r w:rsidRPr="007D60B5">
              <w:rPr>
                <w:rFonts w:asciiTheme="majorBidi" w:hAnsiTheme="majorBidi" w:cstheme="majorBidi"/>
              </w:rPr>
              <w:t>)</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R</w:t>
            </w:r>
            <w:r w:rsidRPr="007D60B5">
              <w:rPr>
                <w:rFonts w:asciiTheme="majorBidi" w:hAnsiTheme="majorBidi" w:cstheme="majorBidi"/>
                <w:vertAlign w:val="superscript"/>
              </w:rPr>
              <w:t>2</w:t>
            </w:r>
          </w:p>
        </w:tc>
        <w:tc>
          <w:tcPr>
            <w:tcW w:w="997"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K</w:t>
            </w:r>
            <w:r w:rsidRPr="007D60B5">
              <w:rPr>
                <w:rFonts w:asciiTheme="majorBidi" w:hAnsiTheme="majorBidi" w:cstheme="majorBidi"/>
                <w:vertAlign w:val="subscript"/>
              </w:rPr>
              <w:t>KP</w:t>
            </w:r>
            <w:r w:rsidRPr="007D60B5">
              <w:rPr>
                <w:rFonts w:asciiTheme="majorBidi" w:hAnsiTheme="majorBidi" w:cstheme="majorBidi"/>
              </w:rPr>
              <w:t>*</w:t>
            </w:r>
          </w:p>
          <w:p w:rsidR="00EE3B5D" w:rsidRPr="007D60B5" w:rsidRDefault="00EE3B5D" w:rsidP="00A618A5">
            <w:pPr>
              <w:jc w:val="center"/>
              <w:rPr>
                <w:rFonts w:asciiTheme="majorBidi" w:hAnsiTheme="majorBidi" w:cstheme="majorBidi"/>
              </w:rPr>
            </w:pPr>
            <w:r w:rsidRPr="007D60B5">
              <w:rPr>
                <w:rFonts w:asciiTheme="majorBidi" w:hAnsiTheme="majorBidi" w:cstheme="majorBidi"/>
              </w:rPr>
              <w:t>(% h</w:t>
            </w:r>
            <w:r w:rsidRPr="007D60B5">
              <w:rPr>
                <w:rFonts w:asciiTheme="majorBidi" w:hAnsiTheme="majorBidi" w:cstheme="majorBidi"/>
                <w:vertAlign w:val="superscript"/>
              </w:rPr>
              <w:t>-n</w:t>
            </w:r>
            <w:r w:rsidRPr="007D60B5">
              <w:rPr>
                <w:rFonts w:asciiTheme="majorBidi" w:hAnsiTheme="majorBidi" w:cstheme="majorBidi"/>
              </w:rPr>
              <w:t>)</w:t>
            </w:r>
          </w:p>
        </w:tc>
        <w:tc>
          <w:tcPr>
            <w:tcW w:w="932"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n*</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R</w:t>
            </w:r>
            <w:r w:rsidRPr="007D60B5">
              <w:rPr>
                <w:rFonts w:asciiTheme="majorBidi" w:hAnsiTheme="majorBidi" w:cstheme="majorBidi"/>
                <w:vertAlign w:val="superscript"/>
              </w:rPr>
              <w:t>2</w:t>
            </w:r>
          </w:p>
        </w:tc>
      </w:tr>
      <w:tr w:rsidR="00EE3B5D" w:rsidRPr="007D60B5" w:rsidTr="00A618A5">
        <w:tc>
          <w:tcPr>
            <w:tcW w:w="1394" w:type="dxa"/>
            <w:vAlign w:val="center"/>
          </w:tcPr>
          <w:p w:rsidR="00EE3B5D" w:rsidRPr="007D60B5" w:rsidRDefault="00EE3B5D" w:rsidP="00A618A5">
            <w:pPr>
              <w:jc w:val="center"/>
              <w:rPr>
                <w:rFonts w:asciiTheme="majorBidi" w:hAnsiTheme="majorBidi" w:cstheme="majorBidi"/>
                <w:b/>
                <w:bCs/>
              </w:rPr>
            </w:pPr>
            <w:r w:rsidRPr="007D60B5">
              <w:rPr>
                <w:rFonts w:asciiTheme="majorBidi" w:hAnsiTheme="majorBidi" w:cstheme="majorBidi"/>
                <w:b/>
                <w:bCs/>
              </w:rPr>
              <w:t>M2</w:t>
            </w:r>
          </w:p>
        </w:tc>
        <w:tc>
          <w:tcPr>
            <w:tcW w:w="857"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4.730</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0.2283</w:t>
            </w:r>
          </w:p>
        </w:tc>
        <w:tc>
          <w:tcPr>
            <w:tcW w:w="948"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0.154</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0.9079</w:t>
            </w:r>
          </w:p>
        </w:tc>
        <w:tc>
          <w:tcPr>
            <w:tcW w:w="902"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20.722</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0.9408</w:t>
            </w:r>
          </w:p>
        </w:tc>
        <w:tc>
          <w:tcPr>
            <w:tcW w:w="997"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27.934</w:t>
            </w:r>
          </w:p>
        </w:tc>
        <w:tc>
          <w:tcPr>
            <w:tcW w:w="932"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0.374</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0.9957</w:t>
            </w:r>
          </w:p>
        </w:tc>
      </w:tr>
      <w:tr w:rsidR="00EE3B5D" w:rsidRPr="007D60B5" w:rsidTr="00A618A5">
        <w:tc>
          <w:tcPr>
            <w:tcW w:w="1394" w:type="dxa"/>
            <w:vAlign w:val="center"/>
          </w:tcPr>
          <w:p w:rsidR="00EE3B5D" w:rsidRPr="007D60B5" w:rsidRDefault="00EE3B5D" w:rsidP="00A618A5">
            <w:pPr>
              <w:jc w:val="center"/>
              <w:rPr>
                <w:rFonts w:asciiTheme="majorBidi" w:hAnsiTheme="majorBidi" w:cstheme="majorBidi"/>
                <w:b/>
                <w:bCs/>
              </w:rPr>
            </w:pPr>
            <w:r w:rsidRPr="007D60B5">
              <w:rPr>
                <w:rFonts w:asciiTheme="majorBidi" w:hAnsiTheme="majorBidi" w:cstheme="majorBidi"/>
                <w:b/>
                <w:bCs/>
              </w:rPr>
              <w:t>L3</w:t>
            </w:r>
          </w:p>
        </w:tc>
        <w:tc>
          <w:tcPr>
            <w:tcW w:w="857"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3.356</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0.3120</w:t>
            </w:r>
          </w:p>
        </w:tc>
        <w:tc>
          <w:tcPr>
            <w:tcW w:w="948"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0.083</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0.3792</w:t>
            </w:r>
          </w:p>
        </w:tc>
        <w:tc>
          <w:tcPr>
            <w:tcW w:w="902"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15.242</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0.7756</w:t>
            </w:r>
          </w:p>
        </w:tc>
        <w:tc>
          <w:tcPr>
            <w:tcW w:w="997"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25.142</w:t>
            </w:r>
          </w:p>
        </w:tc>
        <w:tc>
          <w:tcPr>
            <w:tcW w:w="932"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0.285</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0.9862</w:t>
            </w:r>
          </w:p>
        </w:tc>
      </w:tr>
      <w:tr w:rsidR="00EE3B5D" w:rsidRPr="007D60B5" w:rsidTr="00A618A5">
        <w:tc>
          <w:tcPr>
            <w:tcW w:w="1394" w:type="dxa"/>
            <w:vAlign w:val="center"/>
          </w:tcPr>
          <w:p w:rsidR="00EE3B5D" w:rsidRPr="007D60B5" w:rsidRDefault="00EE3B5D" w:rsidP="00A618A5">
            <w:pPr>
              <w:jc w:val="center"/>
              <w:rPr>
                <w:rFonts w:asciiTheme="majorBidi" w:hAnsiTheme="majorBidi" w:cstheme="majorBidi"/>
                <w:b/>
                <w:bCs/>
              </w:rPr>
            </w:pPr>
            <w:r w:rsidRPr="007D60B5">
              <w:rPr>
                <w:rFonts w:asciiTheme="majorBidi" w:hAnsiTheme="majorBidi" w:cstheme="majorBidi"/>
                <w:b/>
                <w:bCs/>
              </w:rPr>
              <w:t>P2</w:t>
            </w:r>
          </w:p>
        </w:tc>
        <w:tc>
          <w:tcPr>
            <w:tcW w:w="857"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3.583</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0.6976</w:t>
            </w:r>
          </w:p>
        </w:tc>
        <w:tc>
          <w:tcPr>
            <w:tcW w:w="948"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0.075</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0.9456</w:t>
            </w:r>
          </w:p>
        </w:tc>
        <w:tc>
          <w:tcPr>
            <w:tcW w:w="902"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14.847</w:t>
            </w:r>
          </w:p>
        </w:tc>
        <w:tc>
          <w:tcPr>
            <w:tcW w:w="830" w:type="dxa"/>
            <w:vAlign w:val="center"/>
          </w:tcPr>
          <w:p w:rsidR="00EE3B5D" w:rsidRPr="007D60B5" w:rsidRDefault="00EE3B5D" w:rsidP="00A618A5">
            <w:pPr>
              <w:jc w:val="center"/>
              <w:rPr>
                <w:rFonts w:asciiTheme="majorBidi" w:hAnsiTheme="majorBidi" w:cstheme="majorBidi"/>
              </w:rPr>
            </w:pPr>
            <w:r w:rsidRPr="007D60B5">
              <w:rPr>
                <w:rFonts w:asciiTheme="majorBidi" w:hAnsiTheme="majorBidi" w:cstheme="majorBidi"/>
              </w:rPr>
              <w:t>0.9344</w:t>
            </w:r>
          </w:p>
        </w:tc>
        <w:tc>
          <w:tcPr>
            <w:tcW w:w="997" w:type="dxa"/>
            <w:vAlign w:val="center"/>
          </w:tcPr>
          <w:p w:rsidR="00EE3B5D" w:rsidRPr="007D60B5" w:rsidRDefault="00EE3B5D" w:rsidP="00393013">
            <w:pPr>
              <w:jc w:val="center"/>
              <w:rPr>
                <w:rFonts w:asciiTheme="majorBidi" w:hAnsiTheme="majorBidi" w:cstheme="majorBidi"/>
              </w:rPr>
            </w:pPr>
            <w:r w:rsidRPr="007D60B5">
              <w:rPr>
                <w:rFonts w:asciiTheme="majorBidi" w:hAnsiTheme="majorBidi" w:cstheme="majorBidi"/>
              </w:rPr>
              <w:t>1</w:t>
            </w:r>
            <w:r w:rsidR="00393013" w:rsidRPr="007D60B5">
              <w:rPr>
                <w:rFonts w:asciiTheme="majorBidi" w:hAnsiTheme="majorBidi" w:cstheme="majorBidi"/>
              </w:rPr>
              <w:t>7</w:t>
            </w:r>
            <w:r w:rsidRPr="007D60B5">
              <w:rPr>
                <w:rFonts w:asciiTheme="majorBidi" w:hAnsiTheme="majorBidi" w:cstheme="majorBidi"/>
              </w:rPr>
              <w:t>.136</w:t>
            </w:r>
          </w:p>
        </w:tc>
        <w:tc>
          <w:tcPr>
            <w:tcW w:w="932" w:type="dxa"/>
            <w:vAlign w:val="center"/>
          </w:tcPr>
          <w:p w:rsidR="00EE3B5D" w:rsidRPr="007D60B5" w:rsidRDefault="00EE3B5D" w:rsidP="00393013">
            <w:pPr>
              <w:jc w:val="center"/>
              <w:rPr>
                <w:rFonts w:asciiTheme="majorBidi" w:hAnsiTheme="majorBidi" w:cstheme="majorBidi"/>
              </w:rPr>
            </w:pPr>
            <w:r w:rsidRPr="007D60B5">
              <w:rPr>
                <w:rFonts w:asciiTheme="majorBidi" w:hAnsiTheme="majorBidi" w:cstheme="majorBidi"/>
              </w:rPr>
              <w:t>0.</w:t>
            </w:r>
            <w:r w:rsidR="00393013" w:rsidRPr="007D60B5">
              <w:rPr>
                <w:rFonts w:asciiTheme="majorBidi" w:hAnsiTheme="majorBidi" w:cstheme="majorBidi"/>
              </w:rPr>
              <w:t>43</w:t>
            </w:r>
            <w:r w:rsidRPr="007D60B5">
              <w:rPr>
                <w:rFonts w:asciiTheme="majorBidi" w:hAnsiTheme="majorBidi" w:cstheme="majorBidi"/>
              </w:rPr>
              <w:t>0</w:t>
            </w:r>
          </w:p>
        </w:tc>
        <w:tc>
          <w:tcPr>
            <w:tcW w:w="830" w:type="dxa"/>
            <w:vAlign w:val="center"/>
          </w:tcPr>
          <w:p w:rsidR="00EE3B5D" w:rsidRPr="007D60B5" w:rsidRDefault="00EE3B5D" w:rsidP="00393013">
            <w:pPr>
              <w:jc w:val="center"/>
              <w:rPr>
                <w:rFonts w:asciiTheme="majorBidi" w:hAnsiTheme="majorBidi" w:cstheme="majorBidi"/>
              </w:rPr>
            </w:pPr>
            <w:r w:rsidRPr="007D60B5">
              <w:rPr>
                <w:rFonts w:asciiTheme="majorBidi" w:hAnsiTheme="majorBidi" w:cstheme="majorBidi"/>
              </w:rPr>
              <w:t>0.9</w:t>
            </w:r>
            <w:r w:rsidR="00393013" w:rsidRPr="007D60B5">
              <w:rPr>
                <w:rFonts w:asciiTheme="majorBidi" w:hAnsiTheme="majorBidi" w:cstheme="majorBidi"/>
              </w:rPr>
              <w:t>4</w:t>
            </w:r>
            <w:r w:rsidRPr="007D60B5">
              <w:rPr>
                <w:rFonts w:asciiTheme="majorBidi" w:hAnsiTheme="majorBidi" w:cstheme="majorBidi"/>
              </w:rPr>
              <w:t>96</w:t>
            </w:r>
          </w:p>
        </w:tc>
      </w:tr>
    </w:tbl>
    <w:p w:rsidR="00EE3B5D" w:rsidRPr="007D60B5" w:rsidRDefault="00EE3B5D" w:rsidP="00BE4D87">
      <w:pPr>
        <w:jc w:val="both"/>
        <w:rPr>
          <w:rFonts w:asciiTheme="majorBidi" w:hAnsiTheme="majorBidi" w:cstheme="majorBidi"/>
          <w:sz w:val="23"/>
          <w:szCs w:val="23"/>
        </w:rPr>
      </w:pPr>
      <w:r w:rsidRPr="007D60B5">
        <w:rPr>
          <w:rFonts w:asciiTheme="majorBidi" w:hAnsiTheme="majorBidi" w:cstheme="majorBidi"/>
          <w:sz w:val="23"/>
          <w:szCs w:val="23"/>
        </w:rPr>
        <w:t>K</w:t>
      </w:r>
      <w:r w:rsidRPr="007D60B5">
        <w:rPr>
          <w:rFonts w:asciiTheme="majorBidi" w:hAnsiTheme="majorBidi" w:cstheme="majorBidi"/>
          <w:sz w:val="16"/>
          <w:szCs w:val="16"/>
        </w:rPr>
        <w:t>0</w:t>
      </w:r>
      <w:r w:rsidRPr="007D60B5">
        <w:rPr>
          <w:rFonts w:asciiTheme="majorBidi" w:hAnsiTheme="majorBidi" w:cstheme="majorBidi"/>
          <w:sz w:val="23"/>
          <w:szCs w:val="23"/>
        </w:rPr>
        <w:t>, K</w:t>
      </w:r>
      <w:r w:rsidRPr="007D60B5">
        <w:rPr>
          <w:rFonts w:asciiTheme="majorBidi" w:hAnsiTheme="majorBidi" w:cstheme="majorBidi"/>
          <w:sz w:val="16"/>
          <w:szCs w:val="16"/>
        </w:rPr>
        <w:t>1</w:t>
      </w:r>
      <w:r w:rsidRPr="007D60B5">
        <w:rPr>
          <w:rFonts w:asciiTheme="majorBidi" w:hAnsiTheme="majorBidi" w:cstheme="majorBidi"/>
          <w:sz w:val="23"/>
          <w:szCs w:val="23"/>
        </w:rPr>
        <w:t>, K</w:t>
      </w:r>
      <w:r w:rsidRPr="007D60B5">
        <w:rPr>
          <w:rFonts w:asciiTheme="majorBidi" w:hAnsiTheme="majorBidi" w:cstheme="majorBidi"/>
          <w:sz w:val="16"/>
          <w:szCs w:val="16"/>
        </w:rPr>
        <w:t xml:space="preserve">H </w:t>
      </w:r>
      <w:r w:rsidRPr="007D60B5">
        <w:rPr>
          <w:rFonts w:asciiTheme="majorBidi" w:hAnsiTheme="majorBidi" w:cstheme="majorBidi"/>
          <w:sz w:val="23"/>
          <w:szCs w:val="23"/>
        </w:rPr>
        <w:t>and K</w:t>
      </w:r>
      <w:r w:rsidRPr="007D60B5">
        <w:rPr>
          <w:rFonts w:asciiTheme="majorBidi" w:hAnsiTheme="majorBidi" w:cstheme="majorBidi"/>
          <w:sz w:val="16"/>
          <w:szCs w:val="16"/>
        </w:rPr>
        <w:t xml:space="preserve">KP </w:t>
      </w:r>
      <w:r w:rsidRPr="007D60B5">
        <w:rPr>
          <w:rFonts w:asciiTheme="majorBidi" w:hAnsiTheme="majorBidi" w:cstheme="majorBidi"/>
          <w:sz w:val="23"/>
          <w:szCs w:val="23"/>
        </w:rPr>
        <w:t>are the release rate constant for zero-order, first-order, Higuchi and Korsmeyer-Peppas models, respectively. n is the release exponent for Korsmeyer-Peppas model.</w:t>
      </w:r>
    </w:p>
    <w:p w:rsidR="00F62C55" w:rsidRPr="007D60B5" w:rsidRDefault="00F62C55" w:rsidP="00BE4D87">
      <w:pPr>
        <w:jc w:val="both"/>
        <w:rPr>
          <w:rFonts w:asciiTheme="majorBidi" w:hAnsiTheme="majorBidi" w:cstheme="majorBidi"/>
          <w:sz w:val="23"/>
          <w:szCs w:val="23"/>
        </w:rPr>
      </w:pPr>
    </w:p>
    <w:p w:rsidR="00F62C55" w:rsidRPr="007D60B5" w:rsidRDefault="001B0FFB" w:rsidP="00EA73AB">
      <w:pPr>
        <w:pStyle w:val="NoSpacing"/>
        <w:jc w:val="both"/>
        <w:rPr>
          <w:rFonts w:asciiTheme="majorBidi" w:hAnsiTheme="majorBidi" w:cstheme="majorBidi"/>
        </w:rPr>
      </w:pPr>
      <w:r w:rsidRPr="007D60B5">
        <w:rPr>
          <w:rFonts w:asciiTheme="majorBidi" w:hAnsiTheme="majorBidi" w:cstheme="majorBidi"/>
          <w:b/>
          <w:bCs/>
          <w:sz w:val="24"/>
          <w:szCs w:val="24"/>
        </w:rPr>
        <w:lastRenderedPageBreak/>
        <w:t>Table S</w:t>
      </w:r>
      <w:r w:rsidR="00EA73AB" w:rsidRPr="007D60B5">
        <w:rPr>
          <w:rFonts w:asciiTheme="majorBidi" w:hAnsiTheme="majorBidi" w:cstheme="majorBidi"/>
          <w:b/>
          <w:bCs/>
          <w:sz w:val="24"/>
          <w:szCs w:val="24"/>
        </w:rPr>
        <w:t>4</w:t>
      </w:r>
      <w:r w:rsidRPr="007D60B5">
        <w:rPr>
          <w:rFonts w:asciiTheme="majorBidi" w:hAnsiTheme="majorBidi" w:cstheme="majorBidi"/>
          <w:sz w:val="24"/>
          <w:szCs w:val="24"/>
        </w:rPr>
        <w:t>: Release kinetic parameters for LUT from optimized EXM/LUT-loaded zein NS formulae in PBS pH 7.4; 0.5% (w/v) SLS at 100 rpm and 37±0.5 ºC.</w:t>
      </w:r>
    </w:p>
    <w:p w:rsidR="00406B5A" w:rsidRPr="007D60B5" w:rsidRDefault="00406B5A" w:rsidP="00406B5A">
      <w:pPr>
        <w:pStyle w:val="NoSpacing"/>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427"/>
        <w:gridCol w:w="851"/>
        <w:gridCol w:w="829"/>
        <w:gridCol w:w="939"/>
        <w:gridCol w:w="830"/>
        <w:gridCol w:w="899"/>
        <w:gridCol w:w="830"/>
        <w:gridCol w:w="991"/>
        <w:gridCol w:w="924"/>
        <w:gridCol w:w="830"/>
      </w:tblGrid>
      <w:tr w:rsidR="00F62C55" w:rsidRPr="007D60B5" w:rsidTr="004271F5">
        <w:tc>
          <w:tcPr>
            <w:tcW w:w="1394" w:type="dxa"/>
            <w:vMerge w:val="restart"/>
            <w:vAlign w:val="center"/>
          </w:tcPr>
          <w:p w:rsidR="00F62C55" w:rsidRPr="007D60B5" w:rsidRDefault="00F62C55" w:rsidP="004271F5">
            <w:pPr>
              <w:jc w:val="center"/>
              <w:rPr>
                <w:rFonts w:asciiTheme="majorBidi" w:hAnsiTheme="majorBidi" w:cstheme="majorBidi"/>
                <w:b/>
                <w:bCs/>
              </w:rPr>
            </w:pPr>
            <w:r w:rsidRPr="007D60B5">
              <w:rPr>
                <w:rFonts w:asciiTheme="majorBidi" w:hAnsiTheme="majorBidi" w:cstheme="majorBidi"/>
                <w:b/>
                <w:bCs/>
              </w:rPr>
              <w:t>Nanospheres code</w:t>
            </w:r>
          </w:p>
        </w:tc>
        <w:tc>
          <w:tcPr>
            <w:tcW w:w="1687" w:type="dxa"/>
            <w:gridSpan w:val="2"/>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b/>
                <w:bCs/>
              </w:rPr>
              <w:t>Zero-order model</w:t>
            </w:r>
          </w:p>
        </w:tc>
        <w:tc>
          <w:tcPr>
            <w:tcW w:w="1778" w:type="dxa"/>
            <w:gridSpan w:val="2"/>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b/>
                <w:bCs/>
              </w:rPr>
              <w:t>First-order model</w:t>
            </w:r>
          </w:p>
        </w:tc>
        <w:tc>
          <w:tcPr>
            <w:tcW w:w="1732" w:type="dxa"/>
            <w:gridSpan w:val="2"/>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b/>
                <w:bCs/>
              </w:rPr>
              <w:t>Higuchi model</w:t>
            </w:r>
          </w:p>
        </w:tc>
        <w:tc>
          <w:tcPr>
            <w:tcW w:w="2759" w:type="dxa"/>
            <w:gridSpan w:val="3"/>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b/>
                <w:bCs/>
              </w:rPr>
              <w:t>Korsmeyer-Peppas model</w:t>
            </w:r>
          </w:p>
        </w:tc>
      </w:tr>
      <w:tr w:rsidR="005F1CA3" w:rsidRPr="007D60B5" w:rsidTr="004271F5">
        <w:tc>
          <w:tcPr>
            <w:tcW w:w="1394" w:type="dxa"/>
            <w:vMerge/>
            <w:vAlign w:val="center"/>
          </w:tcPr>
          <w:p w:rsidR="00F62C55" w:rsidRPr="007D60B5" w:rsidRDefault="00F62C55" w:rsidP="004271F5">
            <w:pPr>
              <w:jc w:val="center"/>
              <w:rPr>
                <w:rFonts w:asciiTheme="majorBidi" w:hAnsiTheme="majorBidi" w:cstheme="majorBidi"/>
                <w:b/>
                <w:bCs/>
              </w:rPr>
            </w:pPr>
          </w:p>
        </w:tc>
        <w:tc>
          <w:tcPr>
            <w:tcW w:w="857"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sz w:val="23"/>
                <w:szCs w:val="23"/>
              </w:rPr>
              <w:t>K</w:t>
            </w:r>
            <w:r w:rsidRPr="007D60B5">
              <w:rPr>
                <w:rFonts w:asciiTheme="majorBidi" w:hAnsiTheme="majorBidi" w:cstheme="majorBidi"/>
                <w:sz w:val="23"/>
                <w:szCs w:val="23"/>
                <w:vertAlign w:val="subscript"/>
              </w:rPr>
              <w:t>0</w:t>
            </w:r>
            <w:r w:rsidRPr="007D60B5">
              <w:rPr>
                <w:rFonts w:asciiTheme="majorBidi" w:hAnsiTheme="majorBidi" w:cstheme="majorBidi"/>
              </w:rPr>
              <w:t>*</w:t>
            </w:r>
          </w:p>
          <w:p w:rsidR="00F62C55" w:rsidRPr="007D60B5" w:rsidRDefault="00F62C55" w:rsidP="004271F5">
            <w:pPr>
              <w:jc w:val="center"/>
              <w:rPr>
                <w:rFonts w:asciiTheme="majorBidi" w:hAnsiTheme="majorBidi" w:cstheme="majorBidi"/>
              </w:rPr>
            </w:pPr>
            <w:r w:rsidRPr="007D60B5">
              <w:rPr>
                <w:rFonts w:asciiTheme="majorBidi" w:hAnsiTheme="majorBidi" w:cstheme="majorBidi"/>
              </w:rPr>
              <w:t>(% h</w:t>
            </w:r>
            <w:r w:rsidRPr="007D60B5">
              <w:rPr>
                <w:rFonts w:asciiTheme="majorBidi" w:hAnsiTheme="majorBidi" w:cstheme="majorBidi"/>
                <w:vertAlign w:val="superscript"/>
              </w:rPr>
              <w:t>-1</w:t>
            </w:r>
            <w:r w:rsidRPr="007D60B5">
              <w:rPr>
                <w:rFonts w:asciiTheme="majorBidi" w:hAnsiTheme="majorBidi" w:cstheme="majorBidi"/>
              </w:rPr>
              <w:t>)</w:t>
            </w:r>
          </w:p>
        </w:tc>
        <w:tc>
          <w:tcPr>
            <w:tcW w:w="830" w:type="dxa"/>
            <w:vAlign w:val="center"/>
          </w:tcPr>
          <w:p w:rsidR="00F62C55" w:rsidRPr="007D60B5" w:rsidRDefault="00F62C55" w:rsidP="004271F5">
            <w:pPr>
              <w:jc w:val="center"/>
              <w:rPr>
                <w:rFonts w:asciiTheme="majorBidi" w:hAnsiTheme="majorBidi" w:cstheme="majorBidi"/>
                <w:vertAlign w:val="superscript"/>
              </w:rPr>
            </w:pPr>
            <w:r w:rsidRPr="007D60B5">
              <w:rPr>
                <w:rFonts w:asciiTheme="majorBidi" w:hAnsiTheme="majorBidi" w:cstheme="majorBidi"/>
              </w:rPr>
              <w:t>R</w:t>
            </w:r>
            <w:r w:rsidRPr="007D60B5">
              <w:rPr>
                <w:rFonts w:asciiTheme="majorBidi" w:hAnsiTheme="majorBidi" w:cstheme="majorBidi"/>
                <w:vertAlign w:val="superscript"/>
              </w:rPr>
              <w:t>2</w:t>
            </w:r>
          </w:p>
        </w:tc>
        <w:tc>
          <w:tcPr>
            <w:tcW w:w="948"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K</w:t>
            </w:r>
            <w:r w:rsidRPr="007D60B5">
              <w:rPr>
                <w:rFonts w:asciiTheme="majorBidi" w:hAnsiTheme="majorBidi" w:cstheme="majorBidi"/>
                <w:vertAlign w:val="subscript"/>
              </w:rPr>
              <w:t>1</w:t>
            </w:r>
            <w:r w:rsidRPr="007D60B5">
              <w:rPr>
                <w:rFonts w:asciiTheme="majorBidi" w:hAnsiTheme="majorBidi" w:cstheme="majorBidi"/>
              </w:rPr>
              <w:t>*</w:t>
            </w:r>
          </w:p>
          <w:p w:rsidR="00F62C55" w:rsidRPr="007D60B5" w:rsidRDefault="00F62C55" w:rsidP="004271F5">
            <w:pPr>
              <w:jc w:val="center"/>
              <w:rPr>
                <w:rFonts w:asciiTheme="majorBidi" w:hAnsiTheme="majorBidi" w:cstheme="majorBidi"/>
              </w:rPr>
            </w:pPr>
            <w:r w:rsidRPr="007D60B5">
              <w:rPr>
                <w:rFonts w:asciiTheme="majorBidi" w:hAnsiTheme="majorBidi" w:cstheme="majorBidi"/>
              </w:rPr>
              <w:t>(% h</w:t>
            </w:r>
            <w:r w:rsidRPr="007D60B5">
              <w:rPr>
                <w:rFonts w:asciiTheme="majorBidi" w:hAnsiTheme="majorBidi" w:cstheme="majorBidi"/>
                <w:vertAlign w:val="superscript"/>
              </w:rPr>
              <w:t>-1/2</w:t>
            </w:r>
            <w:r w:rsidRPr="007D60B5">
              <w:rPr>
                <w:rFonts w:asciiTheme="majorBidi" w:hAnsiTheme="majorBidi" w:cstheme="majorBidi"/>
              </w:rPr>
              <w:t>)</w:t>
            </w:r>
          </w:p>
        </w:tc>
        <w:tc>
          <w:tcPr>
            <w:tcW w:w="830"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R</w:t>
            </w:r>
            <w:r w:rsidRPr="007D60B5">
              <w:rPr>
                <w:rFonts w:asciiTheme="majorBidi" w:hAnsiTheme="majorBidi" w:cstheme="majorBidi"/>
                <w:vertAlign w:val="superscript"/>
              </w:rPr>
              <w:t>2</w:t>
            </w:r>
          </w:p>
        </w:tc>
        <w:tc>
          <w:tcPr>
            <w:tcW w:w="902"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K</w:t>
            </w:r>
            <w:r w:rsidRPr="007D60B5">
              <w:rPr>
                <w:rFonts w:asciiTheme="majorBidi" w:hAnsiTheme="majorBidi" w:cstheme="majorBidi"/>
                <w:vertAlign w:val="subscript"/>
              </w:rPr>
              <w:t>H</w:t>
            </w:r>
            <w:r w:rsidRPr="007D60B5">
              <w:rPr>
                <w:rFonts w:asciiTheme="majorBidi" w:hAnsiTheme="majorBidi" w:cstheme="majorBidi"/>
              </w:rPr>
              <w:t>*</w:t>
            </w:r>
          </w:p>
          <w:p w:rsidR="00F62C55" w:rsidRPr="007D60B5" w:rsidRDefault="00F62C55" w:rsidP="004271F5">
            <w:pPr>
              <w:jc w:val="center"/>
              <w:rPr>
                <w:rFonts w:asciiTheme="majorBidi" w:hAnsiTheme="majorBidi" w:cstheme="majorBidi"/>
              </w:rPr>
            </w:pPr>
            <w:r w:rsidRPr="007D60B5">
              <w:rPr>
                <w:rFonts w:asciiTheme="majorBidi" w:hAnsiTheme="majorBidi" w:cstheme="majorBidi"/>
              </w:rPr>
              <w:t>(% h</w:t>
            </w:r>
            <w:r w:rsidRPr="007D60B5">
              <w:rPr>
                <w:rFonts w:asciiTheme="majorBidi" w:hAnsiTheme="majorBidi" w:cstheme="majorBidi"/>
                <w:vertAlign w:val="superscript"/>
              </w:rPr>
              <w:t>-1</w:t>
            </w:r>
            <w:r w:rsidRPr="007D60B5">
              <w:rPr>
                <w:rFonts w:asciiTheme="majorBidi" w:hAnsiTheme="majorBidi" w:cstheme="majorBidi"/>
              </w:rPr>
              <w:t>)</w:t>
            </w:r>
          </w:p>
        </w:tc>
        <w:tc>
          <w:tcPr>
            <w:tcW w:w="830"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R</w:t>
            </w:r>
            <w:r w:rsidRPr="007D60B5">
              <w:rPr>
                <w:rFonts w:asciiTheme="majorBidi" w:hAnsiTheme="majorBidi" w:cstheme="majorBidi"/>
                <w:vertAlign w:val="superscript"/>
              </w:rPr>
              <w:t>2</w:t>
            </w:r>
          </w:p>
        </w:tc>
        <w:tc>
          <w:tcPr>
            <w:tcW w:w="997"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K</w:t>
            </w:r>
            <w:r w:rsidRPr="007D60B5">
              <w:rPr>
                <w:rFonts w:asciiTheme="majorBidi" w:hAnsiTheme="majorBidi" w:cstheme="majorBidi"/>
                <w:vertAlign w:val="subscript"/>
              </w:rPr>
              <w:t>KP</w:t>
            </w:r>
            <w:r w:rsidRPr="007D60B5">
              <w:rPr>
                <w:rFonts w:asciiTheme="majorBidi" w:hAnsiTheme="majorBidi" w:cstheme="majorBidi"/>
              </w:rPr>
              <w:t>*</w:t>
            </w:r>
          </w:p>
          <w:p w:rsidR="00F62C55" w:rsidRPr="007D60B5" w:rsidRDefault="00F62C55" w:rsidP="004271F5">
            <w:pPr>
              <w:jc w:val="center"/>
              <w:rPr>
                <w:rFonts w:asciiTheme="majorBidi" w:hAnsiTheme="majorBidi" w:cstheme="majorBidi"/>
              </w:rPr>
            </w:pPr>
            <w:r w:rsidRPr="007D60B5">
              <w:rPr>
                <w:rFonts w:asciiTheme="majorBidi" w:hAnsiTheme="majorBidi" w:cstheme="majorBidi"/>
              </w:rPr>
              <w:t>(% h</w:t>
            </w:r>
            <w:r w:rsidRPr="007D60B5">
              <w:rPr>
                <w:rFonts w:asciiTheme="majorBidi" w:hAnsiTheme="majorBidi" w:cstheme="majorBidi"/>
                <w:vertAlign w:val="superscript"/>
              </w:rPr>
              <w:t>-n</w:t>
            </w:r>
            <w:r w:rsidRPr="007D60B5">
              <w:rPr>
                <w:rFonts w:asciiTheme="majorBidi" w:hAnsiTheme="majorBidi" w:cstheme="majorBidi"/>
              </w:rPr>
              <w:t>)</w:t>
            </w:r>
          </w:p>
        </w:tc>
        <w:tc>
          <w:tcPr>
            <w:tcW w:w="932"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n*</w:t>
            </w:r>
          </w:p>
        </w:tc>
        <w:tc>
          <w:tcPr>
            <w:tcW w:w="830"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R</w:t>
            </w:r>
            <w:r w:rsidRPr="007D60B5">
              <w:rPr>
                <w:rFonts w:asciiTheme="majorBidi" w:hAnsiTheme="majorBidi" w:cstheme="majorBidi"/>
                <w:vertAlign w:val="superscript"/>
              </w:rPr>
              <w:t>2</w:t>
            </w:r>
          </w:p>
        </w:tc>
      </w:tr>
      <w:tr w:rsidR="005F1CA3" w:rsidRPr="007D60B5" w:rsidTr="004271F5">
        <w:tc>
          <w:tcPr>
            <w:tcW w:w="1394" w:type="dxa"/>
            <w:vAlign w:val="center"/>
          </w:tcPr>
          <w:p w:rsidR="00F62C55" w:rsidRPr="007D60B5" w:rsidRDefault="00F62C55" w:rsidP="004271F5">
            <w:pPr>
              <w:jc w:val="center"/>
              <w:rPr>
                <w:rFonts w:asciiTheme="majorBidi" w:hAnsiTheme="majorBidi" w:cstheme="majorBidi"/>
                <w:b/>
                <w:bCs/>
              </w:rPr>
            </w:pPr>
            <w:r w:rsidRPr="007D60B5">
              <w:rPr>
                <w:rFonts w:asciiTheme="majorBidi" w:hAnsiTheme="majorBidi" w:cstheme="majorBidi"/>
                <w:b/>
                <w:bCs/>
              </w:rPr>
              <w:t>M2</w:t>
            </w:r>
          </w:p>
        </w:tc>
        <w:tc>
          <w:tcPr>
            <w:tcW w:w="857"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3.466</w:t>
            </w:r>
          </w:p>
        </w:tc>
        <w:tc>
          <w:tcPr>
            <w:tcW w:w="830"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0.7063</w:t>
            </w:r>
          </w:p>
        </w:tc>
        <w:tc>
          <w:tcPr>
            <w:tcW w:w="948"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0.109</w:t>
            </w:r>
          </w:p>
        </w:tc>
        <w:tc>
          <w:tcPr>
            <w:tcW w:w="830"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0.0343</w:t>
            </w:r>
          </w:p>
        </w:tc>
        <w:tc>
          <w:tcPr>
            <w:tcW w:w="902"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16.344</w:t>
            </w:r>
          </w:p>
        </w:tc>
        <w:tc>
          <w:tcPr>
            <w:tcW w:w="830"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0.4797</w:t>
            </w:r>
          </w:p>
        </w:tc>
        <w:tc>
          <w:tcPr>
            <w:tcW w:w="997"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31.971</w:t>
            </w:r>
          </w:p>
        </w:tc>
        <w:tc>
          <w:tcPr>
            <w:tcW w:w="932"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0.208</w:t>
            </w:r>
          </w:p>
        </w:tc>
        <w:tc>
          <w:tcPr>
            <w:tcW w:w="830"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0.9808</w:t>
            </w:r>
          </w:p>
        </w:tc>
      </w:tr>
      <w:tr w:rsidR="005F1CA3" w:rsidRPr="007D60B5" w:rsidTr="004271F5">
        <w:tc>
          <w:tcPr>
            <w:tcW w:w="1394" w:type="dxa"/>
            <w:vAlign w:val="center"/>
          </w:tcPr>
          <w:p w:rsidR="00F62C55" w:rsidRPr="007D60B5" w:rsidRDefault="00F62C55" w:rsidP="004271F5">
            <w:pPr>
              <w:jc w:val="center"/>
              <w:rPr>
                <w:rFonts w:asciiTheme="majorBidi" w:hAnsiTheme="majorBidi" w:cstheme="majorBidi"/>
                <w:b/>
                <w:bCs/>
              </w:rPr>
            </w:pPr>
            <w:r w:rsidRPr="007D60B5">
              <w:rPr>
                <w:rFonts w:asciiTheme="majorBidi" w:hAnsiTheme="majorBidi" w:cstheme="majorBidi"/>
                <w:b/>
                <w:bCs/>
              </w:rPr>
              <w:t>L3</w:t>
            </w:r>
          </w:p>
        </w:tc>
        <w:tc>
          <w:tcPr>
            <w:tcW w:w="857"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2.839</w:t>
            </w:r>
          </w:p>
        </w:tc>
        <w:tc>
          <w:tcPr>
            <w:tcW w:w="830"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0.8545</w:t>
            </w:r>
          </w:p>
        </w:tc>
        <w:tc>
          <w:tcPr>
            <w:tcW w:w="948"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0.053</w:t>
            </w:r>
          </w:p>
        </w:tc>
        <w:tc>
          <w:tcPr>
            <w:tcW w:w="830"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0.3945</w:t>
            </w:r>
          </w:p>
        </w:tc>
        <w:tc>
          <w:tcPr>
            <w:tcW w:w="902"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12.653</w:t>
            </w:r>
          </w:p>
        </w:tc>
        <w:tc>
          <w:tcPr>
            <w:tcW w:w="830"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0.8623</w:t>
            </w:r>
          </w:p>
        </w:tc>
        <w:tc>
          <w:tcPr>
            <w:tcW w:w="997"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19.281</w:t>
            </w:r>
          </w:p>
        </w:tc>
        <w:tc>
          <w:tcPr>
            <w:tcW w:w="932"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0.320</w:t>
            </w:r>
          </w:p>
        </w:tc>
        <w:tc>
          <w:tcPr>
            <w:tcW w:w="830"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0.9924</w:t>
            </w:r>
          </w:p>
        </w:tc>
      </w:tr>
      <w:tr w:rsidR="005F1CA3" w:rsidRPr="007D60B5" w:rsidTr="004271F5">
        <w:tc>
          <w:tcPr>
            <w:tcW w:w="1394" w:type="dxa"/>
            <w:vAlign w:val="center"/>
          </w:tcPr>
          <w:p w:rsidR="00F62C55" w:rsidRPr="007D60B5" w:rsidRDefault="00F62C55" w:rsidP="004271F5">
            <w:pPr>
              <w:jc w:val="center"/>
              <w:rPr>
                <w:rFonts w:asciiTheme="majorBidi" w:hAnsiTheme="majorBidi" w:cstheme="majorBidi"/>
                <w:b/>
                <w:bCs/>
              </w:rPr>
            </w:pPr>
            <w:r w:rsidRPr="007D60B5">
              <w:rPr>
                <w:rFonts w:asciiTheme="majorBidi" w:hAnsiTheme="majorBidi" w:cstheme="majorBidi"/>
                <w:b/>
                <w:bCs/>
              </w:rPr>
              <w:t>P2</w:t>
            </w:r>
          </w:p>
        </w:tc>
        <w:tc>
          <w:tcPr>
            <w:tcW w:w="857"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3.255</w:t>
            </w:r>
          </w:p>
        </w:tc>
        <w:tc>
          <w:tcPr>
            <w:tcW w:w="830"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0.6698</w:t>
            </w:r>
          </w:p>
        </w:tc>
        <w:tc>
          <w:tcPr>
            <w:tcW w:w="948"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0.098</w:t>
            </w:r>
          </w:p>
        </w:tc>
        <w:tc>
          <w:tcPr>
            <w:tcW w:w="830"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0.0313</w:t>
            </w:r>
          </w:p>
        </w:tc>
        <w:tc>
          <w:tcPr>
            <w:tcW w:w="902"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15.466</w:t>
            </w:r>
          </w:p>
        </w:tc>
        <w:tc>
          <w:tcPr>
            <w:tcW w:w="830" w:type="dxa"/>
            <w:vAlign w:val="center"/>
          </w:tcPr>
          <w:p w:rsidR="00F62C55" w:rsidRPr="007D60B5" w:rsidRDefault="005F1CA3" w:rsidP="004271F5">
            <w:pPr>
              <w:jc w:val="center"/>
              <w:rPr>
                <w:rFonts w:asciiTheme="majorBidi" w:hAnsiTheme="majorBidi" w:cstheme="majorBidi"/>
              </w:rPr>
            </w:pPr>
            <w:r w:rsidRPr="007D60B5">
              <w:rPr>
                <w:rFonts w:asciiTheme="majorBidi" w:hAnsiTheme="majorBidi" w:cstheme="majorBidi"/>
              </w:rPr>
              <w:t>0.4956</w:t>
            </w:r>
          </w:p>
        </w:tc>
        <w:tc>
          <w:tcPr>
            <w:tcW w:w="997"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29.579</w:t>
            </w:r>
          </w:p>
        </w:tc>
        <w:tc>
          <w:tcPr>
            <w:tcW w:w="932"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0.220</w:t>
            </w:r>
          </w:p>
        </w:tc>
        <w:tc>
          <w:tcPr>
            <w:tcW w:w="830" w:type="dxa"/>
            <w:vAlign w:val="center"/>
          </w:tcPr>
          <w:p w:rsidR="00F62C55" w:rsidRPr="007D60B5" w:rsidRDefault="00F62C55" w:rsidP="004271F5">
            <w:pPr>
              <w:jc w:val="center"/>
              <w:rPr>
                <w:rFonts w:asciiTheme="majorBidi" w:hAnsiTheme="majorBidi" w:cstheme="majorBidi"/>
              </w:rPr>
            </w:pPr>
            <w:r w:rsidRPr="007D60B5">
              <w:rPr>
                <w:rFonts w:asciiTheme="majorBidi" w:hAnsiTheme="majorBidi" w:cstheme="majorBidi"/>
              </w:rPr>
              <w:t>0.9306</w:t>
            </w:r>
          </w:p>
        </w:tc>
      </w:tr>
    </w:tbl>
    <w:p w:rsidR="00F62C55" w:rsidRPr="007D60B5" w:rsidRDefault="00F62C55" w:rsidP="000F70DC">
      <w:pPr>
        <w:pStyle w:val="NoSpacing"/>
        <w:rPr>
          <w:rFonts w:asciiTheme="majorBidi" w:hAnsiTheme="majorBidi" w:cstheme="majorBidi"/>
          <w:b/>
          <w:bCs/>
          <w:sz w:val="24"/>
          <w:szCs w:val="24"/>
        </w:rPr>
      </w:pPr>
    </w:p>
    <w:p w:rsidR="001B0FFB" w:rsidRPr="007D60B5" w:rsidRDefault="001B0FFB" w:rsidP="001B0FFB">
      <w:pPr>
        <w:jc w:val="both"/>
        <w:rPr>
          <w:rFonts w:asciiTheme="majorBidi" w:hAnsiTheme="majorBidi" w:cstheme="majorBidi"/>
          <w:sz w:val="23"/>
          <w:szCs w:val="23"/>
        </w:rPr>
      </w:pPr>
      <w:r w:rsidRPr="007D60B5">
        <w:rPr>
          <w:rFonts w:asciiTheme="majorBidi" w:hAnsiTheme="majorBidi" w:cstheme="majorBidi"/>
          <w:sz w:val="23"/>
          <w:szCs w:val="23"/>
        </w:rPr>
        <w:t>K</w:t>
      </w:r>
      <w:r w:rsidRPr="007D60B5">
        <w:rPr>
          <w:rFonts w:asciiTheme="majorBidi" w:hAnsiTheme="majorBidi" w:cstheme="majorBidi"/>
          <w:sz w:val="16"/>
          <w:szCs w:val="16"/>
        </w:rPr>
        <w:t>0</w:t>
      </w:r>
      <w:r w:rsidRPr="007D60B5">
        <w:rPr>
          <w:rFonts w:asciiTheme="majorBidi" w:hAnsiTheme="majorBidi" w:cstheme="majorBidi"/>
          <w:sz w:val="23"/>
          <w:szCs w:val="23"/>
        </w:rPr>
        <w:t>, K</w:t>
      </w:r>
      <w:r w:rsidRPr="007D60B5">
        <w:rPr>
          <w:rFonts w:asciiTheme="majorBidi" w:hAnsiTheme="majorBidi" w:cstheme="majorBidi"/>
          <w:sz w:val="16"/>
          <w:szCs w:val="16"/>
        </w:rPr>
        <w:t>1</w:t>
      </w:r>
      <w:r w:rsidRPr="007D60B5">
        <w:rPr>
          <w:rFonts w:asciiTheme="majorBidi" w:hAnsiTheme="majorBidi" w:cstheme="majorBidi"/>
          <w:sz w:val="23"/>
          <w:szCs w:val="23"/>
        </w:rPr>
        <w:t>, K</w:t>
      </w:r>
      <w:r w:rsidRPr="007D60B5">
        <w:rPr>
          <w:rFonts w:asciiTheme="majorBidi" w:hAnsiTheme="majorBidi" w:cstheme="majorBidi"/>
          <w:sz w:val="16"/>
          <w:szCs w:val="16"/>
        </w:rPr>
        <w:t xml:space="preserve">H </w:t>
      </w:r>
      <w:r w:rsidRPr="007D60B5">
        <w:rPr>
          <w:rFonts w:asciiTheme="majorBidi" w:hAnsiTheme="majorBidi" w:cstheme="majorBidi"/>
          <w:sz w:val="23"/>
          <w:szCs w:val="23"/>
        </w:rPr>
        <w:t>and K</w:t>
      </w:r>
      <w:r w:rsidRPr="007D60B5">
        <w:rPr>
          <w:rFonts w:asciiTheme="majorBidi" w:hAnsiTheme="majorBidi" w:cstheme="majorBidi"/>
          <w:sz w:val="16"/>
          <w:szCs w:val="16"/>
        </w:rPr>
        <w:t xml:space="preserve">KP </w:t>
      </w:r>
      <w:r w:rsidRPr="007D60B5">
        <w:rPr>
          <w:rFonts w:asciiTheme="majorBidi" w:hAnsiTheme="majorBidi" w:cstheme="majorBidi"/>
          <w:sz w:val="23"/>
          <w:szCs w:val="23"/>
        </w:rPr>
        <w:t>are the release rate constant for zero-order, first-order, Higuchi and Korsmeyer-Peppas models, respectively. n is the release exponent for Korsmeyer-Peppas model.</w:t>
      </w:r>
    </w:p>
    <w:p w:rsidR="001B0FFB" w:rsidRPr="007D60B5" w:rsidRDefault="001B0FFB" w:rsidP="000F70DC">
      <w:pPr>
        <w:pStyle w:val="NoSpacing"/>
        <w:rPr>
          <w:rFonts w:asciiTheme="majorBidi" w:hAnsiTheme="majorBidi" w:cstheme="majorBidi"/>
          <w:b/>
          <w:bCs/>
          <w:sz w:val="24"/>
          <w:szCs w:val="24"/>
        </w:rPr>
      </w:pPr>
    </w:p>
    <w:p w:rsidR="0053699F" w:rsidRPr="007D60B5" w:rsidRDefault="00941CE6" w:rsidP="000F70DC">
      <w:pPr>
        <w:pStyle w:val="NoSpacing"/>
        <w:rPr>
          <w:rFonts w:asciiTheme="majorBidi" w:hAnsiTheme="majorBidi" w:cstheme="majorBidi"/>
          <w:b/>
          <w:bCs/>
          <w:sz w:val="24"/>
          <w:szCs w:val="24"/>
        </w:rPr>
      </w:pPr>
      <w:r w:rsidRPr="007D60B5">
        <w:rPr>
          <w:rFonts w:asciiTheme="majorBidi" w:hAnsiTheme="majorBidi" w:cstheme="majorBidi"/>
          <w:b/>
          <w:bCs/>
          <w:sz w:val="24"/>
          <w:szCs w:val="24"/>
        </w:rPr>
        <w:t xml:space="preserve">References </w:t>
      </w:r>
    </w:p>
    <w:p w:rsidR="0053699F" w:rsidRPr="007D60B5" w:rsidRDefault="0053699F" w:rsidP="000F70DC">
      <w:pPr>
        <w:pStyle w:val="NoSpacing"/>
        <w:rPr>
          <w:rFonts w:asciiTheme="majorBidi" w:hAnsiTheme="majorBidi" w:cstheme="majorBidi"/>
          <w:sz w:val="24"/>
          <w:szCs w:val="24"/>
        </w:rPr>
      </w:pPr>
    </w:p>
    <w:p w:rsidR="00981DC7" w:rsidRPr="007D60B5" w:rsidRDefault="0053699F" w:rsidP="00981DC7">
      <w:pPr>
        <w:pStyle w:val="EndNoteBibliography"/>
        <w:spacing w:after="0"/>
        <w:ind w:left="720" w:hanging="720"/>
      </w:pPr>
      <w:r w:rsidRPr="007D60B5">
        <w:rPr>
          <w:rFonts w:asciiTheme="majorBidi" w:hAnsiTheme="majorBidi" w:cstheme="majorBidi"/>
          <w:sz w:val="24"/>
          <w:szCs w:val="24"/>
        </w:rPr>
        <w:fldChar w:fldCharType="begin"/>
      </w:r>
      <w:r w:rsidRPr="007D60B5">
        <w:rPr>
          <w:rFonts w:asciiTheme="majorBidi" w:hAnsiTheme="majorBidi" w:cstheme="majorBidi"/>
          <w:sz w:val="24"/>
          <w:szCs w:val="24"/>
        </w:rPr>
        <w:instrText xml:space="preserve"> ADDIN EN.REFLIST </w:instrText>
      </w:r>
      <w:r w:rsidRPr="007D60B5">
        <w:rPr>
          <w:rFonts w:asciiTheme="majorBidi" w:hAnsiTheme="majorBidi" w:cstheme="majorBidi"/>
          <w:sz w:val="24"/>
          <w:szCs w:val="24"/>
        </w:rPr>
        <w:fldChar w:fldCharType="separate"/>
      </w:r>
      <w:bookmarkStart w:id="12" w:name="_ENREF_1"/>
      <w:r w:rsidR="00981DC7" w:rsidRPr="007D60B5">
        <w:t>1.</w:t>
      </w:r>
      <w:r w:rsidR="00981DC7" w:rsidRPr="007D60B5">
        <w:tab/>
        <w:t>Elzoghby AO, El-Lakany SA, Helmy MW, et al. Shell-crosslinked zein nanocapsules for oral codelivery of exemestane and resveratrol in breast cancer therapy. Nanomedicine (London, England). 2017 Dec;12(24):2785-2805. doi: 10.2217/nnm-2017-0247. PubMed PMID: 29094642; eng.</w:t>
      </w:r>
      <w:bookmarkEnd w:id="12"/>
    </w:p>
    <w:p w:rsidR="00981DC7" w:rsidRPr="007D60B5" w:rsidRDefault="00981DC7" w:rsidP="00981DC7">
      <w:pPr>
        <w:pStyle w:val="EndNoteBibliography"/>
        <w:spacing w:after="0"/>
        <w:ind w:left="720" w:hanging="720"/>
      </w:pPr>
      <w:bookmarkStart w:id="13" w:name="_ENREF_2"/>
      <w:r w:rsidRPr="007D60B5">
        <w:t>2.</w:t>
      </w:r>
      <w:r w:rsidRPr="007D60B5">
        <w:tab/>
        <w:t>El-lakany S, Elzoghby A, Elgindy N, et al. HPLC Methods for Quantitation of Exemestane–Luteolin and Exemestane–Resveratrol Mixtures in Nanoformulations. Journal of chromatographic science. 2016 April 29, 2016:ahead of print.</w:t>
      </w:r>
      <w:bookmarkEnd w:id="13"/>
    </w:p>
    <w:p w:rsidR="00981DC7" w:rsidRPr="007D60B5" w:rsidRDefault="00981DC7" w:rsidP="00981DC7">
      <w:pPr>
        <w:pStyle w:val="EndNoteBibliography"/>
        <w:spacing w:after="0"/>
        <w:ind w:left="720" w:hanging="720"/>
      </w:pPr>
      <w:bookmarkStart w:id="14" w:name="_ENREF_3"/>
      <w:r w:rsidRPr="007D60B5">
        <w:t>3.</w:t>
      </w:r>
      <w:r w:rsidRPr="007D60B5">
        <w:tab/>
        <w:t>Dash S, Murthy PN, Nath L, et al. Kinetic modeling on drug release from controlled drug delivery systems. Acta poloniae pharmaceutica. 2010 May-Jun;67(3):217-23. PubMed PMID: 20524422; eng.</w:t>
      </w:r>
      <w:bookmarkEnd w:id="14"/>
    </w:p>
    <w:p w:rsidR="00981DC7" w:rsidRPr="007D60B5" w:rsidRDefault="00981DC7" w:rsidP="00981DC7">
      <w:pPr>
        <w:pStyle w:val="EndNoteBibliography"/>
        <w:spacing w:after="0"/>
        <w:ind w:left="720" w:hanging="720"/>
      </w:pPr>
      <w:bookmarkStart w:id="15" w:name="_ENREF_4"/>
      <w:r w:rsidRPr="007D60B5">
        <w:t>4.</w:t>
      </w:r>
      <w:r w:rsidRPr="007D60B5">
        <w:tab/>
        <w:t>Elgindy N, Elkhodairy K, Molokhia A, et al. Biopolymeric microparticles combined with lyophilized monophase dispersions for controlled flutamide release. International journal of pharmaceutics. 2011;411(1):113-120.</w:t>
      </w:r>
      <w:bookmarkEnd w:id="15"/>
    </w:p>
    <w:p w:rsidR="00981DC7" w:rsidRPr="007D60B5" w:rsidRDefault="00981DC7" w:rsidP="00981DC7">
      <w:pPr>
        <w:pStyle w:val="EndNoteBibliography"/>
        <w:spacing w:after="0"/>
        <w:ind w:left="720" w:hanging="720"/>
      </w:pPr>
      <w:bookmarkStart w:id="16" w:name="_ENREF_5"/>
      <w:r w:rsidRPr="007D60B5">
        <w:t>5.</w:t>
      </w:r>
      <w:r w:rsidRPr="007D60B5">
        <w:tab/>
        <w:t>Elzoghby AO, Vranic BZ, Samy WM, et al. Swellable floating tablet based on spray-dried casein nanoparticles: Near-infrared spectral characterization and floating matrix evaluation. International journal of pharmaceutics. 2015;491(1):113-122.</w:t>
      </w:r>
      <w:bookmarkEnd w:id="16"/>
    </w:p>
    <w:p w:rsidR="00981DC7" w:rsidRPr="007D60B5" w:rsidRDefault="00981DC7" w:rsidP="00981DC7">
      <w:pPr>
        <w:pStyle w:val="EndNoteBibliography"/>
        <w:spacing w:after="0"/>
        <w:ind w:left="720" w:hanging="720"/>
      </w:pPr>
      <w:bookmarkStart w:id="17" w:name="_ENREF_6"/>
      <w:r w:rsidRPr="007D60B5">
        <w:t>6.</w:t>
      </w:r>
      <w:r w:rsidRPr="007D60B5">
        <w:tab/>
        <w:t>Jain V, Swarnakar N, Mishra P, et al. Paclitaxel loaded PEGylated gleceryl monooleate based nanoparticulate carriers in chemotherapy. Biomaterials. 2012 Oct;33(29):7206-7220. doi: 10.1016/j.biomaterials.2012.06.056. PubMed PMID: 22809646; eng.</w:t>
      </w:r>
      <w:bookmarkEnd w:id="17"/>
    </w:p>
    <w:p w:rsidR="00981DC7" w:rsidRPr="007D60B5" w:rsidRDefault="00981DC7" w:rsidP="00981DC7">
      <w:pPr>
        <w:pStyle w:val="EndNoteBibliography"/>
        <w:spacing w:after="0"/>
        <w:ind w:left="720" w:hanging="720"/>
      </w:pPr>
      <w:bookmarkStart w:id="18" w:name="_ENREF_7"/>
      <w:r w:rsidRPr="007D60B5">
        <w:t>7.</w:t>
      </w:r>
      <w:r w:rsidRPr="007D60B5">
        <w:tab/>
        <w:t>Tewa-Tagne P, Briancon S, Fessi H. Preparation of redispersible dry nanocapsules by means of spray-drying: development and characterisation. European journal of pharmaceutical sciences : official journal of the European Federation for Pharmaceutical Sciences. 2007 Feb;30(2):124-135. doi: 10.1016/j.ejps.2006.10.006. PubMed PMID: 17150339; eng.</w:t>
      </w:r>
      <w:bookmarkEnd w:id="18"/>
    </w:p>
    <w:p w:rsidR="00981DC7" w:rsidRPr="007D60B5" w:rsidRDefault="00981DC7" w:rsidP="00981DC7">
      <w:pPr>
        <w:pStyle w:val="EndNoteBibliography"/>
        <w:ind w:left="720" w:hanging="720"/>
      </w:pPr>
      <w:bookmarkStart w:id="19" w:name="_ENREF_8"/>
      <w:r w:rsidRPr="007D60B5">
        <w:t>8.</w:t>
      </w:r>
      <w:r w:rsidRPr="007D60B5">
        <w:tab/>
        <w:t>Freag MS, Elnaggar YS, Abdelmonsif DA, et al. Layer-by-layer-coated lyotropic liquid crystalline nanoparticles for active tumor targeting of rapamycin. Nanomedicine (London, England). 2016 Nov;11(22):2975-2996. doi: 10.2217/nnm-2016-0236. PubMed PMID: 27785978; eng.</w:t>
      </w:r>
      <w:bookmarkEnd w:id="19"/>
    </w:p>
    <w:p w:rsidR="00844FA1" w:rsidRPr="007D60B5" w:rsidRDefault="0053699F" w:rsidP="00981DC7">
      <w:pPr>
        <w:pStyle w:val="NoSpacing"/>
        <w:rPr>
          <w:rFonts w:asciiTheme="majorBidi" w:hAnsiTheme="majorBidi" w:cstheme="majorBidi"/>
          <w:sz w:val="24"/>
          <w:szCs w:val="24"/>
        </w:rPr>
      </w:pPr>
      <w:r w:rsidRPr="007D60B5">
        <w:rPr>
          <w:rFonts w:asciiTheme="majorBidi" w:hAnsiTheme="majorBidi" w:cstheme="majorBidi"/>
          <w:sz w:val="24"/>
          <w:szCs w:val="24"/>
        </w:rPr>
        <w:fldChar w:fldCharType="end"/>
      </w:r>
    </w:p>
    <w:sectPr w:rsidR="00844FA1" w:rsidRPr="007D60B5" w:rsidSect="00283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1F4" w:rsidRDefault="00C621F4" w:rsidP="00C326C8">
      <w:pPr>
        <w:spacing w:after="0" w:line="240" w:lineRule="auto"/>
      </w:pPr>
      <w:r>
        <w:separator/>
      </w:r>
    </w:p>
  </w:endnote>
  <w:endnote w:type="continuationSeparator" w:id="0">
    <w:p w:rsidR="00C621F4" w:rsidRDefault="00C621F4" w:rsidP="00C3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762375"/>
      <w:docPartObj>
        <w:docPartGallery w:val="Page Numbers (Bottom of Page)"/>
        <w:docPartUnique/>
      </w:docPartObj>
    </w:sdtPr>
    <w:sdtEndPr>
      <w:rPr>
        <w:noProof/>
      </w:rPr>
    </w:sdtEndPr>
    <w:sdtContent>
      <w:p w:rsidR="00C326C8" w:rsidRDefault="00C326C8">
        <w:pPr>
          <w:pStyle w:val="Footer"/>
          <w:jc w:val="center"/>
        </w:pPr>
        <w:r>
          <w:fldChar w:fldCharType="begin"/>
        </w:r>
        <w:r>
          <w:instrText xml:space="preserve"> PAGE   \* MERGEFORMAT </w:instrText>
        </w:r>
        <w:r>
          <w:fldChar w:fldCharType="separate"/>
        </w:r>
        <w:r w:rsidR="007D60B5">
          <w:rPr>
            <w:noProof/>
          </w:rPr>
          <w:t>2</w:t>
        </w:r>
        <w:r>
          <w:rPr>
            <w:noProof/>
          </w:rPr>
          <w:fldChar w:fldCharType="end"/>
        </w:r>
      </w:p>
    </w:sdtContent>
  </w:sdt>
  <w:p w:rsidR="00C326C8" w:rsidRDefault="00C32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1F4" w:rsidRDefault="00C621F4" w:rsidP="00C326C8">
      <w:pPr>
        <w:spacing w:after="0" w:line="240" w:lineRule="auto"/>
      </w:pPr>
      <w:r>
        <w:separator/>
      </w:r>
    </w:p>
  </w:footnote>
  <w:footnote w:type="continuationSeparator" w:id="0">
    <w:p w:rsidR="00C621F4" w:rsidRDefault="00C621F4" w:rsidP="00C32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 Op drug 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055vd994xrvfee99stvw2v0sedst50xrdax&quot;&gt;My EndNote Library&lt;record-ids&gt;&lt;item&gt;797&lt;/item&gt;&lt;item&gt;991&lt;/item&gt;&lt;item&gt;1165&lt;/item&gt;&lt;item&gt;1191&lt;/item&gt;&lt;/record-ids&gt;&lt;/item&gt;&lt;/Libraries&gt;"/>
  </w:docVars>
  <w:rsids>
    <w:rsidRoot w:val="00E2343D"/>
    <w:rsid w:val="00033C88"/>
    <w:rsid w:val="00056EBF"/>
    <w:rsid w:val="000802AC"/>
    <w:rsid w:val="000A62BF"/>
    <w:rsid w:val="000D12FA"/>
    <w:rsid w:val="000F70DC"/>
    <w:rsid w:val="00104EEB"/>
    <w:rsid w:val="00156A60"/>
    <w:rsid w:val="00190875"/>
    <w:rsid w:val="00195B69"/>
    <w:rsid w:val="001B0FFB"/>
    <w:rsid w:val="001F5E36"/>
    <w:rsid w:val="0020167E"/>
    <w:rsid w:val="00250415"/>
    <w:rsid w:val="00292D08"/>
    <w:rsid w:val="002D31BD"/>
    <w:rsid w:val="003302DF"/>
    <w:rsid w:val="00334F17"/>
    <w:rsid w:val="00340230"/>
    <w:rsid w:val="003574B1"/>
    <w:rsid w:val="00387E0E"/>
    <w:rsid w:val="00393013"/>
    <w:rsid w:val="003960D3"/>
    <w:rsid w:val="003B5435"/>
    <w:rsid w:val="003E32AA"/>
    <w:rsid w:val="00406B5A"/>
    <w:rsid w:val="004072FC"/>
    <w:rsid w:val="004172D7"/>
    <w:rsid w:val="00464CFC"/>
    <w:rsid w:val="0048147B"/>
    <w:rsid w:val="004C0B09"/>
    <w:rsid w:val="0053699F"/>
    <w:rsid w:val="005E7CBE"/>
    <w:rsid w:val="005F1CA3"/>
    <w:rsid w:val="00627881"/>
    <w:rsid w:val="00645C39"/>
    <w:rsid w:val="006629D9"/>
    <w:rsid w:val="00694F62"/>
    <w:rsid w:val="006A5576"/>
    <w:rsid w:val="006F2978"/>
    <w:rsid w:val="00730CA5"/>
    <w:rsid w:val="0073284F"/>
    <w:rsid w:val="0073789A"/>
    <w:rsid w:val="00737DD7"/>
    <w:rsid w:val="00766CF7"/>
    <w:rsid w:val="00777E11"/>
    <w:rsid w:val="007D60B5"/>
    <w:rsid w:val="008040DC"/>
    <w:rsid w:val="008421BA"/>
    <w:rsid w:val="00844FA1"/>
    <w:rsid w:val="00895BDD"/>
    <w:rsid w:val="008A2771"/>
    <w:rsid w:val="008E4E1C"/>
    <w:rsid w:val="00930DD0"/>
    <w:rsid w:val="00941CE6"/>
    <w:rsid w:val="00981DC7"/>
    <w:rsid w:val="009D4C83"/>
    <w:rsid w:val="00A3193E"/>
    <w:rsid w:val="00A366E1"/>
    <w:rsid w:val="00A56E98"/>
    <w:rsid w:val="00A618A5"/>
    <w:rsid w:val="00A96BE7"/>
    <w:rsid w:val="00B232FD"/>
    <w:rsid w:val="00B32145"/>
    <w:rsid w:val="00B35D8C"/>
    <w:rsid w:val="00BC6531"/>
    <w:rsid w:val="00BD2CBC"/>
    <w:rsid w:val="00BE4D87"/>
    <w:rsid w:val="00C0211C"/>
    <w:rsid w:val="00C263CD"/>
    <w:rsid w:val="00C326C8"/>
    <w:rsid w:val="00C37E58"/>
    <w:rsid w:val="00C43469"/>
    <w:rsid w:val="00C449A8"/>
    <w:rsid w:val="00C50967"/>
    <w:rsid w:val="00C621F4"/>
    <w:rsid w:val="00CB20E9"/>
    <w:rsid w:val="00CB29E6"/>
    <w:rsid w:val="00D4372B"/>
    <w:rsid w:val="00D60ACD"/>
    <w:rsid w:val="00DA239A"/>
    <w:rsid w:val="00DB06E6"/>
    <w:rsid w:val="00DD1F85"/>
    <w:rsid w:val="00E1467C"/>
    <w:rsid w:val="00E17A95"/>
    <w:rsid w:val="00E2343D"/>
    <w:rsid w:val="00E51F95"/>
    <w:rsid w:val="00EA73AB"/>
    <w:rsid w:val="00EE3B5D"/>
    <w:rsid w:val="00EE5262"/>
    <w:rsid w:val="00F1463F"/>
    <w:rsid w:val="00F21C40"/>
    <w:rsid w:val="00F469D0"/>
    <w:rsid w:val="00F62C55"/>
    <w:rsid w:val="00F65F04"/>
    <w:rsid w:val="00FE0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C3F76-8B7A-46DB-927C-484C732F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6E6"/>
  </w:style>
  <w:style w:type="paragraph" w:styleId="Heading2">
    <w:name w:val="heading 2"/>
    <w:basedOn w:val="Normal"/>
    <w:next w:val="Normal"/>
    <w:link w:val="Heading2Char"/>
    <w:uiPriority w:val="1"/>
    <w:unhideWhenUsed/>
    <w:qFormat/>
    <w:rsid w:val="00334F17"/>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45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3699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3699F"/>
    <w:rPr>
      <w:rFonts w:ascii="Calibri" w:hAnsi="Calibri" w:cs="Calibri"/>
      <w:noProof/>
    </w:rPr>
  </w:style>
  <w:style w:type="paragraph" w:customStyle="1" w:styleId="EndNoteBibliography">
    <w:name w:val="EndNote Bibliography"/>
    <w:basedOn w:val="Normal"/>
    <w:link w:val="EndNoteBibliographyChar"/>
    <w:rsid w:val="0053699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3699F"/>
    <w:rPr>
      <w:rFonts w:ascii="Calibri" w:hAnsi="Calibri" w:cs="Calibri"/>
      <w:noProof/>
    </w:rPr>
  </w:style>
  <w:style w:type="character" w:styleId="Hyperlink">
    <w:name w:val="Hyperlink"/>
    <w:basedOn w:val="DefaultParagraphFont"/>
    <w:uiPriority w:val="99"/>
    <w:unhideWhenUsed/>
    <w:rsid w:val="0053699F"/>
    <w:rPr>
      <w:color w:val="0563C1" w:themeColor="hyperlink"/>
      <w:u w:val="single"/>
    </w:rPr>
  </w:style>
  <w:style w:type="paragraph" w:customStyle="1" w:styleId="Default">
    <w:name w:val="Default"/>
    <w:rsid w:val="00BD2C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334F1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45C39"/>
    <w:rPr>
      <w:rFonts w:asciiTheme="majorHAnsi" w:eastAsiaTheme="majorEastAsia" w:hAnsiTheme="majorHAnsi" w:cstheme="majorBidi"/>
      <w:i/>
      <w:iCs/>
      <w:color w:val="2E74B5" w:themeColor="accent1" w:themeShade="BF"/>
    </w:rPr>
  </w:style>
  <w:style w:type="paragraph" w:styleId="NoSpacing">
    <w:name w:val="No Spacing"/>
    <w:uiPriority w:val="1"/>
    <w:qFormat/>
    <w:rsid w:val="00FE019E"/>
    <w:pPr>
      <w:spacing w:after="0" w:line="240" w:lineRule="auto"/>
    </w:pPr>
  </w:style>
  <w:style w:type="paragraph" w:styleId="Header">
    <w:name w:val="header"/>
    <w:basedOn w:val="Normal"/>
    <w:link w:val="HeaderChar"/>
    <w:uiPriority w:val="99"/>
    <w:unhideWhenUsed/>
    <w:rsid w:val="00C3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6C8"/>
  </w:style>
  <w:style w:type="paragraph" w:styleId="Footer">
    <w:name w:val="footer"/>
    <w:basedOn w:val="Normal"/>
    <w:link w:val="FooterChar"/>
    <w:uiPriority w:val="99"/>
    <w:unhideWhenUsed/>
    <w:rsid w:val="00C3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6C8"/>
  </w:style>
  <w:style w:type="table" w:styleId="TableGrid">
    <w:name w:val="Table Grid"/>
    <w:basedOn w:val="TableNormal"/>
    <w:uiPriority w:val="39"/>
    <w:rsid w:val="00EE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Wilkinson, Samantha</cp:lastModifiedBy>
  <cp:revision>2</cp:revision>
  <dcterms:created xsi:type="dcterms:W3CDTF">2018-07-24T15:43:00Z</dcterms:created>
  <dcterms:modified xsi:type="dcterms:W3CDTF">2018-07-24T15:43:00Z</dcterms:modified>
</cp:coreProperties>
</file>