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1986" w14:textId="77777777" w:rsidR="00DF641D" w:rsidRPr="00762612" w:rsidRDefault="006F2770" w:rsidP="00DF641D">
      <w:pPr>
        <w:spacing w:after="120"/>
        <w:rPr>
          <w:rFonts w:ascii="Arial" w:hAnsi="Arial" w:cs="Arial"/>
          <w:b/>
          <w:sz w:val="22"/>
          <w:szCs w:val="22"/>
        </w:rPr>
      </w:pPr>
      <w:r w:rsidRPr="00762612">
        <w:rPr>
          <w:rFonts w:ascii="Arial" w:hAnsi="Arial" w:cs="Arial"/>
          <w:b/>
          <w:sz w:val="22"/>
          <w:szCs w:val="22"/>
        </w:rPr>
        <w:t>S</w:t>
      </w:r>
      <w:r w:rsidR="00C3371F">
        <w:rPr>
          <w:rFonts w:ascii="Arial" w:hAnsi="Arial" w:cs="Arial"/>
          <w:b/>
          <w:sz w:val="22"/>
          <w:szCs w:val="22"/>
        </w:rPr>
        <w:t>4</w:t>
      </w:r>
      <w:r w:rsidRPr="00762612">
        <w:rPr>
          <w:rFonts w:ascii="Arial" w:hAnsi="Arial" w:cs="Arial"/>
          <w:b/>
          <w:sz w:val="22"/>
          <w:szCs w:val="22"/>
        </w:rPr>
        <w:t xml:space="preserve"> Table</w:t>
      </w:r>
      <w:r w:rsidR="00DF641D" w:rsidRPr="00762612">
        <w:rPr>
          <w:rFonts w:ascii="Arial" w:hAnsi="Arial" w:cs="Arial"/>
          <w:b/>
          <w:sz w:val="22"/>
          <w:szCs w:val="22"/>
        </w:rPr>
        <w:t>: Sensitivity analysis of 90-90 estimates in Round 2</w:t>
      </w:r>
    </w:p>
    <w:tbl>
      <w:tblPr>
        <w:tblStyle w:val="TableGrid"/>
        <w:tblW w:w="15041" w:type="dxa"/>
        <w:tblLook w:val="04A0" w:firstRow="1" w:lastRow="0" w:firstColumn="1" w:lastColumn="0" w:noHBand="0" w:noVBand="1"/>
      </w:tblPr>
      <w:tblGrid>
        <w:gridCol w:w="2994"/>
        <w:gridCol w:w="825"/>
        <w:gridCol w:w="1429"/>
        <w:gridCol w:w="1255"/>
        <w:gridCol w:w="1429"/>
        <w:gridCol w:w="1060"/>
        <w:gridCol w:w="876"/>
        <w:gridCol w:w="1429"/>
        <w:gridCol w:w="1255"/>
        <w:gridCol w:w="1429"/>
        <w:gridCol w:w="1060"/>
      </w:tblGrid>
      <w:tr w:rsidR="00DF641D" w14:paraId="266CE1AE" w14:textId="77777777" w:rsidTr="00166B12">
        <w:tc>
          <w:tcPr>
            <w:tcW w:w="3369" w:type="dxa"/>
          </w:tcPr>
          <w:p w14:paraId="22A0EA92" w14:textId="77777777" w:rsidR="00DF641D" w:rsidRDefault="00DF641D" w:rsidP="00166B12">
            <w:pPr>
              <w:rPr>
                <w:b/>
              </w:rPr>
            </w:pPr>
          </w:p>
        </w:tc>
        <w:tc>
          <w:tcPr>
            <w:tcW w:w="5837" w:type="dxa"/>
            <w:gridSpan w:val="5"/>
          </w:tcPr>
          <w:p w14:paraId="1253A20F" w14:textId="77777777" w:rsidR="00DF641D" w:rsidRDefault="00DF641D" w:rsidP="00166B12">
            <w:pPr>
              <w:jc w:val="center"/>
              <w:rPr>
                <w:b/>
              </w:rPr>
            </w:pPr>
            <w:r>
              <w:rPr>
                <w:b/>
              </w:rPr>
              <w:t>Men</w:t>
            </w:r>
          </w:p>
        </w:tc>
        <w:tc>
          <w:tcPr>
            <w:tcW w:w="5835" w:type="dxa"/>
            <w:gridSpan w:val="5"/>
          </w:tcPr>
          <w:p w14:paraId="2D7CC3B6" w14:textId="77777777" w:rsidR="00DF641D" w:rsidRDefault="00DF641D" w:rsidP="00166B12">
            <w:pPr>
              <w:jc w:val="center"/>
              <w:rPr>
                <w:b/>
              </w:rPr>
            </w:pPr>
            <w:r>
              <w:rPr>
                <w:b/>
              </w:rPr>
              <w:t>Women</w:t>
            </w:r>
          </w:p>
        </w:tc>
      </w:tr>
      <w:tr w:rsidR="00DF641D" w14:paraId="080EDDED" w14:textId="77777777" w:rsidTr="00166B12">
        <w:tc>
          <w:tcPr>
            <w:tcW w:w="3369" w:type="dxa"/>
          </w:tcPr>
          <w:p w14:paraId="3A1A8B68" w14:textId="77777777" w:rsidR="00DF641D" w:rsidRDefault="00DF641D" w:rsidP="00166B12">
            <w:pPr>
              <w:rPr>
                <w:b/>
              </w:rPr>
            </w:pPr>
          </w:p>
        </w:tc>
        <w:tc>
          <w:tcPr>
            <w:tcW w:w="843" w:type="dxa"/>
          </w:tcPr>
          <w:p w14:paraId="2762DB4A" w14:textId="77777777" w:rsidR="00DF641D" w:rsidRDefault="00DF641D" w:rsidP="00166B12">
            <w:pPr>
              <w:jc w:val="center"/>
              <w:rPr>
                <w:b/>
              </w:rPr>
            </w:pPr>
          </w:p>
        </w:tc>
        <w:tc>
          <w:tcPr>
            <w:tcW w:w="2496" w:type="dxa"/>
            <w:gridSpan w:val="2"/>
          </w:tcPr>
          <w:p w14:paraId="16837CCD" w14:textId="77777777" w:rsidR="00DF641D" w:rsidRDefault="00DF641D" w:rsidP="00166B12">
            <w:pPr>
              <w:jc w:val="center"/>
              <w:rPr>
                <w:b/>
              </w:rPr>
            </w:pPr>
            <w:r>
              <w:rPr>
                <w:b/>
              </w:rPr>
              <w:t>First 90 (%)</w:t>
            </w:r>
          </w:p>
        </w:tc>
        <w:tc>
          <w:tcPr>
            <w:tcW w:w="2498" w:type="dxa"/>
            <w:gridSpan w:val="2"/>
          </w:tcPr>
          <w:p w14:paraId="4D5792EC" w14:textId="77777777" w:rsidR="00DF641D" w:rsidRDefault="00DF641D" w:rsidP="00166B12">
            <w:pPr>
              <w:jc w:val="center"/>
              <w:rPr>
                <w:b/>
              </w:rPr>
            </w:pPr>
            <w:r>
              <w:rPr>
                <w:b/>
              </w:rPr>
              <w:t>Second 90 (%)</w:t>
            </w:r>
          </w:p>
        </w:tc>
        <w:tc>
          <w:tcPr>
            <w:tcW w:w="841" w:type="dxa"/>
          </w:tcPr>
          <w:p w14:paraId="33AC4865" w14:textId="77777777" w:rsidR="00DF641D" w:rsidRDefault="00DF641D" w:rsidP="00166B12">
            <w:pPr>
              <w:jc w:val="center"/>
              <w:rPr>
                <w:b/>
              </w:rPr>
            </w:pPr>
          </w:p>
        </w:tc>
        <w:tc>
          <w:tcPr>
            <w:tcW w:w="2496" w:type="dxa"/>
            <w:gridSpan w:val="2"/>
          </w:tcPr>
          <w:p w14:paraId="73620A4D" w14:textId="77777777" w:rsidR="00DF641D" w:rsidRDefault="00DF641D" w:rsidP="00166B12">
            <w:pPr>
              <w:jc w:val="center"/>
              <w:rPr>
                <w:b/>
              </w:rPr>
            </w:pPr>
            <w:r>
              <w:rPr>
                <w:b/>
              </w:rPr>
              <w:t>First 90 (%)</w:t>
            </w:r>
          </w:p>
        </w:tc>
        <w:tc>
          <w:tcPr>
            <w:tcW w:w="2498" w:type="dxa"/>
            <w:gridSpan w:val="2"/>
          </w:tcPr>
          <w:p w14:paraId="13323458" w14:textId="77777777" w:rsidR="00DF641D" w:rsidRDefault="00DF641D" w:rsidP="00166B12">
            <w:pPr>
              <w:jc w:val="center"/>
              <w:rPr>
                <w:b/>
              </w:rPr>
            </w:pPr>
            <w:r>
              <w:rPr>
                <w:b/>
              </w:rPr>
              <w:t>Second 90 (%)</w:t>
            </w:r>
          </w:p>
        </w:tc>
      </w:tr>
      <w:tr w:rsidR="00DF641D" w14:paraId="64802DD6" w14:textId="77777777" w:rsidTr="00166B12">
        <w:tc>
          <w:tcPr>
            <w:tcW w:w="3369" w:type="dxa"/>
            <w:vAlign w:val="bottom"/>
          </w:tcPr>
          <w:p w14:paraId="3D648B4A" w14:textId="77777777" w:rsidR="00DF641D" w:rsidRPr="00CA4573" w:rsidRDefault="00DF641D" w:rsidP="00166B12"/>
        </w:tc>
        <w:tc>
          <w:tcPr>
            <w:tcW w:w="843" w:type="dxa"/>
          </w:tcPr>
          <w:p w14:paraId="55406694" w14:textId="77777777" w:rsidR="00DF641D" w:rsidRPr="00DE15E2" w:rsidRDefault="00DF641D" w:rsidP="00166B12">
            <w:pPr>
              <w:jc w:val="center"/>
            </w:pPr>
          </w:p>
        </w:tc>
        <w:tc>
          <w:tcPr>
            <w:tcW w:w="1126" w:type="dxa"/>
          </w:tcPr>
          <w:p w14:paraId="22AC2DA9" w14:textId="77777777" w:rsidR="00DF641D" w:rsidRPr="00DE15E2" w:rsidRDefault="00DF641D" w:rsidP="00166B12">
            <w:pPr>
              <w:jc w:val="center"/>
            </w:pPr>
            <w:r w:rsidRPr="00DE15E2">
              <w:t>Immediately before annual round 2 visit</w:t>
            </w:r>
          </w:p>
        </w:tc>
        <w:tc>
          <w:tcPr>
            <w:tcW w:w="1370" w:type="dxa"/>
          </w:tcPr>
          <w:p w14:paraId="42606378" w14:textId="77777777" w:rsidR="00DF641D" w:rsidRPr="00DE15E2" w:rsidRDefault="00DF641D" w:rsidP="00166B12">
            <w:pPr>
              <w:jc w:val="center"/>
            </w:pPr>
            <w:r w:rsidRPr="00DE15E2">
              <w:t>End round</w:t>
            </w:r>
          </w:p>
        </w:tc>
        <w:tc>
          <w:tcPr>
            <w:tcW w:w="1370" w:type="dxa"/>
          </w:tcPr>
          <w:p w14:paraId="06D4B97B" w14:textId="77777777" w:rsidR="00DF641D" w:rsidRPr="00DE15E2" w:rsidRDefault="00DF641D" w:rsidP="00166B12">
            <w:pPr>
              <w:jc w:val="center"/>
            </w:pPr>
            <w:r w:rsidRPr="00DE15E2">
              <w:t>Immediately after annual round 2 visit</w:t>
            </w:r>
          </w:p>
        </w:tc>
        <w:tc>
          <w:tcPr>
            <w:tcW w:w="1128" w:type="dxa"/>
          </w:tcPr>
          <w:p w14:paraId="29DC50B8" w14:textId="77777777" w:rsidR="00DF641D" w:rsidRPr="00DE15E2" w:rsidRDefault="00DF641D" w:rsidP="00166B12">
            <w:pPr>
              <w:jc w:val="center"/>
            </w:pPr>
            <w:r w:rsidRPr="00DE15E2">
              <w:t>End round</w:t>
            </w:r>
          </w:p>
        </w:tc>
        <w:tc>
          <w:tcPr>
            <w:tcW w:w="841" w:type="dxa"/>
          </w:tcPr>
          <w:p w14:paraId="04115CB1" w14:textId="77777777" w:rsidR="00DF641D" w:rsidRPr="00DE15E2" w:rsidRDefault="00DF641D" w:rsidP="00166B12">
            <w:pPr>
              <w:jc w:val="center"/>
            </w:pPr>
          </w:p>
        </w:tc>
        <w:tc>
          <w:tcPr>
            <w:tcW w:w="1126" w:type="dxa"/>
          </w:tcPr>
          <w:p w14:paraId="291DAE78" w14:textId="77777777" w:rsidR="00DF641D" w:rsidRPr="00DE15E2" w:rsidRDefault="00DF641D" w:rsidP="00166B12">
            <w:pPr>
              <w:jc w:val="center"/>
            </w:pPr>
            <w:r w:rsidRPr="00DE15E2">
              <w:t>Immediately before annual round 2 visit</w:t>
            </w:r>
          </w:p>
        </w:tc>
        <w:tc>
          <w:tcPr>
            <w:tcW w:w="1370" w:type="dxa"/>
          </w:tcPr>
          <w:p w14:paraId="72BB05F6" w14:textId="77777777" w:rsidR="00DF641D" w:rsidRPr="00DE15E2" w:rsidRDefault="00DF641D" w:rsidP="00166B12">
            <w:pPr>
              <w:jc w:val="center"/>
            </w:pPr>
            <w:r w:rsidRPr="00DE15E2">
              <w:t>End round</w:t>
            </w:r>
          </w:p>
        </w:tc>
        <w:tc>
          <w:tcPr>
            <w:tcW w:w="1370" w:type="dxa"/>
          </w:tcPr>
          <w:p w14:paraId="0BE09C71" w14:textId="77777777" w:rsidR="00DF641D" w:rsidRPr="00DE15E2" w:rsidRDefault="00DF641D" w:rsidP="00166B12">
            <w:pPr>
              <w:jc w:val="center"/>
            </w:pPr>
            <w:r w:rsidRPr="00DE15E2">
              <w:t>Immediately after annual round 2 visit</w:t>
            </w:r>
          </w:p>
        </w:tc>
        <w:tc>
          <w:tcPr>
            <w:tcW w:w="1128" w:type="dxa"/>
          </w:tcPr>
          <w:p w14:paraId="42DE4815" w14:textId="77777777" w:rsidR="00DF641D" w:rsidRPr="00DE15E2" w:rsidRDefault="00DF641D" w:rsidP="00166B12">
            <w:pPr>
              <w:jc w:val="center"/>
            </w:pPr>
            <w:r w:rsidRPr="00DE15E2">
              <w:t>End round</w:t>
            </w:r>
          </w:p>
        </w:tc>
      </w:tr>
      <w:tr w:rsidR="00DF641D" w14:paraId="26C954C4" w14:textId="77777777" w:rsidTr="00166B12">
        <w:tc>
          <w:tcPr>
            <w:tcW w:w="3369" w:type="dxa"/>
          </w:tcPr>
          <w:p w14:paraId="246B4D46" w14:textId="77777777" w:rsidR="00DF641D" w:rsidRPr="00CA4573" w:rsidRDefault="00DF641D" w:rsidP="00166B12"/>
        </w:tc>
        <w:tc>
          <w:tcPr>
            <w:tcW w:w="843" w:type="dxa"/>
          </w:tcPr>
          <w:p w14:paraId="43804ACD" w14:textId="77777777" w:rsidR="00DF641D" w:rsidRPr="00DE15E2" w:rsidRDefault="00DF641D" w:rsidP="00166B12">
            <w:pPr>
              <w:jc w:val="center"/>
            </w:pPr>
            <w:r w:rsidRPr="00DE15E2">
              <w:t>N</w:t>
            </w:r>
            <w:r w:rsidRPr="00DE15E2">
              <w:rPr>
                <w:vertAlign w:val="superscript"/>
              </w:rPr>
              <w:t>1</w:t>
            </w:r>
          </w:p>
        </w:tc>
        <w:tc>
          <w:tcPr>
            <w:tcW w:w="1126" w:type="dxa"/>
          </w:tcPr>
          <w:p w14:paraId="2BC2622E" w14:textId="77777777" w:rsidR="00DF641D" w:rsidRPr="00DE15E2" w:rsidRDefault="00DF641D" w:rsidP="00166B12">
            <w:pPr>
              <w:jc w:val="center"/>
            </w:pPr>
          </w:p>
        </w:tc>
        <w:tc>
          <w:tcPr>
            <w:tcW w:w="1370" w:type="dxa"/>
          </w:tcPr>
          <w:p w14:paraId="5B3D5208" w14:textId="77777777" w:rsidR="00DF641D" w:rsidRPr="00DE15E2" w:rsidRDefault="00DF641D" w:rsidP="00166B12">
            <w:pPr>
              <w:jc w:val="center"/>
            </w:pPr>
          </w:p>
        </w:tc>
        <w:tc>
          <w:tcPr>
            <w:tcW w:w="1370" w:type="dxa"/>
          </w:tcPr>
          <w:p w14:paraId="5A80D625" w14:textId="77777777" w:rsidR="00DF641D" w:rsidRPr="00DE15E2" w:rsidRDefault="00DF641D" w:rsidP="00166B12">
            <w:pPr>
              <w:jc w:val="center"/>
            </w:pPr>
          </w:p>
        </w:tc>
        <w:tc>
          <w:tcPr>
            <w:tcW w:w="1128" w:type="dxa"/>
          </w:tcPr>
          <w:p w14:paraId="1BA43019" w14:textId="77777777" w:rsidR="00DF641D" w:rsidRPr="00DE15E2" w:rsidRDefault="00DF641D" w:rsidP="00166B12">
            <w:pPr>
              <w:jc w:val="center"/>
            </w:pPr>
          </w:p>
        </w:tc>
        <w:tc>
          <w:tcPr>
            <w:tcW w:w="841" w:type="dxa"/>
          </w:tcPr>
          <w:p w14:paraId="04D5DCB8" w14:textId="77777777" w:rsidR="00DF641D" w:rsidRPr="00DE15E2" w:rsidRDefault="00DF641D" w:rsidP="00166B12">
            <w:pPr>
              <w:jc w:val="center"/>
            </w:pPr>
            <w:r w:rsidRPr="00DE15E2">
              <w:t>N</w:t>
            </w:r>
            <w:r w:rsidRPr="00DE15E2">
              <w:rPr>
                <w:vertAlign w:val="superscript"/>
              </w:rPr>
              <w:t>1</w:t>
            </w:r>
          </w:p>
        </w:tc>
        <w:tc>
          <w:tcPr>
            <w:tcW w:w="1126" w:type="dxa"/>
          </w:tcPr>
          <w:p w14:paraId="1B8123B6" w14:textId="77777777" w:rsidR="00DF641D" w:rsidRPr="00DE15E2" w:rsidRDefault="00DF641D" w:rsidP="00166B12">
            <w:pPr>
              <w:jc w:val="center"/>
            </w:pPr>
          </w:p>
        </w:tc>
        <w:tc>
          <w:tcPr>
            <w:tcW w:w="1370" w:type="dxa"/>
          </w:tcPr>
          <w:p w14:paraId="4443BEAE" w14:textId="77777777" w:rsidR="00DF641D" w:rsidRPr="00DE15E2" w:rsidRDefault="00DF641D" w:rsidP="00166B12">
            <w:pPr>
              <w:jc w:val="center"/>
            </w:pPr>
          </w:p>
        </w:tc>
        <w:tc>
          <w:tcPr>
            <w:tcW w:w="1370" w:type="dxa"/>
          </w:tcPr>
          <w:p w14:paraId="75F6F093" w14:textId="77777777" w:rsidR="00DF641D" w:rsidRPr="00DE15E2" w:rsidRDefault="00DF641D" w:rsidP="00166B12">
            <w:pPr>
              <w:jc w:val="center"/>
            </w:pPr>
          </w:p>
        </w:tc>
        <w:tc>
          <w:tcPr>
            <w:tcW w:w="1128" w:type="dxa"/>
          </w:tcPr>
          <w:p w14:paraId="1D782FAA" w14:textId="77777777" w:rsidR="00DF641D" w:rsidRPr="00DE15E2" w:rsidRDefault="00DF641D" w:rsidP="00166B12">
            <w:pPr>
              <w:jc w:val="center"/>
            </w:pPr>
          </w:p>
        </w:tc>
      </w:tr>
      <w:tr w:rsidR="00DF641D" w14:paraId="45947A6C" w14:textId="77777777" w:rsidTr="00166B12">
        <w:tc>
          <w:tcPr>
            <w:tcW w:w="3369" w:type="dxa"/>
          </w:tcPr>
          <w:p w14:paraId="14C5AC09" w14:textId="70B284C9" w:rsidR="00DF641D" w:rsidRPr="00CA4573" w:rsidRDefault="00B95EC2" w:rsidP="00166B12">
            <w:r>
              <w:t>P</w:t>
            </w:r>
            <w:r w:rsidR="00DF641D" w:rsidRPr="00CA4573">
              <w:t>articipate</w:t>
            </w:r>
            <w:r>
              <w:t>d in Round 2</w:t>
            </w:r>
          </w:p>
        </w:tc>
        <w:tc>
          <w:tcPr>
            <w:tcW w:w="843" w:type="dxa"/>
          </w:tcPr>
          <w:p w14:paraId="7E659E05" w14:textId="77777777" w:rsidR="00DF641D" w:rsidRPr="00DE15E2" w:rsidRDefault="00DF641D" w:rsidP="00166B12">
            <w:pPr>
              <w:jc w:val="center"/>
            </w:pPr>
            <w:r w:rsidRPr="00DE15E2">
              <w:t>3,705</w:t>
            </w:r>
          </w:p>
        </w:tc>
        <w:tc>
          <w:tcPr>
            <w:tcW w:w="1126" w:type="dxa"/>
          </w:tcPr>
          <w:p w14:paraId="1B6C3455" w14:textId="77777777" w:rsidR="00DF641D" w:rsidRPr="00DE15E2" w:rsidRDefault="00DF641D" w:rsidP="00166B12">
            <w:pPr>
              <w:jc w:val="center"/>
            </w:pPr>
            <w:r w:rsidRPr="00DE15E2">
              <w:t>71</w:t>
            </w:r>
          </w:p>
        </w:tc>
        <w:tc>
          <w:tcPr>
            <w:tcW w:w="1370" w:type="dxa"/>
          </w:tcPr>
          <w:p w14:paraId="212066F0" w14:textId="77777777" w:rsidR="00DF641D" w:rsidRPr="00DE15E2" w:rsidRDefault="00DF641D" w:rsidP="00166B12">
            <w:pPr>
              <w:jc w:val="center"/>
            </w:pPr>
            <w:r w:rsidRPr="00DE15E2">
              <w:t>94</w:t>
            </w:r>
          </w:p>
        </w:tc>
        <w:tc>
          <w:tcPr>
            <w:tcW w:w="1370" w:type="dxa"/>
          </w:tcPr>
          <w:p w14:paraId="7319D8A8" w14:textId="77777777" w:rsidR="00DF641D" w:rsidRPr="00DE15E2" w:rsidRDefault="00DF641D" w:rsidP="00166B12">
            <w:pPr>
              <w:jc w:val="center"/>
            </w:pPr>
            <w:r w:rsidRPr="00DE15E2">
              <w:t>64</w:t>
            </w:r>
          </w:p>
        </w:tc>
        <w:tc>
          <w:tcPr>
            <w:tcW w:w="1128" w:type="dxa"/>
          </w:tcPr>
          <w:p w14:paraId="41998C35" w14:textId="77777777" w:rsidR="00DF641D" w:rsidRPr="00DE15E2" w:rsidRDefault="00DF641D" w:rsidP="00166B12">
            <w:pPr>
              <w:jc w:val="center"/>
            </w:pPr>
            <w:r w:rsidRPr="00DE15E2">
              <w:t>80</w:t>
            </w:r>
          </w:p>
        </w:tc>
        <w:tc>
          <w:tcPr>
            <w:tcW w:w="841" w:type="dxa"/>
          </w:tcPr>
          <w:p w14:paraId="3AA4ABBD" w14:textId="77777777" w:rsidR="00DF641D" w:rsidRPr="00DE15E2" w:rsidRDefault="00DF641D" w:rsidP="00166B12">
            <w:pPr>
              <w:jc w:val="center"/>
            </w:pPr>
            <w:r w:rsidRPr="00DE15E2">
              <w:t>8,515</w:t>
            </w:r>
          </w:p>
        </w:tc>
        <w:tc>
          <w:tcPr>
            <w:tcW w:w="1126" w:type="dxa"/>
          </w:tcPr>
          <w:p w14:paraId="5A5D4D5F" w14:textId="77777777" w:rsidR="00DF641D" w:rsidRPr="00DE15E2" w:rsidRDefault="00DF641D" w:rsidP="00166B12">
            <w:pPr>
              <w:jc w:val="center"/>
            </w:pPr>
            <w:r w:rsidRPr="00DE15E2">
              <w:t>76</w:t>
            </w:r>
          </w:p>
        </w:tc>
        <w:tc>
          <w:tcPr>
            <w:tcW w:w="1370" w:type="dxa"/>
          </w:tcPr>
          <w:p w14:paraId="486E1BF0" w14:textId="77777777" w:rsidR="00DF641D" w:rsidRPr="00DE15E2" w:rsidRDefault="00DF641D" w:rsidP="00166B12">
            <w:pPr>
              <w:jc w:val="center"/>
            </w:pPr>
            <w:r w:rsidRPr="00DE15E2">
              <w:t>96</w:t>
            </w:r>
          </w:p>
        </w:tc>
        <w:tc>
          <w:tcPr>
            <w:tcW w:w="1370" w:type="dxa"/>
          </w:tcPr>
          <w:p w14:paraId="4332ABA4" w14:textId="77777777" w:rsidR="00DF641D" w:rsidRPr="00DE15E2" w:rsidRDefault="00DF641D" w:rsidP="00166B12">
            <w:pPr>
              <w:jc w:val="center"/>
            </w:pPr>
            <w:r w:rsidRPr="00DE15E2">
              <w:t>69</w:t>
            </w:r>
          </w:p>
        </w:tc>
        <w:tc>
          <w:tcPr>
            <w:tcW w:w="1128" w:type="dxa"/>
          </w:tcPr>
          <w:p w14:paraId="09EF8A2C" w14:textId="77777777" w:rsidR="00DF641D" w:rsidRPr="00DE15E2" w:rsidRDefault="00DF641D" w:rsidP="00166B12">
            <w:pPr>
              <w:jc w:val="center"/>
            </w:pPr>
            <w:r w:rsidRPr="00DE15E2">
              <w:t>81</w:t>
            </w:r>
          </w:p>
        </w:tc>
      </w:tr>
      <w:tr w:rsidR="00DF641D" w14:paraId="77ED1D4F" w14:textId="77777777" w:rsidTr="00166B12">
        <w:tc>
          <w:tcPr>
            <w:tcW w:w="3369" w:type="dxa"/>
          </w:tcPr>
          <w:p w14:paraId="6C29632A" w14:textId="77777777" w:rsidR="00DF641D" w:rsidRPr="008F3F36" w:rsidRDefault="00DF641D" w:rsidP="00166B12">
            <w:pPr>
              <w:rPr>
                <w:i/>
              </w:rPr>
            </w:pPr>
            <w:r>
              <w:rPr>
                <w:i/>
              </w:rPr>
              <w:t>Sensitivity analysis</w:t>
            </w:r>
            <w:r w:rsidRPr="00511649">
              <w:rPr>
                <w:i/>
                <w:vertAlign w:val="superscript"/>
              </w:rPr>
              <w:t>2</w:t>
            </w:r>
          </w:p>
        </w:tc>
        <w:tc>
          <w:tcPr>
            <w:tcW w:w="843" w:type="dxa"/>
          </w:tcPr>
          <w:p w14:paraId="0ACE2B9C" w14:textId="77777777" w:rsidR="00DF641D" w:rsidRPr="00DE15E2" w:rsidRDefault="00DF641D" w:rsidP="00166B12">
            <w:pPr>
              <w:jc w:val="center"/>
              <w:rPr>
                <w:i/>
              </w:rPr>
            </w:pPr>
            <w:r w:rsidRPr="00DE15E2">
              <w:rPr>
                <w:i/>
              </w:rPr>
              <w:t>3,942</w:t>
            </w:r>
          </w:p>
        </w:tc>
        <w:tc>
          <w:tcPr>
            <w:tcW w:w="1126" w:type="dxa"/>
          </w:tcPr>
          <w:p w14:paraId="226BC223" w14:textId="77777777" w:rsidR="00DF641D" w:rsidRPr="00DE15E2" w:rsidRDefault="00E81965" w:rsidP="00166B12">
            <w:pPr>
              <w:jc w:val="center"/>
              <w:rPr>
                <w:i/>
              </w:rPr>
            </w:pPr>
            <w:r>
              <w:rPr>
                <w:i/>
              </w:rPr>
              <w:t>70-</w:t>
            </w:r>
            <w:r w:rsidR="00DF641D" w:rsidRPr="00DE15E2">
              <w:rPr>
                <w:i/>
              </w:rPr>
              <w:t>73</w:t>
            </w:r>
          </w:p>
        </w:tc>
        <w:tc>
          <w:tcPr>
            <w:tcW w:w="1370" w:type="dxa"/>
          </w:tcPr>
          <w:p w14:paraId="1B03709D" w14:textId="77777777" w:rsidR="00DF641D" w:rsidRPr="00DE15E2" w:rsidRDefault="00E81965" w:rsidP="00166B12">
            <w:pPr>
              <w:jc w:val="center"/>
              <w:rPr>
                <w:i/>
              </w:rPr>
            </w:pPr>
            <w:r>
              <w:rPr>
                <w:i/>
              </w:rPr>
              <w:t>91-</w:t>
            </w:r>
            <w:r w:rsidR="00DF641D" w:rsidRPr="00DE15E2">
              <w:rPr>
                <w:i/>
              </w:rPr>
              <w:t>94</w:t>
            </w:r>
          </w:p>
        </w:tc>
        <w:tc>
          <w:tcPr>
            <w:tcW w:w="1370" w:type="dxa"/>
          </w:tcPr>
          <w:p w14:paraId="6E03FDD7" w14:textId="77777777" w:rsidR="00DF641D" w:rsidRPr="00DE15E2" w:rsidRDefault="00DF641D" w:rsidP="00166B12">
            <w:pPr>
              <w:jc w:val="center"/>
              <w:rPr>
                <w:i/>
              </w:rPr>
            </w:pPr>
            <w:r w:rsidRPr="00DE15E2">
              <w:rPr>
                <w:i/>
              </w:rPr>
              <w:t>63-65</w:t>
            </w:r>
          </w:p>
        </w:tc>
        <w:tc>
          <w:tcPr>
            <w:tcW w:w="1128" w:type="dxa"/>
          </w:tcPr>
          <w:p w14:paraId="2A2E13E6" w14:textId="77777777" w:rsidR="00DF641D" w:rsidRPr="00DE15E2" w:rsidRDefault="00DF641D" w:rsidP="00166B12">
            <w:pPr>
              <w:jc w:val="center"/>
              <w:rPr>
                <w:i/>
              </w:rPr>
            </w:pPr>
            <w:r w:rsidRPr="00DE15E2">
              <w:rPr>
                <w:i/>
              </w:rPr>
              <w:t>77-80</w:t>
            </w:r>
          </w:p>
        </w:tc>
        <w:tc>
          <w:tcPr>
            <w:tcW w:w="841" w:type="dxa"/>
          </w:tcPr>
          <w:p w14:paraId="44BE1C85" w14:textId="77777777" w:rsidR="00DF641D" w:rsidRPr="00DE15E2" w:rsidRDefault="00DF641D" w:rsidP="00166B12">
            <w:pPr>
              <w:jc w:val="center"/>
              <w:rPr>
                <w:i/>
              </w:rPr>
            </w:pPr>
            <w:r w:rsidRPr="00DE15E2">
              <w:rPr>
                <w:i/>
              </w:rPr>
              <w:t>8,891</w:t>
            </w:r>
          </w:p>
        </w:tc>
        <w:tc>
          <w:tcPr>
            <w:tcW w:w="1126" w:type="dxa"/>
          </w:tcPr>
          <w:p w14:paraId="4C58FC79" w14:textId="77777777" w:rsidR="00DF641D" w:rsidRPr="00DE15E2" w:rsidRDefault="00E81965" w:rsidP="00166B12">
            <w:pPr>
              <w:jc w:val="center"/>
              <w:rPr>
                <w:i/>
              </w:rPr>
            </w:pPr>
            <w:r>
              <w:rPr>
                <w:i/>
              </w:rPr>
              <w:t>75-</w:t>
            </w:r>
            <w:r w:rsidR="00DF641D" w:rsidRPr="00DE15E2">
              <w:rPr>
                <w:i/>
              </w:rPr>
              <w:t>77</w:t>
            </w:r>
          </w:p>
        </w:tc>
        <w:tc>
          <w:tcPr>
            <w:tcW w:w="1370" w:type="dxa"/>
          </w:tcPr>
          <w:p w14:paraId="0CDA85DA" w14:textId="77777777" w:rsidR="00DF641D" w:rsidRPr="00DE15E2" w:rsidRDefault="00E81965" w:rsidP="00166B12">
            <w:pPr>
              <w:jc w:val="center"/>
              <w:rPr>
                <w:i/>
              </w:rPr>
            </w:pPr>
            <w:r>
              <w:rPr>
                <w:i/>
              </w:rPr>
              <w:t>94-</w:t>
            </w:r>
            <w:r w:rsidR="00DF641D" w:rsidRPr="00DE15E2">
              <w:rPr>
                <w:i/>
              </w:rPr>
              <w:t>96</w:t>
            </w:r>
          </w:p>
        </w:tc>
        <w:tc>
          <w:tcPr>
            <w:tcW w:w="1370" w:type="dxa"/>
          </w:tcPr>
          <w:p w14:paraId="364DB225" w14:textId="77777777" w:rsidR="00DF641D" w:rsidRPr="00DE15E2" w:rsidRDefault="00DF641D" w:rsidP="00166B12">
            <w:pPr>
              <w:jc w:val="center"/>
              <w:rPr>
                <w:i/>
              </w:rPr>
            </w:pPr>
            <w:r w:rsidRPr="00DE15E2">
              <w:rPr>
                <w:i/>
              </w:rPr>
              <w:t>67-69</w:t>
            </w:r>
          </w:p>
        </w:tc>
        <w:tc>
          <w:tcPr>
            <w:tcW w:w="1128" w:type="dxa"/>
          </w:tcPr>
          <w:p w14:paraId="5DB806E3" w14:textId="77777777" w:rsidR="00DF641D" w:rsidRPr="00DE15E2" w:rsidRDefault="00DF641D" w:rsidP="00166B12">
            <w:pPr>
              <w:jc w:val="center"/>
              <w:rPr>
                <w:i/>
              </w:rPr>
            </w:pPr>
            <w:r w:rsidRPr="00DE15E2">
              <w:rPr>
                <w:i/>
              </w:rPr>
              <w:t>79-81</w:t>
            </w:r>
          </w:p>
        </w:tc>
      </w:tr>
      <w:tr w:rsidR="00DF641D" w14:paraId="49136AEA" w14:textId="77777777" w:rsidTr="00166B12">
        <w:tc>
          <w:tcPr>
            <w:tcW w:w="3369" w:type="dxa"/>
          </w:tcPr>
          <w:p w14:paraId="5E8A60A6" w14:textId="77777777" w:rsidR="00DF641D" w:rsidRPr="00CA4573" w:rsidRDefault="00DF641D" w:rsidP="00166B12">
            <w:r w:rsidRPr="00CA4573">
              <w:t>Extrapolated to total population</w:t>
            </w:r>
          </w:p>
        </w:tc>
        <w:tc>
          <w:tcPr>
            <w:tcW w:w="843" w:type="dxa"/>
          </w:tcPr>
          <w:p w14:paraId="7DAAB15E" w14:textId="77777777" w:rsidR="00DF641D" w:rsidRPr="00DE15E2" w:rsidRDefault="00DF641D" w:rsidP="00166B12">
            <w:pPr>
              <w:jc w:val="center"/>
            </w:pPr>
            <w:r w:rsidRPr="00DE15E2">
              <w:t>6,521</w:t>
            </w:r>
          </w:p>
        </w:tc>
        <w:tc>
          <w:tcPr>
            <w:tcW w:w="1126" w:type="dxa"/>
          </w:tcPr>
          <w:p w14:paraId="18636706" w14:textId="77777777" w:rsidR="00DF641D" w:rsidRPr="00DE15E2" w:rsidRDefault="00DF641D" w:rsidP="00166B12">
            <w:pPr>
              <w:jc w:val="center"/>
            </w:pPr>
            <w:r w:rsidRPr="00DE15E2">
              <w:t>67</w:t>
            </w:r>
          </w:p>
        </w:tc>
        <w:tc>
          <w:tcPr>
            <w:tcW w:w="1370" w:type="dxa"/>
          </w:tcPr>
          <w:p w14:paraId="38741F08" w14:textId="77777777" w:rsidR="00DF641D" w:rsidRPr="00DE15E2" w:rsidRDefault="00DF641D" w:rsidP="00166B12">
            <w:pPr>
              <w:jc w:val="center"/>
            </w:pPr>
            <w:r w:rsidRPr="00DE15E2">
              <w:t>79</w:t>
            </w:r>
          </w:p>
        </w:tc>
        <w:tc>
          <w:tcPr>
            <w:tcW w:w="1370" w:type="dxa"/>
          </w:tcPr>
          <w:p w14:paraId="59D7452E" w14:textId="77777777" w:rsidR="00DF641D" w:rsidRPr="00DE15E2" w:rsidRDefault="00DF641D" w:rsidP="00166B12">
            <w:pPr>
              <w:jc w:val="center"/>
            </w:pPr>
            <w:r w:rsidRPr="00DE15E2">
              <w:t>71</w:t>
            </w:r>
          </w:p>
        </w:tc>
        <w:tc>
          <w:tcPr>
            <w:tcW w:w="1128" w:type="dxa"/>
          </w:tcPr>
          <w:p w14:paraId="3285D64B" w14:textId="77777777" w:rsidR="00DF641D" w:rsidRPr="00DE15E2" w:rsidRDefault="00DF641D" w:rsidP="00166B12">
            <w:pPr>
              <w:jc w:val="center"/>
            </w:pPr>
            <w:r w:rsidRPr="00DE15E2">
              <w:t>81</w:t>
            </w:r>
          </w:p>
        </w:tc>
        <w:tc>
          <w:tcPr>
            <w:tcW w:w="841" w:type="dxa"/>
          </w:tcPr>
          <w:p w14:paraId="537ADA41" w14:textId="77777777" w:rsidR="00DF641D" w:rsidRPr="00DE15E2" w:rsidRDefault="00DF641D" w:rsidP="00166B12">
            <w:pPr>
              <w:jc w:val="center"/>
            </w:pPr>
            <w:r w:rsidRPr="00DE15E2">
              <w:t>10,690</w:t>
            </w:r>
          </w:p>
        </w:tc>
        <w:tc>
          <w:tcPr>
            <w:tcW w:w="1126" w:type="dxa"/>
          </w:tcPr>
          <w:p w14:paraId="2B13D5BE" w14:textId="77777777" w:rsidR="00DF641D" w:rsidRPr="00DE15E2" w:rsidRDefault="00DF641D" w:rsidP="00166B12">
            <w:pPr>
              <w:jc w:val="center"/>
            </w:pPr>
            <w:r w:rsidRPr="00DE15E2">
              <w:t>75</w:t>
            </w:r>
          </w:p>
        </w:tc>
        <w:tc>
          <w:tcPr>
            <w:tcW w:w="1370" w:type="dxa"/>
          </w:tcPr>
          <w:p w14:paraId="32FBA39B" w14:textId="77777777" w:rsidR="00DF641D" w:rsidRPr="00DE15E2" w:rsidRDefault="00DF641D" w:rsidP="00166B12">
            <w:pPr>
              <w:jc w:val="center"/>
            </w:pPr>
            <w:r w:rsidRPr="00DE15E2">
              <w:t>91</w:t>
            </w:r>
          </w:p>
        </w:tc>
        <w:tc>
          <w:tcPr>
            <w:tcW w:w="1370" w:type="dxa"/>
          </w:tcPr>
          <w:p w14:paraId="7AC03304" w14:textId="77777777" w:rsidR="00DF641D" w:rsidRPr="00DE15E2" w:rsidRDefault="00DF641D" w:rsidP="00166B12">
            <w:pPr>
              <w:jc w:val="center"/>
            </w:pPr>
            <w:r w:rsidRPr="00DE15E2">
              <w:t>71</w:t>
            </w:r>
          </w:p>
        </w:tc>
        <w:tc>
          <w:tcPr>
            <w:tcW w:w="1128" w:type="dxa"/>
          </w:tcPr>
          <w:p w14:paraId="3A722C1F" w14:textId="77777777" w:rsidR="00DF641D" w:rsidRPr="00DE15E2" w:rsidRDefault="00DF641D" w:rsidP="00166B12">
            <w:pPr>
              <w:jc w:val="center"/>
            </w:pPr>
            <w:r w:rsidRPr="00DE15E2">
              <w:t>82</w:t>
            </w:r>
          </w:p>
        </w:tc>
      </w:tr>
      <w:tr w:rsidR="00DF641D" w14:paraId="7F22DC26" w14:textId="77777777" w:rsidTr="00166B12">
        <w:tc>
          <w:tcPr>
            <w:tcW w:w="3369" w:type="dxa"/>
          </w:tcPr>
          <w:p w14:paraId="08F9820E" w14:textId="77777777" w:rsidR="00DF641D" w:rsidRPr="008F3F36" w:rsidRDefault="00DF641D" w:rsidP="00166B12">
            <w:pPr>
              <w:rPr>
                <w:i/>
                <w:vertAlign w:val="superscript"/>
              </w:rPr>
            </w:pPr>
            <w:r>
              <w:rPr>
                <w:i/>
              </w:rPr>
              <w:t>Sensitivity analysis</w:t>
            </w:r>
            <w:r w:rsidRPr="00511649">
              <w:rPr>
                <w:i/>
                <w:vertAlign w:val="superscript"/>
              </w:rPr>
              <w:t>2</w:t>
            </w:r>
          </w:p>
        </w:tc>
        <w:tc>
          <w:tcPr>
            <w:tcW w:w="843" w:type="dxa"/>
          </w:tcPr>
          <w:p w14:paraId="66FF0DE7" w14:textId="77777777" w:rsidR="00DF641D" w:rsidRPr="00DE15E2" w:rsidRDefault="00DF641D" w:rsidP="00166B12">
            <w:pPr>
              <w:jc w:val="center"/>
              <w:rPr>
                <w:i/>
              </w:rPr>
            </w:pPr>
            <w:r w:rsidRPr="00DE15E2">
              <w:rPr>
                <w:i/>
              </w:rPr>
              <w:t>7,016</w:t>
            </w:r>
          </w:p>
        </w:tc>
        <w:tc>
          <w:tcPr>
            <w:tcW w:w="1126" w:type="dxa"/>
          </w:tcPr>
          <w:p w14:paraId="61C5474F" w14:textId="77777777" w:rsidR="00DF641D" w:rsidRPr="00DE15E2" w:rsidRDefault="00E81965" w:rsidP="00166B12">
            <w:pPr>
              <w:jc w:val="center"/>
              <w:rPr>
                <w:i/>
              </w:rPr>
            </w:pPr>
            <w:r>
              <w:rPr>
                <w:i/>
              </w:rPr>
              <w:t>65-</w:t>
            </w:r>
            <w:r w:rsidR="00DF641D" w:rsidRPr="00DE15E2">
              <w:rPr>
                <w:i/>
              </w:rPr>
              <w:t>69</w:t>
            </w:r>
          </w:p>
        </w:tc>
        <w:tc>
          <w:tcPr>
            <w:tcW w:w="1370" w:type="dxa"/>
          </w:tcPr>
          <w:p w14:paraId="684D8D38" w14:textId="77777777" w:rsidR="00DF641D" w:rsidRPr="00DE15E2" w:rsidRDefault="00E81965" w:rsidP="00166B12">
            <w:pPr>
              <w:jc w:val="center"/>
              <w:rPr>
                <w:i/>
              </w:rPr>
            </w:pPr>
            <w:r>
              <w:rPr>
                <w:i/>
              </w:rPr>
              <w:t>77-</w:t>
            </w:r>
            <w:r w:rsidR="00DF641D" w:rsidRPr="00DE15E2">
              <w:rPr>
                <w:i/>
              </w:rPr>
              <w:t>81</w:t>
            </w:r>
          </w:p>
        </w:tc>
        <w:tc>
          <w:tcPr>
            <w:tcW w:w="1370" w:type="dxa"/>
          </w:tcPr>
          <w:p w14:paraId="022F904A" w14:textId="77777777" w:rsidR="00DF641D" w:rsidRPr="00DE15E2" w:rsidRDefault="00DF641D" w:rsidP="00166B12">
            <w:pPr>
              <w:jc w:val="center"/>
              <w:rPr>
                <w:i/>
              </w:rPr>
            </w:pPr>
            <w:r w:rsidRPr="00DE15E2">
              <w:rPr>
                <w:i/>
              </w:rPr>
              <w:t>68-72</w:t>
            </w:r>
          </w:p>
        </w:tc>
        <w:tc>
          <w:tcPr>
            <w:tcW w:w="1128" w:type="dxa"/>
          </w:tcPr>
          <w:p w14:paraId="75BF0C6B" w14:textId="77777777" w:rsidR="00DF641D" w:rsidRPr="00DE15E2" w:rsidRDefault="00DF641D" w:rsidP="00166B12">
            <w:pPr>
              <w:jc w:val="center"/>
              <w:rPr>
                <w:i/>
              </w:rPr>
            </w:pPr>
            <w:r w:rsidRPr="00DE15E2">
              <w:rPr>
                <w:i/>
              </w:rPr>
              <w:t>78-82</w:t>
            </w:r>
          </w:p>
        </w:tc>
        <w:tc>
          <w:tcPr>
            <w:tcW w:w="841" w:type="dxa"/>
          </w:tcPr>
          <w:p w14:paraId="3D4C6527" w14:textId="77777777" w:rsidR="00DF641D" w:rsidRPr="00DE15E2" w:rsidRDefault="00DF641D" w:rsidP="00166B12">
            <w:pPr>
              <w:jc w:val="center"/>
              <w:rPr>
                <w:i/>
              </w:rPr>
            </w:pPr>
            <w:r w:rsidRPr="00DE15E2">
              <w:rPr>
                <w:i/>
              </w:rPr>
              <w:t>11,181</w:t>
            </w:r>
          </w:p>
        </w:tc>
        <w:tc>
          <w:tcPr>
            <w:tcW w:w="1126" w:type="dxa"/>
          </w:tcPr>
          <w:p w14:paraId="36D15286" w14:textId="77777777" w:rsidR="00DF641D" w:rsidRPr="00DE15E2" w:rsidRDefault="00E81965" w:rsidP="00166B12">
            <w:pPr>
              <w:jc w:val="center"/>
              <w:rPr>
                <w:i/>
              </w:rPr>
            </w:pPr>
            <w:r>
              <w:rPr>
                <w:i/>
              </w:rPr>
              <w:t>74-</w:t>
            </w:r>
            <w:r w:rsidR="00DF641D" w:rsidRPr="00DE15E2">
              <w:rPr>
                <w:i/>
              </w:rPr>
              <w:t>77</w:t>
            </w:r>
          </w:p>
        </w:tc>
        <w:tc>
          <w:tcPr>
            <w:tcW w:w="1370" w:type="dxa"/>
          </w:tcPr>
          <w:p w14:paraId="1757B1DA" w14:textId="77777777" w:rsidR="00DF641D" w:rsidRPr="00DE15E2" w:rsidRDefault="00E81965" w:rsidP="00166B12">
            <w:pPr>
              <w:jc w:val="center"/>
              <w:rPr>
                <w:i/>
              </w:rPr>
            </w:pPr>
            <w:r>
              <w:rPr>
                <w:i/>
              </w:rPr>
              <w:t>90-</w:t>
            </w:r>
            <w:r w:rsidR="00DF641D" w:rsidRPr="00DE15E2">
              <w:rPr>
                <w:i/>
              </w:rPr>
              <w:t>92</w:t>
            </w:r>
          </w:p>
        </w:tc>
        <w:tc>
          <w:tcPr>
            <w:tcW w:w="1370" w:type="dxa"/>
          </w:tcPr>
          <w:p w14:paraId="1A4EC380" w14:textId="77777777" w:rsidR="00DF641D" w:rsidRPr="00DE15E2" w:rsidRDefault="00DF641D" w:rsidP="00166B12">
            <w:pPr>
              <w:jc w:val="center"/>
              <w:rPr>
                <w:i/>
              </w:rPr>
            </w:pPr>
            <w:r w:rsidRPr="00DE15E2">
              <w:rPr>
                <w:i/>
              </w:rPr>
              <w:t>70-72</w:t>
            </w:r>
          </w:p>
        </w:tc>
        <w:tc>
          <w:tcPr>
            <w:tcW w:w="1128" w:type="dxa"/>
          </w:tcPr>
          <w:p w14:paraId="5AAECE07" w14:textId="77777777" w:rsidR="00DF641D" w:rsidRPr="00DE15E2" w:rsidRDefault="00DF641D" w:rsidP="00166B12">
            <w:pPr>
              <w:jc w:val="center"/>
              <w:rPr>
                <w:i/>
              </w:rPr>
            </w:pPr>
            <w:r w:rsidRPr="00DE15E2">
              <w:rPr>
                <w:i/>
              </w:rPr>
              <w:t>80-82</w:t>
            </w:r>
          </w:p>
        </w:tc>
      </w:tr>
    </w:tbl>
    <w:p w14:paraId="77649670" w14:textId="0B9CFF38" w:rsidR="00DF641D" w:rsidRPr="00D62DFD" w:rsidRDefault="00DF641D" w:rsidP="00DF641D">
      <w:pPr>
        <w:rPr>
          <w:noProof/>
          <w:sz w:val="20"/>
          <w:szCs w:val="20"/>
          <w:lang w:eastAsia="en-GB"/>
        </w:rPr>
      </w:pPr>
      <w:r w:rsidRPr="00D62DFD">
        <w:rPr>
          <w:noProof/>
          <w:sz w:val="20"/>
          <w:szCs w:val="20"/>
          <w:vertAlign w:val="superscript"/>
          <w:lang w:eastAsia="en-GB"/>
        </w:rPr>
        <w:t>1</w:t>
      </w:r>
      <w:r w:rsidRPr="00D62DFD">
        <w:rPr>
          <w:noProof/>
          <w:sz w:val="20"/>
          <w:szCs w:val="20"/>
          <w:lang w:eastAsia="en-GB"/>
        </w:rPr>
        <w:t xml:space="preserve"> Estimated number of HIV-positive adults in </w:t>
      </w:r>
      <w:r w:rsidR="00B95EC2">
        <w:rPr>
          <w:noProof/>
          <w:sz w:val="20"/>
          <w:szCs w:val="20"/>
          <w:lang w:eastAsia="en-GB"/>
        </w:rPr>
        <w:t xml:space="preserve">the </w:t>
      </w:r>
      <w:bookmarkStart w:id="0" w:name="_GoBack"/>
      <w:bookmarkEnd w:id="0"/>
      <w:r w:rsidRPr="00D62DFD">
        <w:rPr>
          <w:noProof/>
          <w:sz w:val="20"/>
          <w:szCs w:val="20"/>
          <w:lang w:eastAsia="en-GB"/>
        </w:rPr>
        <w:t>population, with extrapolation for (1) individuals who participated but whose HIV status is not known to the CHiPs (2) adults who did not participate</w:t>
      </w:r>
    </w:p>
    <w:p w14:paraId="68EC319C" w14:textId="77777777" w:rsidR="009C1B48" w:rsidRDefault="00DF641D">
      <w:r w:rsidRPr="00D62DFD">
        <w:rPr>
          <w:sz w:val="20"/>
          <w:szCs w:val="20"/>
        </w:rPr>
        <w:t xml:space="preserve">2 Sensitivity analysis: Among adults who participated but their HIV status is not known to </w:t>
      </w:r>
      <w:proofErr w:type="spellStart"/>
      <w:r w:rsidRPr="00D62DFD">
        <w:rPr>
          <w:sz w:val="20"/>
          <w:szCs w:val="20"/>
        </w:rPr>
        <w:t>CHiPs</w:t>
      </w:r>
      <w:proofErr w:type="spellEnd"/>
      <w:r w:rsidRPr="00D62DFD">
        <w:rPr>
          <w:sz w:val="20"/>
          <w:szCs w:val="20"/>
        </w:rPr>
        <w:t xml:space="preserve">, HIV prevalence is assumed to be twice the value observed among adults who accepted the offer of HIV testing from </w:t>
      </w:r>
      <w:proofErr w:type="spellStart"/>
      <w:r w:rsidRPr="00D62DFD">
        <w:rPr>
          <w:sz w:val="20"/>
          <w:szCs w:val="20"/>
        </w:rPr>
        <w:t>CHiPs</w:t>
      </w:r>
      <w:proofErr w:type="spellEnd"/>
      <w:r w:rsidRPr="00D62DFD">
        <w:rPr>
          <w:sz w:val="20"/>
          <w:szCs w:val="20"/>
        </w:rPr>
        <w:t xml:space="preserve">. Among adults whose HIV status is not known to </w:t>
      </w:r>
      <w:proofErr w:type="spellStart"/>
      <w:r w:rsidRPr="00D62DFD">
        <w:rPr>
          <w:sz w:val="20"/>
          <w:szCs w:val="20"/>
        </w:rPr>
        <w:t>CHiPs</w:t>
      </w:r>
      <w:proofErr w:type="spellEnd"/>
      <w:r w:rsidRPr="00D62DFD">
        <w:rPr>
          <w:sz w:val="20"/>
          <w:szCs w:val="20"/>
        </w:rPr>
        <w:t xml:space="preserve">, and </w:t>
      </w:r>
      <w:r w:rsidR="00761E3F">
        <w:rPr>
          <w:sz w:val="20"/>
          <w:szCs w:val="20"/>
        </w:rPr>
        <w:t xml:space="preserve">they </w:t>
      </w:r>
      <w:r w:rsidRPr="00D62DFD">
        <w:rPr>
          <w:sz w:val="20"/>
          <w:szCs w:val="20"/>
        </w:rPr>
        <w:t>are HIV-positive,</w:t>
      </w:r>
      <w:r w:rsidR="00BC011C">
        <w:rPr>
          <w:sz w:val="20"/>
          <w:szCs w:val="20"/>
        </w:rPr>
        <w:t xml:space="preserve"> two alternative assumptions are made for</w:t>
      </w:r>
      <w:r w:rsidRPr="00D62DFD">
        <w:rPr>
          <w:sz w:val="20"/>
          <w:szCs w:val="20"/>
        </w:rPr>
        <w:t xml:space="preserve"> the percentage who know their HIV+ status </w:t>
      </w:r>
      <w:r w:rsidR="00BC011C">
        <w:rPr>
          <w:sz w:val="20"/>
          <w:szCs w:val="20"/>
        </w:rPr>
        <w:t xml:space="preserve">(a) the percentage who know their HIV+ status is </w:t>
      </w:r>
      <w:r w:rsidRPr="00D62DFD">
        <w:rPr>
          <w:sz w:val="20"/>
          <w:szCs w:val="20"/>
        </w:rPr>
        <w:t xml:space="preserve">the </w:t>
      </w:r>
      <w:r w:rsidRPr="00762612">
        <w:rPr>
          <w:i/>
          <w:sz w:val="20"/>
          <w:szCs w:val="20"/>
        </w:rPr>
        <w:t>same</w:t>
      </w:r>
      <w:r w:rsidRPr="00D62DFD">
        <w:rPr>
          <w:sz w:val="20"/>
          <w:szCs w:val="20"/>
        </w:rPr>
        <w:t xml:space="preserve"> as</w:t>
      </w:r>
      <w:r w:rsidR="00BC011C">
        <w:rPr>
          <w:sz w:val="20"/>
          <w:szCs w:val="20"/>
        </w:rPr>
        <w:t xml:space="preserve"> the “pre-</w:t>
      </w:r>
      <w:proofErr w:type="spellStart"/>
      <w:r w:rsidR="00BC011C">
        <w:rPr>
          <w:sz w:val="20"/>
          <w:szCs w:val="20"/>
        </w:rPr>
        <w:t>CHiP</w:t>
      </w:r>
      <w:proofErr w:type="spellEnd"/>
      <w:r w:rsidR="00BC011C">
        <w:rPr>
          <w:sz w:val="20"/>
          <w:szCs w:val="20"/>
        </w:rPr>
        <w:t>”</w:t>
      </w:r>
      <w:r w:rsidR="008C2992">
        <w:rPr>
          <w:sz w:val="20"/>
          <w:szCs w:val="20"/>
        </w:rPr>
        <w:t xml:space="preserve"> value</w:t>
      </w:r>
      <w:r w:rsidRPr="00D62DFD">
        <w:rPr>
          <w:sz w:val="20"/>
          <w:szCs w:val="20"/>
        </w:rPr>
        <w:t xml:space="preserve"> for adults whose HIV status is known to </w:t>
      </w:r>
      <w:proofErr w:type="spellStart"/>
      <w:r w:rsidRPr="00D62DFD">
        <w:rPr>
          <w:sz w:val="20"/>
          <w:szCs w:val="20"/>
        </w:rPr>
        <w:t>CHiPs</w:t>
      </w:r>
      <w:proofErr w:type="spellEnd"/>
      <w:r w:rsidRPr="00D62DFD">
        <w:rPr>
          <w:sz w:val="20"/>
          <w:szCs w:val="20"/>
        </w:rPr>
        <w:t xml:space="preserve"> i.e. equal to (self-reported HIV+ to </w:t>
      </w:r>
      <w:proofErr w:type="spellStart"/>
      <w:r w:rsidRPr="00D62DFD">
        <w:rPr>
          <w:sz w:val="20"/>
          <w:szCs w:val="20"/>
        </w:rPr>
        <w:t>CHiPs</w:t>
      </w:r>
      <w:proofErr w:type="spellEnd"/>
      <w:r w:rsidRPr="00D62DFD">
        <w:rPr>
          <w:sz w:val="20"/>
          <w:szCs w:val="20"/>
        </w:rPr>
        <w:t xml:space="preserve"> / total known by the </w:t>
      </w:r>
      <w:proofErr w:type="spellStart"/>
      <w:r w:rsidRPr="00D62DFD">
        <w:rPr>
          <w:sz w:val="20"/>
          <w:szCs w:val="20"/>
        </w:rPr>
        <w:t>CHiPs</w:t>
      </w:r>
      <w:proofErr w:type="spellEnd"/>
      <w:r w:rsidRPr="00D62DFD">
        <w:rPr>
          <w:sz w:val="20"/>
          <w:szCs w:val="20"/>
        </w:rPr>
        <w:t xml:space="preserve"> to be HIV+)</w:t>
      </w:r>
      <w:r w:rsidR="00BC011C">
        <w:rPr>
          <w:sz w:val="20"/>
          <w:szCs w:val="20"/>
        </w:rPr>
        <w:t xml:space="preserve"> (b) the percentage who know their HIV+ status is </w:t>
      </w:r>
      <w:r w:rsidR="00BC011C" w:rsidRPr="00762612">
        <w:rPr>
          <w:i/>
          <w:sz w:val="20"/>
          <w:szCs w:val="20"/>
        </w:rPr>
        <w:t>half</w:t>
      </w:r>
      <w:r w:rsidR="00BC011C">
        <w:rPr>
          <w:sz w:val="20"/>
          <w:szCs w:val="20"/>
        </w:rPr>
        <w:t xml:space="preserve"> of the</w:t>
      </w:r>
      <w:r w:rsidR="008C2992">
        <w:rPr>
          <w:sz w:val="20"/>
          <w:szCs w:val="20"/>
        </w:rPr>
        <w:t xml:space="preserve"> pre-</w:t>
      </w:r>
      <w:proofErr w:type="spellStart"/>
      <w:r w:rsidR="008C2992">
        <w:rPr>
          <w:sz w:val="20"/>
          <w:szCs w:val="20"/>
        </w:rPr>
        <w:t>CHiP</w:t>
      </w:r>
      <w:proofErr w:type="spellEnd"/>
      <w:r w:rsidR="008C2992">
        <w:rPr>
          <w:sz w:val="20"/>
          <w:szCs w:val="20"/>
        </w:rPr>
        <w:t xml:space="preserve"> value</w:t>
      </w:r>
      <w:r w:rsidR="00BC011C">
        <w:rPr>
          <w:sz w:val="20"/>
          <w:szCs w:val="20"/>
        </w:rPr>
        <w:t xml:space="preserve"> among adults whose HIV status is known to </w:t>
      </w:r>
      <w:proofErr w:type="spellStart"/>
      <w:r w:rsidR="00BC011C">
        <w:rPr>
          <w:sz w:val="20"/>
          <w:szCs w:val="20"/>
        </w:rPr>
        <w:t>CHiPs</w:t>
      </w:r>
      <w:proofErr w:type="spellEnd"/>
      <w:r w:rsidRPr="00D62DFD">
        <w:rPr>
          <w:sz w:val="20"/>
          <w:szCs w:val="20"/>
        </w:rPr>
        <w:t>. Among adults who know their HIV+ status</w:t>
      </w:r>
      <w:r w:rsidR="00761E3F">
        <w:rPr>
          <w:sz w:val="20"/>
          <w:szCs w:val="20"/>
        </w:rPr>
        <w:t xml:space="preserve"> but do not disclose this to </w:t>
      </w:r>
      <w:proofErr w:type="spellStart"/>
      <w:r w:rsidR="00761E3F">
        <w:rPr>
          <w:sz w:val="20"/>
          <w:szCs w:val="20"/>
        </w:rPr>
        <w:t>CHiPs</w:t>
      </w:r>
      <w:proofErr w:type="spellEnd"/>
      <w:r w:rsidRPr="00D62DFD">
        <w:rPr>
          <w:sz w:val="20"/>
          <w:szCs w:val="20"/>
        </w:rPr>
        <w:t xml:space="preserve">, two alternative assumptions are made for the percentage who were on ART at the time of the annual round visit (a) the percentage on ART is the same as for adults who self-reported to </w:t>
      </w:r>
      <w:proofErr w:type="spellStart"/>
      <w:r w:rsidRPr="00D62DFD">
        <w:rPr>
          <w:sz w:val="20"/>
          <w:szCs w:val="20"/>
        </w:rPr>
        <w:t>CHiPs</w:t>
      </w:r>
      <w:proofErr w:type="spellEnd"/>
      <w:r w:rsidRPr="00D62DFD">
        <w:rPr>
          <w:sz w:val="20"/>
          <w:szCs w:val="20"/>
        </w:rPr>
        <w:t xml:space="preserve"> that they were HIV+ (b) the percentage on ART is </w:t>
      </w:r>
      <w:r w:rsidRPr="00762612">
        <w:rPr>
          <w:i/>
          <w:sz w:val="20"/>
          <w:szCs w:val="20"/>
        </w:rPr>
        <w:t>half</w:t>
      </w:r>
      <w:r w:rsidRPr="00D62DFD">
        <w:rPr>
          <w:sz w:val="20"/>
          <w:szCs w:val="20"/>
        </w:rPr>
        <w:t xml:space="preserve"> </w:t>
      </w:r>
      <w:r w:rsidR="00BC011C">
        <w:rPr>
          <w:sz w:val="20"/>
          <w:szCs w:val="20"/>
        </w:rPr>
        <w:t xml:space="preserve">of </w:t>
      </w:r>
      <w:r w:rsidRPr="00D62DFD">
        <w:rPr>
          <w:sz w:val="20"/>
          <w:szCs w:val="20"/>
        </w:rPr>
        <w:t xml:space="preserve">the value </w:t>
      </w:r>
      <w:r w:rsidR="00BC011C">
        <w:rPr>
          <w:sz w:val="20"/>
          <w:szCs w:val="20"/>
        </w:rPr>
        <w:t>among</w:t>
      </w:r>
      <w:r w:rsidRPr="00D62DFD">
        <w:rPr>
          <w:sz w:val="20"/>
          <w:szCs w:val="20"/>
        </w:rPr>
        <w:t xml:space="preserve"> adults who self-reported to </w:t>
      </w:r>
      <w:proofErr w:type="spellStart"/>
      <w:r w:rsidRPr="00D62DFD">
        <w:rPr>
          <w:sz w:val="20"/>
          <w:szCs w:val="20"/>
        </w:rPr>
        <w:t>CHiPs</w:t>
      </w:r>
      <w:proofErr w:type="spellEnd"/>
      <w:r w:rsidRPr="00D62DFD">
        <w:rPr>
          <w:sz w:val="20"/>
          <w:szCs w:val="20"/>
        </w:rPr>
        <w:t xml:space="preserve"> that they were HIV+</w:t>
      </w:r>
      <w:r w:rsidR="00762612">
        <w:rPr>
          <w:sz w:val="20"/>
          <w:szCs w:val="20"/>
        </w:rPr>
        <w:t>.</w:t>
      </w:r>
    </w:p>
    <w:sectPr w:rsidR="009C1B48" w:rsidSect="00DF641D">
      <w:pgSz w:w="15840" w:h="12240" w:orient="landscape"/>
      <w:pgMar w:top="794" w:right="680" w:bottom="794"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1D"/>
    <w:rsid w:val="0039617A"/>
    <w:rsid w:val="0053580E"/>
    <w:rsid w:val="00687615"/>
    <w:rsid w:val="006F2770"/>
    <w:rsid w:val="00761E3F"/>
    <w:rsid w:val="00762612"/>
    <w:rsid w:val="008C2992"/>
    <w:rsid w:val="009C1B48"/>
    <w:rsid w:val="00B95EC2"/>
    <w:rsid w:val="00BC011C"/>
    <w:rsid w:val="00C3371F"/>
    <w:rsid w:val="00CD0FE0"/>
    <w:rsid w:val="00DF641D"/>
    <w:rsid w:val="00E81965"/>
    <w:rsid w:val="00F0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2E5B"/>
  <w15:chartTrackingRefBased/>
  <w15:docId w15:val="{4DC8E74F-3188-40BC-8DA9-E90F5AE6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4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F641D"/>
  </w:style>
  <w:style w:type="paragraph" w:styleId="BalloonText">
    <w:name w:val="Balloon Text"/>
    <w:basedOn w:val="Normal"/>
    <w:link w:val="BalloonTextChar"/>
    <w:uiPriority w:val="99"/>
    <w:semiHidden/>
    <w:unhideWhenUsed/>
    <w:rsid w:val="00BC0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1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Floyd</dc:creator>
  <cp:keywords/>
  <dc:description/>
  <cp:lastModifiedBy>Abigail Pugh</cp:lastModifiedBy>
  <cp:revision>2</cp:revision>
  <dcterms:created xsi:type="dcterms:W3CDTF">2018-06-27T12:15:00Z</dcterms:created>
  <dcterms:modified xsi:type="dcterms:W3CDTF">2018-06-27T12:15:00Z</dcterms:modified>
</cp:coreProperties>
</file>