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09"/>
        <w:gridCol w:w="1984"/>
        <w:gridCol w:w="1985"/>
        <w:gridCol w:w="2505"/>
        <w:gridCol w:w="96"/>
        <w:gridCol w:w="62"/>
      </w:tblGrid>
      <w:tr w:rsidR="001501B4" w:rsidRPr="001501B4" w14:paraId="235FD139" w14:textId="77777777" w:rsidTr="002047C3">
        <w:trPr>
          <w:gridAfter w:val="1"/>
          <w:wAfter w:w="62" w:type="dxa"/>
          <w:trHeight w:val="71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184CD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  <w:tc>
          <w:tcPr>
            <w:tcW w:w="1037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483D2E" w14:textId="05AB87A6" w:rsidR="001501B4" w:rsidRPr="001501B4" w:rsidRDefault="001501B4" w:rsidP="00122DFA">
            <w:pPr>
              <w:tabs>
                <w:tab w:val="left" w:pos="3320"/>
              </w:tabs>
              <w:spacing w:line="480" w:lineRule="auto"/>
              <w:ind w:rightChars="55" w:right="132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 Supplemental Table 1. Characteristics of the non-, 2-h, and pr</w:t>
            </w:r>
            <w:bookmarkStart w:id="0" w:name="_GoBack"/>
            <w:bookmarkEnd w:id="0"/>
            <w:r w:rsidRPr="001501B4">
              <w:rPr>
                <w:rFonts w:ascii="Times New Roman" w:eastAsia="Yu Mincho" w:hAnsi="Times New Roman" w:cs="Times New Roman"/>
                <w:color w:val="000000"/>
              </w:rPr>
              <w:t>olonged PMX</w:t>
            </w:r>
            <w:r w:rsidR="00122DFA">
              <w:rPr>
                <w:rFonts w:ascii="Times New Roman" w:eastAsia="Yu Mincho" w:hAnsi="Times New Roman" w:cs="Times New Roman"/>
                <w:color w:val="000000"/>
              </w:rPr>
              <w:t>-HP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groups</w:t>
            </w:r>
          </w:p>
        </w:tc>
      </w:tr>
      <w:tr w:rsidR="001501B4" w:rsidRPr="001501B4" w14:paraId="7E4938EE" w14:textId="77777777" w:rsidTr="002047C3">
        <w:trPr>
          <w:gridBefore w:val="1"/>
          <w:wBefore w:w="20" w:type="dxa"/>
          <w:trHeight w:val="874"/>
        </w:trPr>
        <w:tc>
          <w:tcPr>
            <w:tcW w:w="380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DEA446F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 </w:t>
            </w:r>
          </w:p>
          <w:p w14:paraId="0F50302B" w14:textId="77777777" w:rsidR="001501B4" w:rsidRPr="001501B4" w:rsidRDefault="001501B4" w:rsidP="00E736DF">
            <w:pPr>
              <w:spacing w:line="480" w:lineRule="auto"/>
              <w:rPr>
                <w:rFonts w:ascii="Times New Roman" w:eastAsia="Yu Mincho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12548CEF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Non-PMX group</w:t>
            </w:r>
          </w:p>
          <w:p w14:paraId="50AF5FD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(n = 76)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FCFC6B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2-h PMX group</w:t>
            </w:r>
          </w:p>
          <w:p w14:paraId="6E6C86F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(n = 22)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48363F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Prolonged PMX group</w:t>
            </w:r>
          </w:p>
          <w:p w14:paraId="4F9EBC4B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(n = 14)</w:t>
            </w:r>
          </w:p>
        </w:tc>
        <w:tc>
          <w:tcPr>
            <w:tcW w:w="15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17AA609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4378CDC0" w14:textId="77777777" w:rsidTr="002047C3">
        <w:trPr>
          <w:gridBefore w:val="1"/>
          <w:wBefore w:w="20" w:type="dxa"/>
          <w:trHeight w:val="236"/>
        </w:trPr>
        <w:tc>
          <w:tcPr>
            <w:tcW w:w="38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A19F0C1" w14:textId="6322295F" w:rsidR="001501B4" w:rsidRPr="001501B4" w:rsidRDefault="00E736DF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>
              <w:rPr>
                <w:rFonts w:ascii="Times New Roman" w:eastAsia="Yu Mincho" w:hAnsi="Times New Roman" w:cs="Times New Roman"/>
                <w:color w:val="000000"/>
              </w:rPr>
              <w:t>Age</w:t>
            </w:r>
            <w:r w:rsidR="001501B4"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Yu Mincho" w:hAnsi="Times New Roman" w:cs="Times New Roman"/>
                <w:color w:val="000000"/>
              </w:rPr>
              <w:t>(</w:t>
            </w:r>
            <w:r w:rsidR="001501B4" w:rsidRPr="001501B4">
              <w:rPr>
                <w:rFonts w:ascii="Times New Roman" w:eastAsia="Yu Mincho" w:hAnsi="Times New Roman" w:cs="Times New Roman"/>
                <w:color w:val="000000"/>
              </w:rPr>
              <w:t>years</w:t>
            </w:r>
            <w:r>
              <w:rPr>
                <w:rFonts w:ascii="Times New Roman" w:eastAsia="Yu Mincho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14:paraId="3036045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68.9 </w:t>
            </w:r>
            <w:r w:rsidRPr="001501B4">
              <w:rPr>
                <w:rFonts w:ascii="Times New Roman" w:eastAsia="Yu Mincho" w:hAnsi="Times New Roman" w:cs="Times New Roman"/>
              </w:rPr>
              <w:t>± 14.3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3514A7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73.8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/>
              </w:rPr>
              <w:t xml:space="preserve">±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14.0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A3387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74.8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/>
              </w:rPr>
              <w:t xml:space="preserve">±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8.6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10B9D04D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1CA4FB4B" w14:textId="77777777" w:rsidTr="002047C3">
        <w:trPr>
          <w:gridBefore w:val="1"/>
          <w:wBefore w:w="20" w:type="dxa"/>
          <w:trHeight w:val="222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C7A1170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Male sex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1FBA6D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49 (64.5)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E3C65F0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13 (59.1)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1F8E3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7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(50.0)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BA0A349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3584A639" w14:textId="77777777" w:rsidTr="002047C3">
        <w:trPr>
          <w:gridBefore w:val="1"/>
          <w:wBefore w:w="20" w:type="dxa"/>
          <w:trHeight w:val="97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492293" w14:textId="3E82D804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APACHE II score </w:t>
            </w:r>
            <w:commentRangeStart w:id="1"/>
            <w:r w:rsidR="00E736DF" w:rsidRPr="00161D70">
              <w:t>†</w:t>
            </w:r>
            <w:commentRangeEnd w:id="1"/>
            <w:r w:rsidR="00E736DF" w:rsidRPr="00161D70">
              <w:rPr>
                <w:rStyle w:val="a6"/>
                <w:vanish/>
              </w:rPr>
              <w:commentReference w:id="1"/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0C008F8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26.5 (20–31.8)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224C1F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24.5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(1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9–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29.3)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325849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22.5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(1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8–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29.5)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171CAF9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2DB07418" w14:textId="77777777" w:rsidTr="002047C3">
        <w:trPr>
          <w:gridBefore w:val="1"/>
          <w:wBefore w:w="20" w:type="dxa"/>
          <w:trHeight w:val="97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CE9A49C" w14:textId="555E009E" w:rsidR="001501B4" w:rsidRPr="001501B4" w:rsidRDefault="00E736DF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>
              <w:rPr>
                <w:rFonts w:ascii="Times New Roman" w:eastAsia="Yu Mincho" w:hAnsi="Times New Roman" w:cs="Times New Roman"/>
                <w:color w:val="000000"/>
              </w:rPr>
              <w:t>Lactate</w:t>
            </w:r>
            <w:r w:rsidR="001501B4"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Yu Mincho" w:hAnsi="Times New Roman" w:cs="Times New Roman"/>
                <w:color w:val="000000"/>
              </w:rPr>
              <w:t>(</w:t>
            </w:r>
            <w:r w:rsidR="001501B4" w:rsidRPr="001501B4">
              <w:rPr>
                <w:rFonts w:ascii="Times New Roman" w:eastAsia="Yu Mincho" w:hAnsi="Times New Roman" w:cs="Times New Roman"/>
                <w:color w:val="000000"/>
              </w:rPr>
              <w:t>mmol/L</w:t>
            </w:r>
            <w:r>
              <w:rPr>
                <w:rFonts w:ascii="Times New Roman" w:eastAsia="Yu Mincho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A5CCE95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4.6 (3.4–7.3)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056E2923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5.1 (3.8–8.3)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E2CD29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3.8 (2.8–5.5)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4898EC5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79CA70B9" w14:textId="77777777" w:rsidTr="002047C3">
        <w:trPr>
          <w:gridBefore w:val="1"/>
          <w:wBefore w:w="20" w:type="dxa"/>
          <w:trHeight w:val="97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5627B0F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Treatment using dexmedetomidine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E17CD1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42 (55.3)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4223884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13 (59.1)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82FE9F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6 (42.9)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1130020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638A9E51" w14:textId="77777777" w:rsidTr="002047C3">
        <w:trPr>
          <w:gridBefore w:val="1"/>
          <w:wBefore w:w="20" w:type="dxa"/>
          <w:trHeight w:val="85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537386" w14:textId="1BDFED93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Day 1 SOFA score </w:t>
            </w:r>
            <w:r w:rsidR="00E736DF" w:rsidRPr="00161D70">
              <w:t>‡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A83C182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10 (8–12)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BA36C4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10.5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8–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12)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7E71C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11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7–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11.5)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8E0CFA3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746BE146" w14:textId="77777777" w:rsidTr="002047C3">
        <w:trPr>
          <w:gridBefore w:val="1"/>
          <w:wBefore w:w="20" w:type="dxa"/>
          <w:trHeight w:val="85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E87E3D" w14:textId="5E4B3A00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Day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 C-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r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eactive 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p</w:t>
            </w:r>
            <w:r w:rsidR="00E736DF">
              <w:rPr>
                <w:rFonts w:ascii="Times New Roman" w:eastAsia="Yu Mincho" w:hAnsi="Times New Roman" w:cs="Times New Roman" w:hint="eastAsia"/>
                <w:color w:val="000000"/>
              </w:rPr>
              <w:t>rotein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(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mg/dL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D3FCAD2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14 (6.1–25.6)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35499E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6.5 (2.2–21.4)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FA114ED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17.5 (2.2–31.9)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21AC920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28B829C4" w14:textId="77777777" w:rsidTr="002047C3">
        <w:trPr>
          <w:gridBefore w:val="1"/>
          <w:wBefore w:w="20" w:type="dxa"/>
          <w:trHeight w:val="314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AE317D" w14:textId="4D1F29A3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Day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 proca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l</w:t>
            </w:r>
            <w:r w:rsidR="00E736DF">
              <w:rPr>
                <w:rFonts w:ascii="Times New Roman" w:eastAsia="Yu Mincho" w:hAnsi="Times New Roman" w:cs="Times New Roman" w:hint="eastAsia"/>
                <w:color w:val="000000"/>
              </w:rPr>
              <w:t>citonin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(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ng/mL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AAD7A60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19.1 (3.5–92.6)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C3C994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44.9 (28.8–97.5)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BD121EB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45.4 (22.2–154.0)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10F082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06994B11" w14:textId="77777777" w:rsidTr="002047C3">
        <w:trPr>
          <w:gridBefore w:val="1"/>
          <w:wBefore w:w="20" w:type="dxa"/>
          <w:trHeight w:val="167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C271221" w14:textId="2A369690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D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uration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 xml:space="preserve"> of PMX-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HP per session 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(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h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1EF523B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5327DE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.0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(2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.0–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.0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D149993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5.5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(3.7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5–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12.5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2A547F02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3E850A7F" w14:textId="77777777" w:rsidTr="002047C3">
        <w:trPr>
          <w:gridBefore w:val="1"/>
          <w:wBefore w:w="20" w:type="dxa"/>
          <w:trHeight w:val="209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1E18EC3" w14:textId="715FF576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PMX</w:t>
            </w:r>
            <w:r w:rsidR="00E736DF">
              <w:rPr>
                <w:rFonts w:ascii="Times New Roman" w:eastAsia="Yu Mincho" w:hAnsi="Times New Roman" w:cs="Times New Roman"/>
                <w:color w:val="000000"/>
              </w:rPr>
              <w:t>-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HP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 on the 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second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 day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52EA28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1E377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14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(63.6)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438875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3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(21.4)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04D6C660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1E4DF5A2" w14:textId="77777777" w:rsidTr="002047C3">
        <w:trPr>
          <w:gridBefore w:val="1"/>
          <w:wBefore w:w="20" w:type="dxa"/>
          <w:trHeight w:val="346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0F077C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Renal replacement therapy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42F5492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29 (38.2)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6CC51F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11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(50)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720E9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10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(71.4)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DA6426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7BA41951" w14:textId="77777777" w:rsidTr="002047C3">
        <w:trPr>
          <w:gridBefore w:val="1"/>
          <w:wBefore w:w="20" w:type="dxa"/>
          <w:trHeight w:val="1299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FD512B5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Site of infection</w:t>
            </w:r>
          </w:p>
          <w:p w14:paraId="1C3B6ED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　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Abdomen</w:t>
            </w:r>
          </w:p>
          <w:p w14:paraId="2F17F3B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lastRenderedPageBreak/>
              <w:t xml:space="preserve">　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Thorax</w:t>
            </w:r>
          </w:p>
          <w:p w14:paraId="44ED8381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　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Others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6DAC567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</w:p>
          <w:p w14:paraId="71D3DC9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29 (38.2)</w:t>
            </w:r>
          </w:p>
          <w:p w14:paraId="67C203A3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lastRenderedPageBreak/>
              <w:t>26 (34.2)</w:t>
            </w:r>
          </w:p>
          <w:p w14:paraId="19127762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21 (27.6)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47AA50B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</w:p>
          <w:p w14:paraId="201A8AE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14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(63.6)</w:t>
            </w:r>
          </w:p>
          <w:p w14:paraId="354FE67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lastRenderedPageBreak/>
              <w:t>2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(9.1)</w:t>
            </w:r>
          </w:p>
          <w:p w14:paraId="5549F4B8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6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(27.3)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13E103D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</w:p>
          <w:p w14:paraId="15019C0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9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(64.3)</w:t>
            </w:r>
          </w:p>
          <w:p w14:paraId="79CB5DE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lastRenderedPageBreak/>
              <w:t>1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(7.1)</w:t>
            </w:r>
          </w:p>
          <w:p w14:paraId="09DF65C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4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(28.6)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A514A81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46B02C11" w14:textId="77777777" w:rsidTr="002047C3">
        <w:trPr>
          <w:gridBefore w:val="1"/>
          <w:wBefore w:w="20" w:type="dxa"/>
          <w:trHeight w:val="1047"/>
        </w:trPr>
        <w:tc>
          <w:tcPr>
            <w:tcW w:w="38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6C2C30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lastRenderedPageBreak/>
              <w:t>Vasopressors</w:t>
            </w:r>
          </w:p>
          <w:p w14:paraId="0DE81FB5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  Noradrenalin</w:t>
            </w:r>
          </w:p>
          <w:p w14:paraId="1D15164F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 xml:space="preserve">  Vasopressin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D0586F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</w:p>
          <w:p w14:paraId="6817FA1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71 (93.4)</w:t>
            </w:r>
          </w:p>
          <w:p w14:paraId="7AE212F4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10 (13.2)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DFE093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</w:p>
          <w:p w14:paraId="25B52089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22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(100)</w:t>
            </w:r>
          </w:p>
          <w:p w14:paraId="30ADE42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(22.7)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A16E22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</w:p>
          <w:p w14:paraId="7AEF6D53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14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(100)</w:t>
            </w:r>
          </w:p>
          <w:p w14:paraId="4E4203F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5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(35.7)</w:t>
            </w:r>
          </w:p>
        </w:tc>
        <w:tc>
          <w:tcPr>
            <w:tcW w:w="15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59EC31E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  <w:tr w:rsidR="001501B4" w:rsidRPr="001501B4" w14:paraId="140F39E2" w14:textId="77777777" w:rsidTr="002047C3">
        <w:trPr>
          <w:gridBefore w:val="1"/>
          <w:wBefore w:w="20" w:type="dxa"/>
          <w:trHeight w:val="669"/>
        </w:trPr>
        <w:tc>
          <w:tcPr>
            <w:tcW w:w="3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75DAB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Steroid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>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CF14CA1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/>
                <w:color w:val="000000"/>
              </w:rPr>
              <w:t>52 (68.4)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5785A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19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(86.4)</w:t>
            </w:r>
          </w:p>
        </w:tc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719EC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jc w:val="center"/>
              <w:rPr>
                <w:rFonts w:ascii="Times New Roman" w:eastAsia="Yu Mincho" w:hAnsi="Times New Roman" w:cs="Times New Roman"/>
                <w:color w:val="000000"/>
              </w:rPr>
            </w:pP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11</w:t>
            </w:r>
            <w:r w:rsidRPr="001501B4">
              <w:rPr>
                <w:rFonts w:ascii="Times New Roman" w:eastAsia="Yu Mincho" w:hAnsi="Times New Roman" w:cs="Times New Roman"/>
                <w:color w:val="000000"/>
              </w:rPr>
              <w:t xml:space="preserve"> </w:t>
            </w:r>
            <w:r w:rsidRPr="001501B4">
              <w:rPr>
                <w:rFonts w:ascii="Times New Roman" w:eastAsia="Yu Mincho" w:hAnsi="Times New Roman" w:cs="Times New Roman" w:hint="eastAsia"/>
                <w:color w:val="000000"/>
              </w:rPr>
              <w:t>(78.6)</w:t>
            </w:r>
          </w:p>
        </w:tc>
        <w:tc>
          <w:tcPr>
            <w:tcW w:w="1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456A24B6" w14:textId="77777777" w:rsidR="001501B4" w:rsidRPr="001501B4" w:rsidRDefault="001501B4" w:rsidP="00E736DF">
            <w:pPr>
              <w:tabs>
                <w:tab w:val="left" w:pos="3320"/>
              </w:tabs>
              <w:spacing w:line="480" w:lineRule="auto"/>
              <w:rPr>
                <w:rFonts w:ascii="Times New Roman" w:eastAsia="Yu Mincho" w:hAnsi="Times New Roman" w:cs="Times New Roman"/>
                <w:color w:val="000000"/>
              </w:rPr>
            </w:pPr>
          </w:p>
        </w:tc>
      </w:tr>
    </w:tbl>
    <w:p w14:paraId="272C3C77" w14:textId="64DD4819" w:rsidR="001501B4" w:rsidRPr="001501B4" w:rsidRDefault="001501B4" w:rsidP="00E736DF">
      <w:pPr>
        <w:tabs>
          <w:tab w:val="left" w:pos="3320"/>
        </w:tabs>
        <w:spacing w:line="480" w:lineRule="auto"/>
        <w:ind w:rightChars="-475" w:right="-1140"/>
        <w:rPr>
          <w:rFonts w:ascii="Times New Roman" w:eastAsia="Yu Mincho" w:hAnsi="Times New Roman" w:cs="Times New Roman"/>
          <w:color w:val="000000"/>
        </w:rPr>
      </w:pPr>
      <w:r w:rsidRPr="001501B4">
        <w:rPr>
          <w:rFonts w:ascii="Times New Roman" w:eastAsia="Yu Mincho" w:hAnsi="Times New Roman" w:cs="Times New Roman"/>
          <w:color w:val="000000"/>
        </w:rPr>
        <w:t>Data are reported as mean ± standard deviation, median (interquartile range), or number (%). APACHE II: Acute Physiology and Chronic Health Evaluation II, SOFA: Sequential</w:t>
      </w:r>
      <w:r w:rsidR="00E736DF">
        <w:rPr>
          <w:rFonts w:ascii="Times New Roman" w:eastAsia="Yu Mincho" w:hAnsi="Times New Roman" w:cs="Times New Roman"/>
          <w:color w:val="000000"/>
        </w:rPr>
        <w:t xml:space="preserve"> Organ Failure Assessment, PMX-</w:t>
      </w:r>
      <w:r w:rsidRPr="001501B4">
        <w:rPr>
          <w:rFonts w:ascii="Times New Roman" w:eastAsia="Yu Mincho" w:hAnsi="Times New Roman" w:cs="Times New Roman"/>
          <w:color w:val="000000"/>
        </w:rPr>
        <w:t>HP: hemoperfusion with polymyxin B-immobilized fiber column</w:t>
      </w:r>
    </w:p>
    <w:p w14:paraId="6E58B951" w14:textId="77777777" w:rsidR="00E736DF" w:rsidRPr="00161D70" w:rsidRDefault="00E736DF" w:rsidP="00E736DF">
      <w:pPr>
        <w:spacing w:line="480" w:lineRule="auto"/>
        <w:ind w:rightChars="-357" w:right="-857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t>† The APACHE II score ranges from 0 to 71, with higher scores indicating more severe disease.</w:t>
      </w:r>
    </w:p>
    <w:p w14:paraId="5CCA5448" w14:textId="77777777" w:rsidR="00E736DF" w:rsidRPr="00161D70" w:rsidRDefault="00E736DF" w:rsidP="00E736DF">
      <w:pPr>
        <w:spacing w:line="480" w:lineRule="auto"/>
        <w:rPr>
          <w:rFonts w:ascii="Times New Roman" w:hAnsi="Times New Roman" w:cs="Times New Roman"/>
        </w:rPr>
      </w:pPr>
      <w:r w:rsidRPr="00161D70">
        <w:t>‡</w:t>
      </w:r>
      <w:r w:rsidRPr="00161D70">
        <w:rPr>
          <w:rFonts w:ascii="Times New Roman" w:hAnsi="Times New Roman" w:cs="Times New Roman"/>
        </w:rPr>
        <w:t>The SOFA score ranges from 0 to 24, with higher scores indicating more severe disease.</w:t>
      </w:r>
    </w:p>
    <w:p w14:paraId="67185EE5" w14:textId="77777777" w:rsidR="00B963EE" w:rsidRPr="00E736DF" w:rsidRDefault="00F477A2" w:rsidP="00E736DF">
      <w:pPr>
        <w:spacing w:line="480" w:lineRule="auto"/>
      </w:pPr>
    </w:p>
    <w:sectPr w:rsidR="00B963EE" w:rsidRPr="00E736DF" w:rsidSect="00DB72D5">
      <w:footerReference w:type="default" r:id="rId8"/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3CA5D989" w14:textId="77777777" w:rsidR="00E736DF" w:rsidRPr="00A852C0" w:rsidRDefault="00E736DF" w:rsidP="00E736DF">
      <w:pPr>
        <w:pStyle w:val="a7"/>
        <w:rPr>
          <w:rFonts w:ascii="Times New Roman" w:hAnsi="Times New Roman"/>
        </w:rPr>
      </w:pPr>
      <w:r>
        <w:rPr>
          <w:rStyle w:val="a6"/>
        </w:rPr>
        <w:annotationRef/>
      </w:r>
      <w:r w:rsidRPr="00161D70">
        <w:rPr>
          <w:rFonts w:ascii="Times New Roman" w:hAnsi="Times New Roman"/>
        </w:rPr>
        <w:t>As per the journal’s guidelines, asterisks (*) should only be used to indicate p-values. Therefore, I have changed this notation.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5D98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D765" w14:textId="77777777" w:rsidR="00F477A2" w:rsidRDefault="00F477A2">
      <w:r>
        <w:separator/>
      </w:r>
    </w:p>
  </w:endnote>
  <w:endnote w:type="continuationSeparator" w:id="0">
    <w:p w14:paraId="29C289D4" w14:textId="77777777" w:rsidR="00F477A2" w:rsidRDefault="00F4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84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41D9D" w14:textId="77777777" w:rsidR="0000106D" w:rsidRDefault="001501B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0E395" w14:textId="77777777" w:rsidR="0000106D" w:rsidRDefault="00F477A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30A5" w14:textId="77777777" w:rsidR="00F477A2" w:rsidRDefault="00F477A2">
      <w:r>
        <w:separator/>
      </w:r>
    </w:p>
  </w:footnote>
  <w:footnote w:type="continuationSeparator" w:id="0">
    <w:p w14:paraId="57AC3012" w14:textId="77777777" w:rsidR="00F477A2" w:rsidRDefault="00F47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B4"/>
    <w:rsid w:val="00122DFA"/>
    <w:rsid w:val="001501B4"/>
    <w:rsid w:val="002309BF"/>
    <w:rsid w:val="004F61AA"/>
    <w:rsid w:val="005F39FD"/>
    <w:rsid w:val="00BB1DB5"/>
    <w:rsid w:val="00E736DF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705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0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1501B4"/>
  </w:style>
  <w:style w:type="character" w:styleId="a5">
    <w:name w:val="line number"/>
    <w:basedOn w:val="a0"/>
    <w:uiPriority w:val="99"/>
    <w:semiHidden/>
    <w:unhideWhenUsed/>
    <w:rsid w:val="001501B4"/>
  </w:style>
  <w:style w:type="character" w:styleId="a6">
    <w:name w:val="annotation reference"/>
    <w:basedOn w:val="a0"/>
    <w:uiPriority w:val="99"/>
    <w:semiHidden/>
    <w:unhideWhenUsed/>
    <w:rsid w:val="00E736D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736D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E736DF"/>
  </w:style>
  <w:style w:type="paragraph" w:styleId="a9">
    <w:name w:val="Balloon Text"/>
    <w:basedOn w:val="a"/>
    <w:link w:val="aa"/>
    <w:uiPriority w:val="99"/>
    <w:semiHidden/>
    <w:unhideWhenUsed/>
    <w:rsid w:val="00E736D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6D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1323</Characters>
  <Application>Microsoft Macintosh Word</Application>
  <DocSecurity>0</DocSecurity>
  <Lines>11</Lines>
  <Paragraphs>3</Paragraphs>
  <ScaleCrop>false</ScaleCrop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川副友</dc:creator>
  <cp:keywords/>
  <dc:description/>
  <cp:lastModifiedBy>川副友</cp:lastModifiedBy>
  <cp:revision>3</cp:revision>
  <dcterms:created xsi:type="dcterms:W3CDTF">2017-09-09T21:43:00Z</dcterms:created>
  <dcterms:modified xsi:type="dcterms:W3CDTF">2018-01-20T05:53:00Z</dcterms:modified>
</cp:coreProperties>
</file>