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3E7B7" w14:textId="24A8EF4A" w:rsidR="00E86DF9" w:rsidRDefault="00C854D8" w:rsidP="00C854D8">
      <w:pPr>
        <w:pStyle w:val="Heading2"/>
      </w:pPr>
      <w:bookmarkStart w:id="0" w:name="_Hlk507097879"/>
      <w:bookmarkStart w:id="1" w:name="_GoBack"/>
      <w:bookmarkEnd w:id="0"/>
      <w:bookmarkEnd w:id="1"/>
      <w:r>
        <w:t xml:space="preserve">1. </w:t>
      </w:r>
      <w:r w:rsidRPr="00C854D8">
        <w:t>Baseline removal and band estimation</w:t>
      </w:r>
    </w:p>
    <w:p w14:paraId="7FF0A4FF" w14:textId="4DF6D6E7" w:rsidR="00C854D8" w:rsidRDefault="00C854D8" w:rsidP="00C854D8"/>
    <w:p w14:paraId="119F36F6" w14:textId="3BBEC272" w:rsidR="00C854D8" w:rsidRDefault="00C854D8" w:rsidP="00C854D8">
      <w:pPr>
        <w:pStyle w:val="Heading3"/>
      </w:pPr>
      <w:r>
        <w:rPr>
          <w:noProof/>
        </w:rPr>
        <w:drawing>
          <wp:anchor distT="0" distB="0" distL="114300" distR="114300" simplePos="0" relativeHeight="251658240" behindDoc="0" locked="0" layoutInCell="1" allowOverlap="1" wp14:anchorId="445A4539" wp14:editId="60EF859D">
            <wp:simplePos x="0" y="0"/>
            <wp:positionH relativeFrom="column">
              <wp:posOffset>822960</wp:posOffset>
            </wp:positionH>
            <wp:positionV relativeFrom="page">
              <wp:posOffset>1645920</wp:posOffset>
            </wp:positionV>
            <wp:extent cx="4221480" cy="316611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1480" cy="3166110"/>
                    </a:xfrm>
                    <a:prstGeom prst="rect">
                      <a:avLst/>
                    </a:prstGeom>
                    <a:noFill/>
                    <a:ln>
                      <a:noFill/>
                    </a:ln>
                  </pic:spPr>
                </pic:pic>
              </a:graphicData>
            </a:graphic>
          </wp:anchor>
        </w:drawing>
      </w:r>
      <w:r>
        <w:t>1.1 Endmember spectra</w:t>
      </w:r>
    </w:p>
    <w:p w14:paraId="3525DEEA" w14:textId="20365F37" w:rsidR="00C854D8" w:rsidRDefault="00C854D8" w:rsidP="00C854D8">
      <w:r>
        <w:rPr>
          <w:noProof/>
        </w:rPr>
        <w:drawing>
          <wp:anchor distT="0" distB="0" distL="114300" distR="114300" simplePos="0" relativeHeight="251659264" behindDoc="0" locked="0" layoutInCell="1" allowOverlap="1" wp14:anchorId="0A165B88" wp14:editId="1EDB3EE5">
            <wp:simplePos x="0" y="0"/>
            <wp:positionH relativeFrom="column">
              <wp:posOffset>868680</wp:posOffset>
            </wp:positionH>
            <wp:positionV relativeFrom="page">
              <wp:posOffset>5043805</wp:posOffset>
            </wp:positionV>
            <wp:extent cx="4025900" cy="30194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590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A61F4" w14:textId="647C759C" w:rsidR="00B4623E" w:rsidRDefault="00075353" w:rsidP="00C854D8">
      <w:r>
        <w:t xml:space="preserve">Gypsum has multiple absorption bands in the 300-2500nm </w:t>
      </w:r>
      <w:r w:rsidR="001C4F94">
        <w:t>wavelength range,</w:t>
      </w:r>
      <w:r>
        <w:t xml:space="preserve"> making it easily </w:t>
      </w:r>
      <w:r w:rsidR="00D85FB6">
        <w:t>identifiable (Hunt 1971, Clark 1999)</w:t>
      </w:r>
      <w:r>
        <w:t>. The spectral frequencies are associated with the vibrational modes of the water molecules in the mineral structure.</w:t>
      </w:r>
      <w:r w:rsidR="00D85FB6">
        <w:t xml:space="preserve"> </w:t>
      </w:r>
      <w:r w:rsidR="00922A5D">
        <w:t>Similarly</w:t>
      </w:r>
      <w:r w:rsidR="00D85FB6">
        <w:t xml:space="preserve">, </w:t>
      </w:r>
      <w:r w:rsidR="00873331">
        <w:t xml:space="preserve">the </w:t>
      </w:r>
      <w:r w:rsidR="00D85FB6">
        <w:t>molecular vibration of water (O-H bonds vibrations) leads to absorption dips in the reflectance spectra of halite. However, there are noted differences between the two spectra making the distinction between the two minerals possible. To</w:t>
      </w:r>
      <w:r w:rsidR="00B4623E">
        <w:t xml:space="preserve"> </w:t>
      </w:r>
      <w:r w:rsidR="00B4623E">
        <w:lastRenderedPageBreak/>
        <w:t xml:space="preserve">determine the band position </w:t>
      </w:r>
      <w:r w:rsidR="00D92211">
        <w:rPr>
          <w:noProof/>
        </w:rPr>
        <w:drawing>
          <wp:anchor distT="0" distB="0" distL="114300" distR="114300" simplePos="0" relativeHeight="251660288" behindDoc="0" locked="0" layoutInCell="1" allowOverlap="1" wp14:anchorId="446C4E4B" wp14:editId="79DE2832">
            <wp:simplePos x="0" y="0"/>
            <wp:positionH relativeFrom="column">
              <wp:posOffset>563880</wp:posOffset>
            </wp:positionH>
            <wp:positionV relativeFrom="page">
              <wp:posOffset>1386840</wp:posOffset>
            </wp:positionV>
            <wp:extent cx="4732020" cy="35490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2020" cy="354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23E">
        <w:t xml:space="preserve">we extracted the continuum spectra by iteratively polynomial fitting of the reflectance data. </w:t>
      </w:r>
      <w:r w:rsidR="00CA7473">
        <w:t xml:space="preserve">This procedure helps in removing the shifts in the position of the bands due to the different slopes of continuum baseline spectra </w:t>
      </w:r>
      <w:r w:rsidR="00873331">
        <w:t>of the minerals</w:t>
      </w:r>
      <w:r w:rsidR="00CA7473">
        <w:t xml:space="preserve">. </w:t>
      </w:r>
    </w:p>
    <w:p w14:paraId="1A501EFD" w14:textId="74DAC7B2" w:rsidR="00C854D8" w:rsidRDefault="00957C8D" w:rsidP="00C854D8">
      <w:r>
        <w:rPr>
          <w:noProof/>
        </w:rPr>
        <w:drawing>
          <wp:anchor distT="0" distB="0" distL="114300" distR="114300" simplePos="0" relativeHeight="251661312" behindDoc="0" locked="0" layoutInCell="1" allowOverlap="1" wp14:anchorId="2B1BF965" wp14:editId="2461E462">
            <wp:simplePos x="0" y="0"/>
            <wp:positionH relativeFrom="column">
              <wp:posOffset>853440</wp:posOffset>
            </wp:positionH>
            <wp:positionV relativeFrom="page">
              <wp:posOffset>6088380</wp:posOffset>
            </wp:positionV>
            <wp:extent cx="4358640" cy="3268980"/>
            <wp:effectExtent l="0" t="0" r="381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anchor>
        </w:drawing>
      </w:r>
      <w:r w:rsidR="00123B2C">
        <w:t>With the b</w:t>
      </w:r>
      <w:r w:rsidR="00B4623E">
        <w:t>aseline removed</w:t>
      </w:r>
      <w:r w:rsidR="00123B2C">
        <w:t>, the</w:t>
      </w:r>
      <w:r w:rsidR="00B4623E">
        <w:t xml:space="preserve"> spectra</w:t>
      </w:r>
      <w:r w:rsidR="00D92211">
        <w:t xml:space="preserve"> </w:t>
      </w:r>
      <w:proofErr w:type="gramStart"/>
      <w:r w:rsidR="00D92211">
        <w:t>shows</w:t>
      </w:r>
      <w:proofErr w:type="gramEnd"/>
      <w:r w:rsidR="00D92211">
        <w:t xml:space="preserve"> that Halite and Gypsum have common bands at 1450 nm, 1950 nm and 2200nm. However, for the </w:t>
      </w:r>
      <w:r>
        <w:t>gypsum the</w:t>
      </w:r>
      <w:r w:rsidR="00D92211">
        <w:t xml:space="preserve"> 1450</w:t>
      </w:r>
      <w:r w:rsidR="00CA7473">
        <w:t>, 1950 and 22</w:t>
      </w:r>
      <w:r w:rsidR="005F77A1">
        <w:t>00</w:t>
      </w:r>
      <w:r w:rsidR="00D92211">
        <w:t xml:space="preserve"> band</w:t>
      </w:r>
      <w:r w:rsidR="005F77A1">
        <w:t>s</w:t>
      </w:r>
      <w:r w:rsidR="00D92211">
        <w:t xml:space="preserve"> </w:t>
      </w:r>
      <w:r w:rsidR="005F77A1">
        <w:t>consist</w:t>
      </w:r>
      <w:r w:rsidR="00D92211">
        <w:t xml:space="preserve"> of </w:t>
      </w:r>
      <w:r w:rsidR="005F77A1">
        <w:t xml:space="preserve">up to </w:t>
      </w:r>
      <w:r w:rsidR="00D92211">
        <w:t>tree</w:t>
      </w:r>
      <w:r w:rsidR="005F77A1">
        <w:t xml:space="preserve"> overlapped</w:t>
      </w:r>
      <w:r w:rsidR="00D92211">
        <w:t xml:space="preserve"> bands</w:t>
      </w:r>
      <w:r w:rsidR="005F77A1">
        <w:t xml:space="preserve">. </w:t>
      </w:r>
      <w:r>
        <w:t>In addition, gypsum has distinct absorption bands at 950nm, 1200nm and 1750nm.</w:t>
      </w:r>
    </w:p>
    <w:p w14:paraId="6DDAE418" w14:textId="22C54F97" w:rsidR="00CF191B" w:rsidRDefault="00957C8D" w:rsidP="00C854D8">
      <w:r>
        <w:rPr>
          <w:noProof/>
        </w:rPr>
        <w:lastRenderedPageBreak/>
        <w:drawing>
          <wp:anchor distT="0" distB="0" distL="114300" distR="114300" simplePos="0" relativeHeight="251662336" behindDoc="0" locked="0" layoutInCell="1" allowOverlap="1" wp14:anchorId="03A83313" wp14:editId="3D6572B8">
            <wp:simplePos x="0" y="0"/>
            <wp:positionH relativeFrom="column">
              <wp:posOffset>822960</wp:posOffset>
            </wp:positionH>
            <wp:positionV relativeFrom="page">
              <wp:posOffset>777240</wp:posOffset>
            </wp:positionV>
            <wp:extent cx="4267200" cy="3200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473">
        <w:t xml:space="preserve">The </w:t>
      </w:r>
      <w:proofErr w:type="spellStart"/>
      <w:r w:rsidR="00CA7473">
        <w:t>thee</w:t>
      </w:r>
      <w:proofErr w:type="spellEnd"/>
      <w:r w:rsidR="00CA7473">
        <w:t xml:space="preserve"> distinct peaks make the </w:t>
      </w:r>
      <w:r w:rsidR="00651591">
        <w:t xml:space="preserve">detection </w:t>
      </w:r>
      <w:r w:rsidR="00CA7473">
        <w:t>of the gypsum presence in the mixture</w:t>
      </w:r>
      <w:r w:rsidR="00D51BC1">
        <w:t>s</w:t>
      </w:r>
      <w:r w:rsidR="00CA7473">
        <w:t xml:space="preserve"> recognizable.</w:t>
      </w:r>
      <w:r w:rsidR="00D51BC1">
        <w:t xml:space="preserve"> </w:t>
      </w:r>
      <w:r w:rsidR="00CA7473">
        <w:t xml:space="preserve"> </w:t>
      </w:r>
      <w:r w:rsidR="00CF191B">
        <w:t>With the band depth</w:t>
      </w:r>
      <w:r w:rsidR="00651591">
        <w:t>s</w:t>
      </w:r>
      <w:r w:rsidR="00CF191B">
        <w:t xml:space="preserve"> depending on the gypsum concentration in the mixture. </w:t>
      </w:r>
    </w:p>
    <w:p w14:paraId="27353C79" w14:textId="644FF8B7" w:rsidR="00957C8D" w:rsidRDefault="00CF191B" w:rsidP="00C854D8">
      <w:r>
        <w:t>The absorption bands and the overall spectral shape of the reflectance are not depending only on the material composition but also on the material physical properties</w:t>
      </w:r>
      <w:r w:rsidR="00D51BC1">
        <w:t xml:space="preserve"> (grain size, shape, </w:t>
      </w:r>
      <w:proofErr w:type="spellStart"/>
      <w:r w:rsidR="00D51BC1">
        <w:t>etc</w:t>
      </w:r>
      <w:proofErr w:type="spellEnd"/>
      <w:r w:rsidR="00D51BC1">
        <w:t>)</w:t>
      </w:r>
    </w:p>
    <w:p w14:paraId="6B055E18" w14:textId="1FA6DD24" w:rsidR="00D51BC1" w:rsidRDefault="00D51BC1" w:rsidP="00C854D8">
      <w:r>
        <w:t>To “</w:t>
      </w:r>
      <w:proofErr w:type="spellStart"/>
      <w:r>
        <w:t>unmix</w:t>
      </w:r>
      <w:proofErr w:type="spellEnd"/>
      <w:r>
        <w:t xml:space="preserve">” the VIS-NIR reflectance spectra we use the </w:t>
      </w:r>
      <w:proofErr w:type="spellStart"/>
      <w:r>
        <w:t>Ha</w:t>
      </w:r>
      <w:r w:rsidR="00327960">
        <w:t>p</w:t>
      </w:r>
      <w:r>
        <w:t>ke</w:t>
      </w:r>
      <w:proofErr w:type="spellEnd"/>
      <w:r>
        <w:t xml:space="preserve"> radiative transfer model.</w:t>
      </w:r>
      <w:r w:rsidR="00CA254E">
        <w:t xml:space="preserve"> In the simplest model which assume i</w:t>
      </w:r>
      <w:r w:rsidR="00CA254E" w:rsidRPr="00CA254E">
        <w:t xml:space="preserve">sotropic </w:t>
      </w:r>
      <w:proofErr w:type="spellStart"/>
      <w:r w:rsidR="00CA254E" w:rsidRPr="00CA254E">
        <w:t>scatterers</w:t>
      </w:r>
      <w:proofErr w:type="spellEnd"/>
      <w:r w:rsidR="00CA254E" w:rsidRPr="00CA254E">
        <w:t xml:space="preserve"> </w:t>
      </w:r>
      <w:r w:rsidR="00D04A0B">
        <w:t xml:space="preserve">and </w:t>
      </w:r>
      <w:r w:rsidR="00D04A0B" w:rsidRPr="00CA254E">
        <w:t>no</w:t>
      </w:r>
      <w:r w:rsidR="00CA254E" w:rsidRPr="00CA254E">
        <w:t xml:space="preserve"> backscattering</w:t>
      </w:r>
      <w:r w:rsidR="00CA254E">
        <w:t>,</w:t>
      </w:r>
      <w:r w:rsidR="00CA254E" w:rsidRPr="00CA254E">
        <w:t xml:space="preserve"> </w:t>
      </w:r>
      <w:r w:rsidR="00CA254E">
        <w:t xml:space="preserve">the reflectance depends on the detection geometry and a single parameter, the single-scattering albedo </w:t>
      </w:r>
      <w:r w:rsidR="006364F2">
        <w:t>which</w:t>
      </w:r>
      <w:r w:rsidR="00CA254E">
        <w:t xml:space="preserve"> describe the reflectivity of </w:t>
      </w:r>
      <w:r w:rsidR="00B1275F">
        <w:t>a single</w:t>
      </w:r>
      <w:r w:rsidR="006364F2">
        <w:t xml:space="preserve"> </w:t>
      </w:r>
      <w:r w:rsidR="00CA254E">
        <w:t>grain</w:t>
      </w:r>
      <w:r w:rsidR="006364F2">
        <w:t xml:space="preserve">. </w:t>
      </w:r>
    </w:p>
    <w:p w14:paraId="36945727" w14:textId="77777777" w:rsidR="006364F2" w:rsidRPr="00717E5C" w:rsidRDefault="006364F2" w:rsidP="006364F2">
      <w:pPr>
        <w:spacing w:line="360" w:lineRule="auto"/>
        <w:rPr>
          <w:sz w:val="24"/>
          <w:szCs w:val="24"/>
        </w:rPr>
      </w:pPr>
      <m:oMathPara>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 xml:space="preserve">μ,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μ+</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e>
              </m:d>
            </m:den>
          </m:f>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μ</m:t>
              </m:r>
            </m:e>
          </m:d>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m:t>
          </m:r>
        </m:oMath>
      </m:oMathPara>
    </w:p>
    <w:p w14:paraId="73E054A6" w14:textId="77777777" w:rsidR="006364F2" w:rsidRPr="00A62F0F" w:rsidRDefault="006364F2" w:rsidP="006364F2">
      <w:pPr>
        <w:spacing w:line="360" w:lineRule="auto"/>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1-ωx</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x</m:t>
                      </m:r>
                    </m:num>
                    <m:den>
                      <m:r>
                        <w:rPr>
                          <w:rFonts w:ascii="Cambria Math" w:hAnsi="Cambria Math"/>
                          <w:sz w:val="24"/>
                          <w:szCs w:val="24"/>
                        </w:rPr>
                        <m:t>2</m:t>
                      </m:r>
                    </m:den>
                  </m:f>
                  <m:func>
                    <m:funcPr>
                      <m:ctrlPr>
                        <w:rPr>
                          <w:rFonts w:ascii="Cambria Math" w:hAnsi="Cambria Math"/>
                          <w:i/>
                          <w:sz w:val="24"/>
                          <w:szCs w:val="24"/>
                        </w:rPr>
                      </m:ctrlPr>
                    </m:funcPr>
                    <m:fName>
                      <m:r>
                        <m:rPr>
                          <m:sty m:val="p"/>
                        </m:rP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1+x</m:t>
                              </m:r>
                            </m:num>
                            <m:den>
                              <m:r>
                                <w:rPr>
                                  <w:rFonts w:ascii="Cambria Math" w:hAnsi="Cambria Math"/>
                                  <w:sz w:val="24"/>
                                  <w:szCs w:val="24"/>
                                </w:rPr>
                                <m:t>x</m:t>
                              </m:r>
                            </m:den>
                          </m:f>
                        </m:e>
                      </m:d>
                    </m:e>
                  </m:func>
                </m:e>
              </m:d>
            </m:den>
          </m:f>
        </m:oMath>
      </m:oMathPara>
    </w:p>
    <w:p w14:paraId="001C4A36" w14:textId="77777777" w:rsidR="006364F2" w:rsidRPr="002A06D3" w:rsidRDefault="000F2EF7" w:rsidP="006364F2">
      <w:pPr>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rad>
                <m:radPr>
                  <m:degHide m:val="1"/>
                  <m:ctrlPr>
                    <w:rPr>
                      <w:rFonts w:ascii="Cambria Math" w:hAnsi="Cambria Math"/>
                      <w:i/>
                      <w:sz w:val="24"/>
                      <w:szCs w:val="24"/>
                    </w:rPr>
                  </m:ctrlPr>
                </m:radPr>
                <m:deg/>
                <m:e>
                  <m:r>
                    <w:rPr>
                      <w:rFonts w:ascii="Cambria Math" w:hAnsi="Cambria Math"/>
                      <w:sz w:val="24"/>
                      <w:szCs w:val="24"/>
                    </w:rPr>
                    <m:t>1-ω</m:t>
                  </m:r>
                </m:e>
              </m:rad>
            </m:num>
            <m:den>
              <m:r>
                <w:rPr>
                  <w:rFonts w:ascii="Cambria Math" w:hAnsi="Cambria Math"/>
                  <w:sz w:val="24"/>
                  <w:szCs w:val="24"/>
                </w:rPr>
                <m:t>1+</m:t>
              </m:r>
              <m:rad>
                <m:radPr>
                  <m:degHide m:val="1"/>
                  <m:ctrlPr>
                    <w:rPr>
                      <w:rFonts w:ascii="Cambria Math" w:hAnsi="Cambria Math"/>
                      <w:i/>
                      <w:sz w:val="24"/>
                      <w:szCs w:val="24"/>
                    </w:rPr>
                  </m:ctrlPr>
                </m:radPr>
                <m:deg/>
                <m:e>
                  <m:r>
                    <w:rPr>
                      <w:rFonts w:ascii="Cambria Math" w:hAnsi="Cambria Math"/>
                      <w:sz w:val="24"/>
                      <w:szCs w:val="24"/>
                    </w:rPr>
                    <m:t>1-ω</m:t>
                  </m:r>
                </m:e>
              </m:rad>
            </m:den>
          </m:f>
        </m:oMath>
      </m:oMathPara>
    </w:p>
    <w:p w14:paraId="41B30F4C" w14:textId="77777777" w:rsidR="006364F2" w:rsidRPr="002A06D3" w:rsidRDefault="006364F2" w:rsidP="006364F2">
      <w:pPr>
        <w:pStyle w:val="ListParagraph"/>
        <w:numPr>
          <w:ilvl w:val="0"/>
          <w:numId w:val="1"/>
        </w:numPr>
        <w:spacing w:line="360" w:lineRule="auto"/>
        <w:rPr>
          <w:sz w:val="24"/>
          <w:szCs w:val="24"/>
        </w:rPr>
      </w:pPr>
      <m:oMath>
        <m:r>
          <w:rPr>
            <w:rFonts w:ascii="Cambria Math" w:hAnsi="Cambria Math"/>
            <w:sz w:val="24"/>
            <w:szCs w:val="24"/>
          </w:rPr>
          <m:t xml:space="preserve">r </m:t>
        </m:r>
      </m:oMath>
      <w:r w:rsidRPr="002A06D3">
        <w:rPr>
          <w:sz w:val="24"/>
          <w:szCs w:val="24"/>
        </w:rPr>
        <w:t>reflectance</w:t>
      </w:r>
    </w:p>
    <w:p w14:paraId="0D5EB579" w14:textId="77777777" w:rsidR="006364F2" w:rsidRPr="002A06D3" w:rsidRDefault="006364F2" w:rsidP="006364F2">
      <w:pPr>
        <w:pStyle w:val="ListParagraph"/>
        <w:numPr>
          <w:ilvl w:val="0"/>
          <w:numId w:val="1"/>
        </w:numPr>
        <w:spacing w:line="360" w:lineRule="auto"/>
        <w:rPr>
          <w:rFonts w:eastAsiaTheme="minorEastAsia"/>
          <w:sz w:val="24"/>
          <w:szCs w:val="24"/>
        </w:rPr>
      </w:pPr>
      <m:oMath>
        <m:r>
          <w:rPr>
            <w:rFonts w:ascii="Cambria Math" w:hAnsi="Cambria Math"/>
            <w:sz w:val="24"/>
            <w:szCs w:val="24"/>
          </w:rPr>
          <m:t>ω</m:t>
        </m:r>
      </m:oMath>
      <w:r w:rsidRPr="002A06D3">
        <w:rPr>
          <w:sz w:val="24"/>
          <w:szCs w:val="24"/>
        </w:rPr>
        <w:t xml:space="preserve">  single-scattering albedo, </w:t>
      </w:r>
      <m:oMath>
        <m:r>
          <w:rPr>
            <w:rFonts w:ascii="Cambria Math" w:hAnsi="Cambria Math"/>
            <w:sz w:val="24"/>
            <w:szCs w:val="24"/>
          </w:rPr>
          <m:t>(0≤ω</m:t>
        </m:r>
        <m:d>
          <m:dPr>
            <m:ctrlPr>
              <w:rPr>
                <w:rFonts w:ascii="Cambria Math" w:hAnsi="Cambria Math"/>
                <w:i/>
                <w:sz w:val="24"/>
                <w:szCs w:val="24"/>
              </w:rPr>
            </m:ctrlPr>
          </m:dPr>
          <m:e>
            <m:r>
              <w:rPr>
                <w:rFonts w:ascii="Cambria Math" w:hAnsi="Cambria Math"/>
                <w:sz w:val="24"/>
                <w:szCs w:val="24"/>
              </w:rPr>
              <m:t>λ</m:t>
            </m:r>
          </m:e>
        </m:d>
        <m:r>
          <w:rPr>
            <w:rFonts w:ascii="Cambria Math" w:hAnsi="Cambria Math"/>
            <w:sz w:val="24"/>
            <w:szCs w:val="24"/>
          </w:rPr>
          <m:t>≤ 1)</m:t>
        </m:r>
      </m:oMath>
      <w:r w:rsidRPr="002A06D3">
        <w:rPr>
          <w:sz w:val="24"/>
          <w:szCs w:val="24"/>
        </w:rPr>
        <w:t xml:space="preserve"> fraction of the scattered light to incident light by a single particle</w:t>
      </w:r>
    </w:p>
    <w:p w14:paraId="056494CA" w14:textId="77777777" w:rsidR="006364F2" w:rsidRPr="002A06D3" w:rsidRDefault="000F2EF7" w:rsidP="006364F2">
      <w:pPr>
        <w:pStyle w:val="ListParagraph"/>
        <w:numPr>
          <w:ilvl w:val="0"/>
          <w:numId w:val="1"/>
        </w:numPr>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oMath>
      <w:r w:rsidR="006364F2" w:rsidRPr="002A06D3">
        <w:rPr>
          <w:sz w:val="24"/>
          <w:szCs w:val="24"/>
        </w:rPr>
        <w:t xml:space="preserve"> cosine of the incident angle</w:t>
      </w:r>
    </w:p>
    <w:p w14:paraId="7EACB4D6" w14:textId="77777777" w:rsidR="006364F2" w:rsidRPr="002A06D3" w:rsidRDefault="006364F2" w:rsidP="006364F2">
      <w:pPr>
        <w:pStyle w:val="ListParagraph"/>
        <w:numPr>
          <w:ilvl w:val="0"/>
          <w:numId w:val="1"/>
        </w:numPr>
        <w:spacing w:line="360" w:lineRule="auto"/>
        <w:rPr>
          <w:sz w:val="24"/>
          <w:szCs w:val="24"/>
        </w:rPr>
      </w:pPr>
      <m:oMath>
        <m:r>
          <w:rPr>
            <w:rFonts w:ascii="Cambria Math" w:hAnsi="Cambria Math"/>
            <w:sz w:val="24"/>
            <w:szCs w:val="24"/>
          </w:rPr>
          <m:t>μ</m:t>
        </m:r>
      </m:oMath>
      <w:r w:rsidRPr="002A06D3">
        <w:rPr>
          <w:sz w:val="24"/>
          <w:szCs w:val="24"/>
        </w:rPr>
        <w:t xml:space="preserve"> cosine of the emergence angle</w:t>
      </w:r>
    </w:p>
    <w:p w14:paraId="5DE367DD" w14:textId="361539E2" w:rsidR="006364F2" w:rsidRDefault="006364F2" w:rsidP="006364F2">
      <w:pPr>
        <w:pStyle w:val="ListParagraph"/>
        <w:numPr>
          <w:ilvl w:val="0"/>
          <w:numId w:val="1"/>
        </w:numPr>
        <w:spacing w:line="360" w:lineRule="auto"/>
        <w:rPr>
          <w:sz w:val="24"/>
          <w:szCs w:val="24"/>
        </w:rPr>
      </w:pPr>
      <m:oMath>
        <m:r>
          <w:rPr>
            <w:rFonts w:ascii="Cambria Math" w:hAnsi="Cambria Math"/>
            <w:sz w:val="24"/>
            <w:szCs w:val="24"/>
          </w:rPr>
          <w:lastRenderedPageBreak/>
          <m:t>H</m:t>
        </m:r>
      </m:oMath>
      <w:r w:rsidRPr="002A06D3">
        <w:rPr>
          <w:sz w:val="24"/>
          <w:szCs w:val="24"/>
        </w:rPr>
        <w:t xml:space="preserve"> Chandrasekhar integral function, multiple scattering function</w:t>
      </w:r>
    </w:p>
    <w:p w14:paraId="675A5E67" w14:textId="62887171" w:rsidR="00A8198D" w:rsidRDefault="00A8198D" w:rsidP="00A8198D">
      <w:pPr>
        <w:pStyle w:val="ListParagraph"/>
        <w:spacing w:line="360" w:lineRule="auto"/>
        <w:rPr>
          <w:sz w:val="24"/>
          <w:szCs w:val="24"/>
        </w:rPr>
      </w:pPr>
      <w:r>
        <w:rPr>
          <w:sz w:val="24"/>
          <w:szCs w:val="24"/>
        </w:rPr>
        <w:t>In turn, the single-scatte</w:t>
      </w:r>
      <w:r w:rsidR="003214E9">
        <w:rPr>
          <w:sz w:val="24"/>
          <w:szCs w:val="24"/>
        </w:rPr>
        <w:t>r</w:t>
      </w:r>
      <w:r>
        <w:rPr>
          <w:sz w:val="24"/>
          <w:szCs w:val="24"/>
        </w:rPr>
        <w:t>ing albedo will depend on the effective grain size</w:t>
      </w:r>
      <w:r w:rsidR="00D04A0B">
        <w:rPr>
          <w:sz w:val="24"/>
          <w:szCs w:val="24"/>
        </w:rPr>
        <w:t xml:space="preserve"> </w:t>
      </w:r>
      <w:r>
        <w:rPr>
          <w:sz w:val="24"/>
          <w:szCs w:val="24"/>
        </w:rPr>
        <w:t xml:space="preserve">(D) and </w:t>
      </w:r>
      <w:r w:rsidR="00D04A0B">
        <w:rPr>
          <w:sz w:val="24"/>
          <w:szCs w:val="24"/>
        </w:rPr>
        <w:t xml:space="preserve">the </w:t>
      </w:r>
      <w:r>
        <w:rPr>
          <w:sz w:val="24"/>
          <w:szCs w:val="24"/>
        </w:rPr>
        <w:t xml:space="preserve">optical </w:t>
      </w:r>
      <w:r w:rsidR="00D04A0B">
        <w:rPr>
          <w:sz w:val="24"/>
          <w:szCs w:val="24"/>
        </w:rPr>
        <w:t>constants (</w:t>
      </w:r>
      <w:r>
        <w:rPr>
          <w:sz w:val="24"/>
          <w:szCs w:val="24"/>
        </w:rPr>
        <w:t>n, k) on the material</w:t>
      </w:r>
    </w:p>
    <w:p w14:paraId="3DBC0180" w14:textId="77777777" w:rsidR="00084613" w:rsidRPr="00463D9E" w:rsidRDefault="00084613" w:rsidP="00A8198D">
      <w:pPr>
        <w:pStyle w:val="ListParagraph"/>
        <w:spacing w:line="360" w:lineRule="auto"/>
        <w:rPr>
          <w:rFonts w:eastAsiaTheme="minorEastAsia"/>
          <w:sz w:val="24"/>
          <w:szCs w:val="24"/>
        </w:rPr>
      </w:pPr>
      <m:oMathPara>
        <m:oMath>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e</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e</m:t>
                  </m:r>
                </m:sub>
              </m:sSub>
            </m:e>
          </m:d>
          <m:f>
            <m:fPr>
              <m:ctrlPr>
                <w:rPr>
                  <w:rFonts w:ascii="Cambria Math" w:hAnsi="Cambria Math"/>
                  <w:i/>
                  <w:sz w:val="24"/>
                  <w:szCs w:val="24"/>
                </w:rPr>
              </m:ctrlPr>
            </m:fPr>
            <m:num>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m:rPr>
                  <m:sty m:val="p"/>
                </m:rPr>
                <w:rPr>
                  <w:rFonts w:ascii="Cambria Math" w:hAnsi="Cambria Math"/>
                  <w:sz w:val="24"/>
                  <w:szCs w:val="24"/>
                </w:rPr>
                <m:t>Θ</m:t>
              </m:r>
            </m:den>
          </m:f>
          <m:r>
            <m:rPr>
              <m:sty m:val="p"/>
            </m:rPr>
            <w:rPr>
              <w:rFonts w:ascii="Cambria Math" w:hAnsi="Cambria Math"/>
              <w:sz w:val="24"/>
              <w:szCs w:val="24"/>
            </w:rPr>
            <m:t>Θ</m:t>
          </m:r>
        </m:oMath>
      </m:oMathPara>
    </w:p>
    <w:p w14:paraId="709250A8" w14:textId="2774D4FE" w:rsidR="00084613" w:rsidRDefault="00A8198D" w:rsidP="00A8198D">
      <w:pPr>
        <w:pStyle w:val="ListParagraph"/>
        <w:spacing w:line="360" w:lineRule="auto"/>
      </w:pPr>
      <w:r>
        <w:t xml:space="preserve">Where </w:t>
      </w:r>
      <m:oMath>
        <m:sSub>
          <m:sSubPr>
            <m:ctrlPr>
              <w:rPr>
                <w:rFonts w:ascii="Cambria Math" w:hAnsi="Cambria Math"/>
                <w:i/>
              </w:rPr>
            </m:ctrlPr>
          </m:sSubPr>
          <m:e>
            <m:r>
              <w:rPr>
                <w:rFonts w:ascii="Cambria Math" w:hAnsi="Cambria Math"/>
              </w:rPr>
              <m:t>S</m:t>
            </m:r>
          </m:e>
          <m:sub>
            <m:r>
              <w:rPr>
                <w:rFonts w:ascii="Cambria Math" w:hAnsi="Cambria Math"/>
              </w:rPr>
              <m:t>e</m:t>
            </m:r>
          </m:sub>
        </m:sSub>
      </m:oMath>
      <w:r>
        <w:t xml:space="preserve"> is the </w:t>
      </w:r>
      <w:r w:rsidR="00084613">
        <w:t xml:space="preserve">surface reflection </w:t>
      </w:r>
      <w:r w:rsidR="00B1275F">
        <w:t>coefficient</w:t>
      </w:r>
      <w:r w:rsidR="00084613">
        <w:t xml:space="preserve"> for externally incident </w:t>
      </w:r>
      <w:proofErr w:type="gramStart"/>
      <w:r w:rsidR="003214E9">
        <w:t>light</w:t>
      </w:r>
      <w:proofErr w:type="gramEnd"/>
    </w:p>
    <w:p w14:paraId="382D2FF9" w14:textId="77777777" w:rsidR="00084613" w:rsidRPr="00A30F2C" w:rsidRDefault="000F2EF7" w:rsidP="00A8198D">
      <w:pPr>
        <w:pStyle w:val="ListParagraph"/>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e</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n-1</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n+1</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den>
          </m:f>
        </m:oMath>
      </m:oMathPara>
    </w:p>
    <w:p w14:paraId="38962F83" w14:textId="04B053EC" w:rsidR="00084613" w:rsidRDefault="000F2EF7" w:rsidP="00A8198D">
      <w:pPr>
        <w:pStyle w:val="ListParagraph"/>
        <w:spacing w:line="360" w:lineRule="auto"/>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A8198D">
        <w:rPr>
          <w:rFonts w:eastAsiaTheme="minorEastAsia"/>
        </w:rPr>
        <w:t xml:space="preserve"> the r</w:t>
      </w:r>
      <w:proofErr w:type="spellStart"/>
      <w:r w:rsidR="00084613">
        <w:t>eflection</w:t>
      </w:r>
      <w:proofErr w:type="spellEnd"/>
      <w:r w:rsidR="00084613">
        <w:t xml:space="preserve"> coefficient for internally scattered light:</w:t>
      </w:r>
    </w:p>
    <w:p w14:paraId="74A97613" w14:textId="77777777" w:rsidR="00084613" w:rsidRPr="00B25C4E" w:rsidRDefault="000F2EF7" w:rsidP="00A8198D">
      <w:pPr>
        <w:pStyle w:val="ListParagraph"/>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n</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n+1</m:t>
                      </m:r>
                    </m:e>
                  </m:d>
                </m:e>
                <m:sup>
                  <m:r>
                    <w:rPr>
                      <w:rFonts w:ascii="Cambria Math" w:hAnsi="Cambria Math"/>
                      <w:sz w:val="24"/>
                      <w:szCs w:val="24"/>
                    </w:rPr>
                    <m:t>2</m:t>
                  </m:r>
                </m:sup>
              </m:sSup>
            </m:den>
          </m:f>
        </m:oMath>
      </m:oMathPara>
    </w:p>
    <w:p w14:paraId="2423ADAA" w14:textId="3937A383" w:rsidR="00084613" w:rsidRDefault="00A8198D" w:rsidP="00A8198D">
      <w:pPr>
        <w:pStyle w:val="ListParagraph"/>
        <w:spacing w:line="360" w:lineRule="auto"/>
      </w:pPr>
      <m:oMath>
        <m:r>
          <m:rPr>
            <m:sty m:val="p"/>
          </m:rPr>
          <w:rPr>
            <w:rFonts w:ascii="Cambria Math" w:hAnsi="Cambria Math"/>
          </w:rPr>
          <m:t>Θ</m:t>
        </m:r>
      </m:oMath>
      <w:r>
        <w:t xml:space="preserve">  the t</w:t>
      </w:r>
      <w:proofErr w:type="spellStart"/>
      <w:r w:rsidR="00084613">
        <w:t>ransmission</w:t>
      </w:r>
      <w:proofErr w:type="spellEnd"/>
      <w:r w:rsidR="00084613">
        <w:t xml:space="preserve"> fu</w:t>
      </w:r>
      <w:r>
        <w:t>n</w:t>
      </w:r>
      <w:r w:rsidR="00084613">
        <w:t>ction of the grain:</w:t>
      </w:r>
    </w:p>
    <w:p w14:paraId="07CA28DB" w14:textId="77777777" w:rsidR="00084613" w:rsidRPr="00D10082" w:rsidRDefault="00084613" w:rsidP="00A8198D">
      <w:pPr>
        <w:pStyle w:val="ListParagraph"/>
        <w:spacing w:line="360" w:lineRule="auto"/>
        <w:rPr>
          <w:rFonts w:eastAsiaTheme="minorEastAsia"/>
          <w:sz w:val="24"/>
          <w:szCs w:val="24"/>
        </w:rPr>
      </w:pPr>
      <m:oMathPara>
        <m:oMath>
          <m:r>
            <m:rPr>
              <m:sty m:val="p"/>
            </m:rPr>
            <w:rPr>
              <w:rFonts w:ascii="Cambria Math" w:hAnsi="Cambria Math"/>
              <w:sz w:val="24"/>
              <w:szCs w:val="24"/>
            </w:rPr>
            <m:t>Θ</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-iαD</m:t>
              </m:r>
            </m:sup>
          </m:sSup>
        </m:oMath>
      </m:oMathPara>
    </w:p>
    <w:p w14:paraId="5EBA9288" w14:textId="037EEEF6" w:rsidR="006364F2" w:rsidRPr="003214E9" w:rsidRDefault="00084613" w:rsidP="00A8198D">
      <w:pPr>
        <w:pStyle w:val="ListParagraph"/>
        <w:rPr>
          <w:rFonts w:eastAsiaTheme="minorEastAsia"/>
          <w:sz w:val="24"/>
          <w:szCs w:val="24"/>
        </w:rPr>
      </w:pPr>
      <m:oMathPara>
        <m:oMath>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4kπ</m:t>
              </m:r>
            </m:num>
            <m:den>
              <m:r>
                <w:rPr>
                  <w:rFonts w:ascii="Cambria Math" w:hAnsi="Cambria Math"/>
                  <w:sz w:val="24"/>
                  <w:szCs w:val="24"/>
                </w:rPr>
                <m:t>λ</m:t>
              </m:r>
            </m:den>
          </m:f>
        </m:oMath>
      </m:oMathPara>
    </w:p>
    <w:p w14:paraId="5CEAA9C7" w14:textId="32D027E3" w:rsidR="003214E9" w:rsidRDefault="003214E9" w:rsidP="003214E9">
      <w:pPr>
        <w:pStyle w:val="ListParagraph"/>
        <w:spacing w:line="360" w:lineRule="auto"/>
      </w:pPr>
      <w:r>
        <w:t xml:space="preserve">with </w:t>
      </w:r>
      <m:oMath>
        <m:r>
          <w:rPr>
            <w:rFonts w:ascii="Cambria Math" w:hAnsi="Cambria Math"/>
          </w:rPr>
          <m:t>n</m:t>
        </m:r>
      </m:oMath>
      <w:r>
        <w:rPr>
          <w:rFonts w:eastAsiaTheme="minorEastAsia"/>
        </w:rPr>
        <w:t xml:space="preserve"> </w:t>
      </w:r>
      <w:r>
        <w:t xml:space="preserve">the real part of the material complex optical index, k the imaginary part of the material complex optical index, </w:t>
      </w:r>
      <m:oMath>
        <m:r>
          <w:rPr>
            <w:rFonts w:ascii="Cambria Math" w:hAnsi="Cambria Math"/>
          </w:rPr>
          <m:t xml:space="preserve">λ </m:t>
        </m:r>
      </m:oMath>
      <w:r>
        <w:t xml:space="preserve">the wavelength of the photons, D the diameter of the grain. </w:t>
      </w:r>
    </w:p>
    <w:p w14:paraId="37A2001A" w14:textId="27B10729" w:rsidR="003214E9" w:rsidRDefault="007F1D52" w:rsidP="00A8198D">
      <w:pPr>
        <w:pStyle w:val="ListParagraph"/>
        <w:rPr>
          <w:sz w:val="24"/>
          <w:szCs w:val="24"/>
        </w:rPr>
      </w:pPr>
      <w:r>
        <w:t>Now, the single</w:t>
      </w:r>
      <w:r w:rsidR="0091053C">
        <w:t xml:space="preserve">-scattering albedo of a mixture of grains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mix</m:t>
            </m:r>
          </m:sub>
        </m:sSub>
      </m:oMath>
      <w:r w:rsidR="0091053C" w:rsidRPr="008E054A">
        <w:rPr>
          <w:sz w:val="24"/>
          <w:szCs w:val="24"/>
        </w:rPr>
        <w:t>, is a linear combination of the single-scattering albedos of its individual endmembers,</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0091053C" w:rsidRPr="008E054A">
        <w:rPr>
          <w:sz w:val="24"/>
          <w:szCs w:val="24"/>
        </w:rPr>
        <w:t>:</w:t>
      </w:r>
    </w:p>
    <w:p w14:paraId="7AD15D4D" w14:textId="77777777" w:rsidR="0091053C" w:rsidRDefault="000F2EF7" w:rsidP="0091053C">
      <w:pPr>
        <w:pStyle w:val="ListParagraph"/>
        <w:spacing w:line="360" w:lineRule="auto"/>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ω</m:t>
              </m:r>
            </m:e>
            <m:sub>
              <m:r>
                <w:rPr>
                  <w:rFonts w:ascii="Cambria Math" w:hAnsi="Cambria Math"/>
                  <w:sz w:val="24"/>
                  <w:szCs w:val="24"/>
                </w:rPr>
                <m:t>mix</m:t>
              </m:r>
            </m:sub>
          </m:sSub>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e>
          </m:nary>
        </m:oMath>
      </m:oMathPara>
    </w:p>
    <w:p w14:paraId="4CF55280" w14:textId="77777777" w:rsidR="0091053C" w:rsidRDefault="0091053C" w:rsidP="0091053C">
      <w:pPr>
        <w:pStyle w:val="ListParagraph"/>
        <w:spacing w:line="360" w:lineRule="auto"/>
        <w:rPr>
          <w:sz w:val="24"/>
          <w:szCs w:val="24"/>
        </w:rPr>
      </w:pPr>
      <w:r w:rsidRPr="008E054A">
        <w:rPr>
          <w:sz w:val="24"/>
          <w:szCs w:val="24"/>
        </w:rPr>
        <w:t>fractional relative cross section of component i:</w:t>
      </w:r>
    </w:p>
    <w:p w14:paraId="7A6AD854" w14:textId="77777777" w:rsidR="0091053C" w:rsidRPr="008E054A" w:rsidRDefault="000F2EF7" w:rsidP="0091053C">
      <w:pPr>
        <w:pStyle w:val="ListParagraph"/>
        <w:spacing w:line="36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num>
            <m:den>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e>
              </m:nary>
            </m:den>
          </m:f>
        </m:oMath>
      </m:oMathPara>
    </w:p>
    <w:p w14:paraId="6FFA1AEE" w14:textId="77777777" w:rsidR="0091053C" w:rsidRPr="008E054A" w:rsidRDefault="000F2EF7" w:rsidP="0091053C">
      <w:pPr>
        <w:pStyle w:val="ListParagraph"/>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den>
          </m:f>
        </m:oMath>
      </m:oMathPara>
    </w:p>
    <w:p w14:paraId="68E80595" w14:textId="77777777" w:rsidR="0091053C" w:rsidRPr="008E054A" w:rsidRDefault="000F2EF7" w:rsidP="0091053C">
      <w:pPr>
        <w:pStyle w:val="ListParagraph"/>
        <w:spacing w:line="360" w:lineRule="auto"/>
        <w:rPr>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i</m:t>
            </m:r>
          </m:sub>
        </m:sSub>
      </m:oMath>
      <w:r w:rsidR="0091053C" w:rsidRPr="008E054A">
        <w:rPr>
          <w:sz w:val="24"/>
          <w:szCs w:val="24"/>
        </w:rPr>
        <w:t xml:space="preserve"> - mass abundance,</w:t>
      </w:r>
    </w:p>
    <w:p w14:paraId="282B1F57" w14:textId="77777777" w:rsidR="0091053C" w:rsidRPr="008E054A" w:rsidRDefault="000F2EF7" w:rsidP="0091053C">
      <w:pPr>
        <w:pStyle w:val="ListParagraph"/>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i</m:t>
            </m:r>
          </m:sub>
        </m:sSub>
      </m:oMath>
      <w:r w:rsidR="0091053C" w:rsidRPr="008E054A">
        <w:rPr>
          <w:sz w:val="24"/>
          <w:szCs w:val="24"/>
        </w:rPr>
        <w:t xml:space="preserve"> - density,</w:t>
      </w:r>
    </w:p>
    <w:p w14:paraId="195E09E6" w14:textId="77777777" w:rsidR="0091053C" w:rsidRDefault="000F2EF7" w:rsidP="0091053C">
      <w:pPr>
        <w:pStyle w:val="ListParagraph"/>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0091053C" w:rsidRPr="008E054A">
        <w:rPr>
          <w:sz w:val="24"/>
          <w:szCs w:val="24"/>
        </w:rPr>
        <w:t xml:space="preserve"> -  grain size</w:t>
      </w:r>
    </w:p>
    <w:p w14:paraId="2988A93D" w14:textId="53D123AA" w:rsidR="0091053C" w:rsidRDefault="00796B15" w:rsidP="00A8198D">
      <w:pPr>
        <w:pStyle w:val="ListParagraph"/>
      </w:pPr>
      <w:r>
        <w:t>Thus,</w:t>
      </w:r>
      <w:r w:rsidR="0091053C">
        <w:t xml:space="preserve"> the reflectance spectra can be inverted to determine the mass abundance and grain sizes of the endmembers in the mixture.</w:t>
      </w:r>
    </w:p>
    <w:p w14:paraId="077DDD7D" w14:textId="02A6C993" w:rsidR="0091053C" w:rsidRDefault="0091053C" w:rsidP="00A8198D">
      <w:pPr>
        <w:pStyle w:val="ListParagraph"/>
      </w:pPr>
    </w:p>
    <w:p w14:paraId="538FB29D" w14:textId="00CC5A17" w:rsidR="0091053C" w:rsidRDefault="0091053C" w:rsidP="00A8198D">
      <w:pPr>
        <w:pStyle w:val="ListParagraph"/>
      </w:pPr>
    </w:p>
    <w:p w14:paraId="618B31E3" w14:textId="29CE2AC9" w:rsidR="0091053C" w:rsidRDefault="0091053C" w:rsidP="00A8198D">
      <w:pPr>
        <w:pStyle w:val="ListParagraph"/>
      </w:pPr>
    </w:p>
    <w:p w14:paraId="5CBF9082" w14:textId="51CCAA5B" w:rsidR="0091053C" w:rsidRDefault="0091053C" w:rsidP="00A8198D">
      <w:pPr>
        <w:pStyle w:val="ListParagraph"/>
      </w:pPr>
    </w:p>
    <w:p w14:paraId="76320028" w14:textId="02A88F4E" w:rsidR="0091053C" w:rsidRDefault="00DA4368" w:rsidP="00A8198D">
      <w:pPr>
        <w:pStyle w:val="ListParagraph"/>
      </w:pPr>
      <w:r>
        <w:rPr>
          <w:noProof/>
        </w:rPr>
        <w:lastRenderedPageBreak/>
        <w:drawing>
          <wp:anchor distT="0" distB="0" distL="114300" distR="114300" simplePos="0" relativeHeight="251663360" behindDoc="0" locked="0" layoutInCell="1" allowOverlap="1" wp14:anchorId="7828E546" wp14:editId="107B11AC">
            <wp:simplePos x="0" y="0"/>
            <wp:positionH relativeFrom="column">
              <wp:posOffset>1028700</wp:posOffset>
            </wp:positionH>
            <wp:positionV relativeFrom="page">
              <wp:posOffset>490220</wp:posOffset>
            </wp:positionV>
            <wp:extent cx="3657600" cy="2837815"/>
            <wp:effectExtent l="0" t="0" r="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837815"/>
                    </a:xfrm>
                    <a:prstGeom prst="rect">
                      <a:avLst/>
                    </a:prstGeom>
                    <a:noFill/>
                  </pic:spPr>
                </pic:pic>
              </a:graphicData>
            </a:graphic>
            <wp14:sizeRelH relativeFrom="margin">
              <wp14:pctWidth>0</wp14:pctWidth>
            </wp14:sizeRelH>
            <wp14:sizeRelV relativeFrom="margin">
              <wp14:pctHeight>0</wp14:pctHeight>
            </wp14:sizeRelV>
          </wp:anchor>
        </w:drawing>
      </w:r>
      <w:r>
        <w:t xml:space="preserve">Knowledge of the endmembers optical constants and density is </w:t>
      </w:r>
      <w:r w:rsidR="00C67E7F">
        <w:t>required</w:t>
      </w:r>
      <w:r>
        <w:t xml:space="preserve"> to fit the reflectance model to the data and extract mass abundances and grain sizes.</w:t>
      </w:r>
    </w:p>
    <w:p w14:paraId="7B38D647" w14:textId="207B1F75" w:rsidR="0091053C" w:rsidRDefault="001D64CA" w:rsidP="00A8198D">
      <w:pPr>
        <w:pStyle w:val="ListParagraph"/>
      </w:pPr>
      <w:r>
        <w:rPr>
          <w:noProof/>
        </w:rPr>
        <w:drawing>
          <wp:anchor distT="0" distB="0" distL="114300" distR="114300" simplePos="0" relativeHeight="251665408" behindDoc="0" locked="0" layoutInCell="1" allowOverlap="1" wp14:anchorId="0508D734" wp14:editId="7E71DBD2">
            <wp:simplePos x="0" y="0"/>
            <wp:positionH relativeFrom="column">
              <wp:posOffset>144780</wp:posOffset>
            </wp:positionH>
            <wp:positionV relativeFrom="page">
              <wp:posOffset>4145280</wp:posOffset>
            </wp:positionV>
            <wp:extent cx="2682240" cy="2011680"/>
            <wp:effectExtent l="0" t="0" r="3810"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1050CCB" wp14:editId="0D8C8473">
            <wp:simplePos x="0" y="0"/>
            <wp:positionH relativeFrom="column">
              <wp:posOffset>3390900</wp:posOffset>
            </wp:positionH>
            <wp:positionV relativeFrom="page">
              <wp:posOffset>3999865</wp:posOffset>
            </wp:positionV>
            <wp:extent cx="2964180" cy="2223135"/>
            <wp:effectExtent l="0" t="0" r="762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180"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368">
        <w:t xml:space="preserve">Example gypsum </w:t>
      </w:r>
      <w:r w:rsidR="00DA4368">
        <w:rPr>
          <w:sz w:val="24"/>
          <w:szCs w:val="24"/>
        </w:rPr>
        <w:t>(n, k)</w:t>
      </w:r>
      <w:r w:rsidR="00DA4368">
        <w:t xml:space="preserve"> data from </w:t>
      </w:r>
      <w:r w:rsidR="00DA4368" w:rsidRPr="00DA4368">
        <w:t>Roush (2005)</w:t>
      </w:r>
      <w:r w:rsidR="00DA4368">
        <w:t>:</w:t>
      </w:r>
    </w:p>
    <w:p w14:paraId="38F0FEC8" w14:textId="2E7D3427" w:rsidR="00DA4368" w:rsidRDefault="001D64CA" w:rsidP="00A8198D">
      <w:pPr>
        <w:pStyle w:val="ListParagraph"/>
      </w:pPr>
      <w:r>
        <w:rPr>
          <w:noProof/>
        </w:rPr>
        <w:drawing>
          <wp:anchor distT="0" distB="0" distL="114300" distR="114300" simplePos="0" relativeHeight="251666432" behindDoc="0" locked="0" layoutInCell="1" allowOverlap="1" wp14:anchorId="084CAED0" wp14:editId="12651F2F">
            <wp:simplePos x="0" y="0"/>
            <wp:positionH relativeFrom="column">
              <wp:posOffset>655320</wp:posOffset>
            </wp:positionH>
            <wp:positionV relativeFrom="page">
              <wp:posOffset>6804660</wp:posOffset>
            </wp:positionV>
            <wp:extent cx="4191000" cy="31432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anchor>
        </w:drawing>
      </w:r>
      <w:r>
        <w:t xml:space="preserve">Using n, and k and </w:t>
      </w:r>
      <w:proofErr w:type="spellStart"/>
      <w:r>
        <w:t>ssa</w:t>
      </w:r>
      <w:proofErr w:type="spellEnd"/>
      <w:r>
        <w:t xml:space="preserve"> determined from reflectance data </w:t>
      </w:r>
      <w:r w:rsidR="0037570B">
        <w:t>determined the grain effective diameter D:</w:t>
      </w:r>
    </w:p>
    <w:p w14:paraId="144687B3" w14:textId="70D09519" w:rsidR="0037570B" w:rsidRDefault="0037570B" w:rsidP="00A8198D">
      <w:pPr>
        <w:pStyle w:val="ListParagraph"/>
      </w:pPr>
    </w:p>
    <w:p w14:paraId="0CF4CD55" w14:textId="7C94165A" w:rsidR="0037570B" w:rsidRDefault="0037570B" w:rsidP="00A8198D">
      <w:pPr>
        <w:pStyle w:val="ListParagraph"/>
      </w:pPr>
      <w:r>
        <w:rPr>
          <w:noProof/>
        </w:rPr>
        <w:lastRenderedPageBreak/>
        <w:drawing>
          <wp:anchor distT="0" distB="0" distL="114300" distR="114300" simplePos="0" relativeHeight="251667456" behindDoc="0" locked="0" layoutInCell="1" allowOverlap="1" wp14:anchorId="39C09159" wp14:editId="72CA8381">
            <wp:simplePos x="0" y="0"/>
            <wp:positionH relativeFrom="column">
              <wp:posOffset>381000</wp:posOffset>
            </wp:positionH>
            <wp:positionV relativeFrom="page">
              <wp:posOffset>1234440</wp:posOffset>
            </wp:positionV>
            <wp:extent cx="5128260" cy="3846195"/>
            <wp:effectExtent l="0" t="0" r="0" b="1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8260" cy="3846195"/>
                    </a:xfrm>
                    <a:prstGeom prst="rect">
                      <a:avLst/>
                    </a:prstGeom>
                    <a:noFill/>
                    <a:ln>
                      <a:noFill/>
                    </a:ln>
                  </pic:spPr>
                </pic:pic>
              </a:graphicData>
            </a:graphic>
            <wp14:sizeRelH relativeFrom="margin">
              <wp14:pctWidth>0</wp14:pctWidth>
            </wp14:sizeRelH>
            <wp14:sizeRelV relativeFrom="margin">
              <wp14:pctHeight>0</wp14:pctHeight>
            </wp14:sizeRelV>
          </wp:anchor>
        </w:drawing>
      </w:r>
      <w:r>
        <w:t>Calculated gypsum reflectance for different grain sizes and the gypsum data:</w:t>
      </w:r>
    </w:p>
    <w:p w14:paraId="5632445E" w14:textId="797A7DCC" w:rsidR="0037570B" w:rsidRDefault="006410C6" w:rsidP="00A8198D">
      <w:pPr>
        <w:pStyle w:val="ListParagraph"/>
      </w:pPr>
      <w:r>
        <w:rPr>
          <w:noProof/>
        </w:rPr>
        <w:drawing>
          <wp:anchor distT="0" distB="0" distL="114300" distR="114300" simplePos="0" relativeHeight="251668480" behindDoc="0" locked="0" layoutInCell="1" allowOverlap="1" wp14:anchorId="5F8E471D" wp14:editId="28315F0D">
            <wp:simplePos x="0" y="0"/>
            <wp:positionH relativeFrom="column">
              <wp:posOffset>914400</wp:posOffset>
            </wp:positionH>
            <wp:positionV relativeFrom="page">
              <wp:posOffset>6345555</wp:posOffset>
            </wp:positionV>
            <wp:extent cx="4008120" cy="2925445"/>
            <wp:effectExtent l="0" t="0" r="0" b="825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8120" cy="2925445"/>
                    </a:xfrm>
                    <a:prstGeom prst="rect">
                      <a:avLst/>
                    </a:prstGeom>
                    <a:noFill/>
                  </pic:spPr>
                </pic:pic>
              </a:graphicData>
            </a:graphic>
            <wp14:sizeRelH relativeFrom="margin">
              <wp14:pctWidth>0</wp14:pctWidth>
            </wp14:sizeRelH>
            <wp14:sizeRelV relativeFrom="margin">
              <wp14:pctHeight>0</wp14:pctHeight>
            </wp14:sizeRelV>
          </wp:anchor>
        </w:drawing>
      </w:r>
      <w:r w:rsidR="0037570B">
        <w:t>Alternative</w:t>
      </w:r>
      <w:r w:rsidR="002E1096">
        <w:t>ly,</w:t>
      </w:r>
      <w:r w:rsidR="00C67E7F">
        <w:t xml:space="preserve"> for some materials t</w:t>
      </w:r>
      <w:r w:rsidR="002E1096">
        <w:t>he extinction coefficient is not known</w:t>
      </w:r>
      <w:r w:rsidR="00C67E7F">
        <w:t>, while t</w:t>
      </w:r>
      <w:r w:rsidR="002E1096">
        <w:t xml:space="preserve">he density and the real part of the refractive index </w:t>
      </w:r>
      <w:r w:rsidR="00C67E7F">
        <w:t>can be found in</w:t>
      </w:r>
      <w:r w:rsidR="002E1096">
        <w:t xml:space="preserve"> material databases. In the</w:t>
      </w:r>
      <w:r w:rsidR="00821626">
        <w:t xml:space="preserve"> f</w:t>
      </w:r>
      <w:r w:rsidR="002E1096">
        <w:t>irst approximation the refractive index can be assumed constant as</w:t>
      </w:r>
      <w:r w:rsidR="00821626">
        <w:t xml:space="preserve"> it varies slowly</w:t>
      </w:r>
      <w:r w:rsidR="002E1096">
        <w:t xml:space="preserve"> in the VIS-NIR </w:t>
      </w:r>
      <w:r w:rsidR="00821626">
        <w:t>range</w:t>
      </w:r>
      <w:r w:rsidR="002E1096">
        <w:t xml:space="preserve">. Using the measured </w:t>
      </w:r>
      <w:proofErr w:type="spellStart"/>
      <w:r w:rsidR="002E1096">
        <w:t>refl</w:t>
      </w:r>
      <w:r w:rsidR="00821626">
        <w:t>e</w:t>
      </w:r>
      <w:r w:rsidR="002E1096">
        <w:t>ctances</w:t>
      </w:r>
      <w:r w:rsidR="00821626">
        <w:t>es</w:t>
      </w:r>
      <w:proofErr w:type="spellEnd"/>
      <w:r w:rsidR="002E1096">
        <w:t xml:space="preserve"> of endmembers </w:t>
      </w:r>
      <w:r w:rsidR="00FE596A">
        <w:t>materials with</w:t>
      </w:r>
      <w:r w:rsidR="002E1096">
        <w:t xml:space="preserve"> known grains sizes the single-scattering model functions can be inverted to determine the extinctions coefficients. Now, we have all parameters require</w:t>
      </w:r>
      <w:r w:rsidR="003709EA">
        <w:t>d</w:t>
      </w:r>
      <w:r w:rsidR="002E1096">
        <w:t xml:space="preserve"> to fit the reflectance of the mixture materials.</w:t>
      </w:r>
    </w:p>
    <w:p w14:paraId="7C6B621E" w14:textId="5C1A291A" w:rsidR="006410C6" w:rsidRDefault="00825750" w:rsidP="00A87661">
      <w:pPr>
        <w:pStyle w:val="Heading2"/>
      </w:pPr>
      <w:r>
        <w:lastRenderedPageBreak/>
        <w:t>Inversion Algorithms</w:t>
      </w:r>
    </w:p>
    <w:p w14:paraId="688E91CA" w14:textId="407BECF7" w:rsidR="00825750" w:rsidRDefault="00825750" w:rsidP="00A8198D">
      <w:pPr>
        <w:pStyle w:val="ListParagraph"/>
      </w:pPr>
    </w:p>
    <w:p w14:paraId="6D3E9FDC" w14:textId="482C419B" w:rsidR="00825750" w:rsidRDefault="00825750" w:rsidP="00A8198D">
      <w:pPr>
        <w:pStyle w:val="ListParagraph"/>
      </w:pPr>
      <w:r>
        <w:t xml:space="preserve">There are two general algorithms for extracting the mass abundances and the grain </w:t>
      </w:r>
      <w:r w:rsidR="004F4879">
        <w:t>sizes of</w:t>
      </w:r>
      <w:r>
        <w:t xml:space="preserve"> the </w:t>
      </w:r>
      <w:r w:rsidR="00A876F8">
        <w:t>endmembers in the mixture from the model and measured reflectance.</w:t>
      </w:r>
    </w:p>
    <w:p w14:paraId="0A6EB44D" w14:textId="1E3EC218" w:rsidR="00A876F8" w:rsidRDefault="00A876F8" w:rsidP="00A8198D">
      <w:pPr>
        <w:pStyle w:val="ListParagraph"/>
        <w:rPr>
          <w:rFonts w:eastAsiaTheme="minorEastAsia"/>
          <w:iCs/>
        </w:rPr>
      </w:pPr>
      <w:r>
        <w:t xml:space="preserve">One is an optimization algorithm that searches the fitting parameters </w:t>
      </w:r>
      <m:oMath>
        <m:sSub>
          <m:sSubPr>
            <m:ctrlPr>
              <w:rPr>
                <w:rFonts w:ascii="Cambria Math" w:hAnsi="Cambria Math"/>
                <w:i/>
                <w:iCs/>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m:t>
            </m:r>
          </m:sub>
        </m:sSub>
      </m:oMath>
      <w:r>
        <w:rPr>
          <w:rFonts w:eastAsiaTheme="minorEastAsia"/>
          <w:iCs/>
        </w:rPr>
        <w:t xml:space="preserve"> that would minimize the root mean square </w:t>
      </w:r>
      <w:r w:rsidR="004F4879">
        <w:rPr>
          <w:rFonts w:eastAsiaTheme="minorEastAsia"/>
          <w:iCs/>
        </w:rPr>
        <w:t xml:space="preserve">of the difference between the model and data </w:t>
      </w:r>
      <w:proofErr w:type="spellStart"/>
      <w:r w:rsidR="0088505F">
        <w:rPr>
          <w:rFonts w:eastAsiaTheme="minorEastAsia"/>
          <w:iCs/>
        </w:rPr>
        <w:t>reflectance</w:t>
      </w:r>
      <w:r w:rsidR="00FE1003">
        <w:rPr>
          <w:rFonts w:eastAsiaTheme="minorEastAsia"/>
          <w:iCs/>
        </w:rPr>
        <w:t>ses</w:t>
      </w:r>
      <w:proofErr w:type="spellEnd"/>
      <w:r w:rsidR="004F4879">
        <w:rPr>
          <w:rFonts w:eastAsiaTheme="minorEastAsia"/>
          <w:iCs/>
        </w:rPr>
        <w:t>.</w:t>
      </w:r>
    </w:p>
    <w:p w14:paraId="0F61E131" w14:textId="1C4F402A" w:rsidR="004F4879" w:rsidRDefault="004F4879" w:rsidP="00A8198D">
      <w:pPr>
        <w:pStyle w:val="ListParagraph"/>
      </w:pPr>
      <w:r>
        <w:t>Second method is the probabilistic method, that uses Markov Chain Monte Carlo algorithm and Bayes Theorem to estimate the probability density functions of the model parameters given the reflectance data and model relationship between parameters. One of the advantages of the probabilistic model is that the detection noise model</w:t>
      </w:r>
      <w:r w:rsidR="005F35BD">
        <w:t xml:space="preserve"> </w:t>
      </w:r>
      <w:r w:rsidR="004C1E6F">
        <w:t>(which can be non-gaussian for low count photons per pixel)</w:t>
      </w:r>
      <w:r>
        <w:t xml:space="preserve"> can be accounted in the calculations.</w:t>
      </w:r>
    </w:p>
    <w:p w14:paraId="01C77BBC" w14:textId="3DCEB0E7" w:rsidR="004F4879" w:rsidRDefault="004F4879" w:rsidP="00A8198D">
      <w:pPr>
        <w:pStyle w:val="ListParagraph"/>
      </w:pPr>
      <w:r>
        <w:t>While the fist</w:t>
      </w:r>
      <w:r w:rsidR="008D3857">
        <w:t xml:space="preserve"> approach</w:t>
      </w:r>
      <w:r>
        <w:t xml:space="preserve"> suppl</w:t>
      </w:r>
      <w:r w:rsidR="008D3857">
        <w:t>ies</w:t>
      </w:r>
      <w:r>
        <w:t xml:space="preserve"> a single set of data for the endmembers mass fractions and particles sizes the probabilistic model gives a range of values and in principle can</w:t>
      </w:r>
      <w:r w:rsidR="0088505F">
        <w:t xml:space="preserve"> account for non-unique solutions in the model parameters.</w:t>
      </w:r>
      <w:r>
        <w:t xml:space="preserve"> </w:t>
      </w:r>
    </w:p>
    <w:p w14:paraId="16CBE96F" w14:textId="15DFB777" w:rsidR="006410C6" w:rsidRDefault="006410C6" w:rsidP="00A8198D">
      <w:pPr>
        <w:pStyle w:val="ListParagraph"/>
      </w:pPr>
    </w:p>
    <w:p w14:paraId="42A6261C" w14:textId="29618718" w:rsidR="00414D80" w:rsidRDefault="0006544A" w:rsidP="00A87661">
      <w:pPr>
        <w:pStyle w:val="Heading3"/>
      </w:pPr>
      <w:r>
        <w:t xml:space="preserve">Optimization </w:t>
      </w:r>
      <w:r w:rsidR="00414D80">
        <w:t xml:space="preserve">Method </w:t>
      </w:r>
    </w:p>
    <w:p w14:paraId="33F3310E" w14:textId="726E016B" w:rsidR="00414D80" w:rsidRDefault="00414D80" w:rsidP="00414D80">
      <w:pPr>
        <w:pStyle w:val="ListParagraph"/>
      </w:pPr>
      <w:r>
        <w:t xml:space="preserve">We write the mixing </w:t>
      </w:r>
      <w:proofErr w:type="spellStart"/>
      <w:r>
        <w:t>ssa</w:t>
      </w:r>
      <w:proofErr w:type="spellEnd"/>
    </w:p>
    <w:p w14:paraId="6EF88F51" w14:textId="627D5F66" w:rsidR="00414D80" w:rsidRDefault="000F2EF7" w:rsidP="00414D80">
      <w:pPr>
        <w:pStyle w:val="ListParagraph"/>
      </w:pPr>
      <m:oMathPara>
        <m:oMath>
          <m:sSub>
            <m:sSubPr>
              <m:ctrlPr>
                <w:rPr>
                  <w:rFonts w:ascii="Cambria Math" w:hAnsi="Cambria Math"/>
                  <w:i/>
                </w:rPr>
              </m:ctrlPr>
            </m:sSubPr>
            <m:e>
              <m:r>
                <w:rPr>
                  <w:rFonts w:ascii="Cambria Math" w:hAnsi="Cambria Math"/>
                </w:rPr>
                <m:t>ω</m:t>
              </m:r>
            </m:e>
            <m:sub>
              <m:r>
                <w:rPr>
                  <w:rFonts w:ascii="Cambria Math" w:hAnsi="Cambria Math"/>
                </w:rPr>
                <m:t>mix</m:t>
              </m:r>
            </m:sub>
          </m:sSub>
          <m:r>
            <w:rPr>
              <w:rFonts w:ascii="Cambria Math" w:hAnsi="Cambria Math"/>
            </w:rPr>
            <m:t>=c</m:t>
          </m:r>
          <m:sSub>
            <m:sSubPr>
              <m:ctrlPr>
                <w:rPr>
                  <w:rFonts w:ascii="Cambria Math" w:hAnsi="Cambria Math"/>
                  <w:i/>
                </w:rPr>
              </m:ctrlPr>
            </m:sSubPr>
            <m:e>
              <m:r>
                <w:rPr>
                  <w:rFonts w:ascii="Cambria Math" w:hAnsi="Cambria Math"/>
                </w:rPr>
                <m:t>ω</m:t>
              </m:r>
            </m:e>
            <m:sub>
              <m:r>
                <w:rPr>
                  <w:rFonts w:ascii="Cambria Math" w:hAnsi="Cambria Math"/>
                </w:rPr>
                <m:t>halite</m:t>
              </m:r>
            </m:sub>
          </m:sSub>
          <m:r>
            <w:rPr>
              <w:rFonts w:ascii="Cambria Math" w:hAnsi="Cambria Math"/>
            </w:rPr>
            <m:t>+</m:t>
          </m:r>
          <m:d>
            <m:dPr>
              <m:ctrlPr>
                <w:rPr>
                  <w:rFonts w:ascii="Cambria Math" w:hAnsi="Cambria Math"/>
                  <w:i/>
                </w:rPr>
              </m:ctrlPr>
            </m:dPr>
            <m:e>
              <m:r>
                <w:rPr>
                  <w:rFonts w:ascii="Cambria Math" w:hAnsi="Cambria Math"/>
                </w:rPr>
                <m:t>1-c</m:t>
              </m:r>
            </m:e>
          </m:d>
          <m:sSub>
            <m:sSubPr>
              <m:ctrlPr>
                <w:rPr>
                  <w:rFonts w:ascii="Cambria Math" w:hAnsi="Cambria Math"/>
                  <w:i/>
                </w:rPr>
              </m:ctrlPr>
            </m:sSubPr>
            <m:e>
              <m:r>
                <w:rPr>
                  <w:rFonts w:ascii="Cambria Math" w:hAnsi="Cambria Math"/>
                </w:rPr>
                <m:t>ω</m:t>
              </m:r>
            </m:e>
            <m:sub>
              <m:r>
                <w:rPr>
                  <w:rFonts w:ascii="Cambria Math" w:hAnsi="Cambria Math"/>
                </w:rPr>
                <m:t>gypsum</m:t>
              </m:r>
            </m:sub>
          </m:sSub>
        </m:oMath>
      </m:oMathPara>
    </w:p>
    <w:p w14:paraId="7F5266EA" w14:textId="5B5690CA" w:rsidR="00414D80" w:rsidRDefault="00414D80" w:rsidP="00414D80">
      <w:pPr>
        <w:pStyle w:val="ListParagraph"/>
      </w:pPr>
      <w:r>
        <w:t xml:space="preserve">Try to reduce the dependence on the grain size to a shift in the reflectance spectra. (not quite valid assumption). Determine the mixing fraction c from the scaled </w:t>
      </w:r>
      <w:proofErr w:type="spellStart"/>
      <w:r>
        <w:t>reflectances</w:t>
      </w:r>
      <w:proofErr w:type="spellEnd"/>
      <w:r>
        <w:t xml:space="preserve"> minimizing:</w:t>
      </w:r>
    </w:p>
    <w:p w14:paraId="7E4E70C1" w14:textId="7D3A1E84" w:rsidR="00414D80" w:rsidRDefault="000F2EF7" w:rsidP="00414D80">
      <w:pPr>
        <w:pStyle w:val="ListParagraph"/>
      </w:pPr>
      <m:oMathPara>
        <m:oMath>
          <m:rad>
            <m:radPr>
              <m:degHide m:val="1"/>
              <m:ctrlPr>
                <w:rPr>
                  <w:rFonts w:ascii="Cambria Math" w:hAnsi="Cambria Math"/>
                  <w:i/>
                </w:rPr>
              </m:ctrlPr>
            </m:radPr>
            <m:deg/>
            <m:e>
              <m:sSup>
                <m:sSupPr>
                  <m:ctrlPr>
                    <w:rPr>
                      <w:rFonts w:ascii="Cambria Math" w:hAnsi="Cambria Math"/>
                      <w:i/>
                    </w:rPr>
                  </m:ctrlPr>
                </m:sSupPr>
                <m:e>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λ</m:t>
                          </m:r>
                        </m:e>
                        <m:sub>
                          <m:r>
                            <w:rPr>
                              <w:rFonts w:ascii="Cambria Math" w:hAnsi="Cambria Math"/>
                            </w:rPr>
                            <m:t>i</m:t>
                          </m:r>
                        </m:sub>
                      </m:sSub>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mix</m:t>
                                  </m:r>
                                </m:sub>
                              </m:sSub>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e>
                              </m:d>
                            </m:num>
                            <m:den>
                              <m:sSubSup>
                                <m:sSubSupPr>
                                  <m:ctrlPr>
                                    <w:rPr>
                                      <w:rFonts w:ascii="Cambria Math" w:hAnsi="Cambria Math"/>
                                      <w:i/>
                                    </w:rPr>
                                  </m:ctrlPr>
                                </m:sSubSupPr>
                                <m:e>
                                  <m:r>
                                    <w:rPr>
                                      <w:rFonts w:ascii="Cambria Math" w:hAnsi="Cambria Math"/>
                                    </w:rPr>
                                    <m:t>r</m:t>
                                  </m:r>
                                </m:e>
                                <m:sub>
                                  <m:r>
                                    <w:rPr>
                                      <w:rFonts w:ascii="Cambria Math" w:hAnsi="Cambria Math"/>
                                    </w:rPr>
                                    <m:t>mix</m:t>
                                  </m:r>
                                </m:sub>
                                <m:sup>
                                  <m:r>
                                    <w:rPr>
                                      <w:rFonts w:ascii="Cambria Math" w:hAnsi="Cambria Math"/>
                                    </w:rPr>
                                    <m:t>max</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data</m:t>
                                  </m:r>
                                </m:sub>
                              </m:sSub>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e>
                              </m:d>
                            </m:num>
                            <m:den>
                              <m:sSubSup>
                                <m:sSubSupPr>
                                  <m:ctrlPr>
                                    <w:rPr>
                                      <w:rFonts w:ascii="Cambria Math" w:hAnsi="Cambria Math"/>
                                      <w:i/>
                                    </w:rPr>
                                  </m:ctrlPr>
                                </m:sSubSupPr>
                                <m:e>
                                  <m:r>
                                    <w:rPr>
                                      <w:rFonts w:ascii="Cambria Math" w:hAnsi="Cambria Math"/>
                                    </w:rPr>
                                    <m:t>r</m:t>
                                  </m:r>
                                </m:e>
                                <m:sub>
                                  <m:r>
                                    <w:rPr>
                                      <w:rFonts w:ascii="Cambria Math" w:hAnsi="Cambria Math"/>
                                    </w:rPr>
                                    <m:t>data</m:t>
                                  </m:r>
                                </m:sub>
                                <m:sup>
                                  <m:r>
                                    <w:rPr>
                                      <w:rFonts w:ascii="Cambria Math" w:hAnsi="Cambria Math"/>
                                    </w:rPr>
                                    <m:t>max</m:t>
                                  </m:r>
                                </m:sup>
                              </m:sSubSup>
                            </m:den>
                          </m:f>
                        </m:e>
                      </m:d>
                    </m:e>
                  </m:nary>
                </m:e>
                <m:sup>
                  <m:r>
                    <w:rPr>
                      <w:rFonts w:ascii="Cambria Math" w:hAnsi="Cambria Math"/>
                    </w:rPr>
                    <m:t>2</m:t>
                  </m:r>
                </m:sup>
              </m:sSup>
            </m:e>
          </m:rad>
        </m:oMath>
      </m:oMathPara>
    </w:p>
    <w:p w14:paraId="6AAA1882" w14:textId="77777777" w:rsidR="00A87661" w:rsidRDefault="00A87661" w:rsidP="00414D80">
      <w:pPr>
        <w:pStyle w:val="ListParagraph"/>
      </w:pPr>
    </w:p>
    <w:p w14:paraId="022C0340" w14:textId="77777777" w:rsidR="00A87661" w:rsidRDefault="00A87661" w:rsidP="00414D80">
      <w:pPr>
        <w:pStyle w:val="ListParagraph"/>
      </w:pPr>
    </w:p>
    <w:p w14:paraId="31BDC5D7" w14:textId="4B8D9E2C" w:rsidR="00A87661" w:rsidRDefault="00A87661" w:rsidP="00414D80">
      <w:pPr>
        <w:pStyle w:val="ListParagraph"/>
      </w:pPr>
      <w:r>
        <w:rPr>
          <w:noProof/>
        </w:rPr>
        <w:drawing>
          <wp:anchor distT="0" distB="0" distL="114300" distR="114300" simplePos="0" relativeHeight="251670528" behindDoc="0" locked="0" layoutInCell="1" allowOverlap="1" wp14:anchorId="1F2F6590" wp14:editId="1CC30794">
            <wp:simplePos x="0" y="0"/>
            <wp:positionH relativeFrom="column">
              <wp:posOffset>1404620</wp:posOffset>
            </wp:positionH>
            <wp:positionV relativeFrom="page">
              <wp:posOffset>5821680</wp:posOffset>
            </wp:positionV>
            <wp:extent cx="3495040" cy="2621280"/>
            <wp:effectExtent l="0" t="0" r="0"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504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249B6" w14:textId="0F6BFCCE" w:rsidR="00A87661" w:rsidRDefault="00A87661" w:rsidP="00414D80">
      <w:pPr>
        <w:pStyle w:val="ListParagraph"/>
      </w:pPr>
    </w:p>
    <w:p w14:paraId="3283315E" w14:textId="7F58E49F" w:rsidR="00A87661" w:rsidRDefault="00A87661" w:rsidP="00414D80">
      <w:pPr>
        <w:pStyle w:val="ListParagraph"/>
      </w:pPr>
    </w:p>
    <w:p w14:paraId="07A6BBF2" w14:textId="09E79B45" w:rsidR="00A87661" w:rsidRDefault="008D1B15" w:rsidP="00414D80">
      <w:pPr>
        <w:pStyle w:val="ListParagraph"/>
      </w:pPr>
      <w:r>
        <w:rPr>
          <w:noProof/>
        </w:rPr>
        <w:lastRenderedPageBreak/>
        <w:drawing>
          <wp:anchor distT="0" distB="0" distL="114300" distR="114300" simplePos="0" relativeHeight="251671552" behindDoc="0" locked="0" layoutInCell="1" allowOverlap="1" wp14:anchorId="74BB290C" wp14:editId="7135CBC5">
            <wp:simplePos x="0" y="0"/>
            <wp:positionH relativeFrom="column">
              <wp:posOffset>1203960</wp:posOffset>
            </wp:positionH>
            <wp:positionV relativeFrom="paragraph">
              <wp:posOffset>2816225</wp:posOffset>
            </wp:positionV>
            <wp:extent cx="4069080" cy="3051810"/>
            <wp:effectExtent l="0" t="0" r="762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9080" cy="305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ECCEC" w14:textId="3CD41519" w:rsidR="008D1B15" w:rsidRDefault="008D1B15" w:rsidP="00414D80">
      <w:pPr>
        <w:pStyle w:val="ListParagraph"/>
      </w:pPr>
    </w:p>
    <w:p w14:paraId="3104416D" w14:textId="6BEF37CD" w:rsidR="008D1B15" w:rsidRDefault="008D1B15" w:rsidP="00414D80">
      <w:pPr>
        <w:pStyle w:val="ListParagraph"/>
      </w:pPr>
    </w:p>
    <w:p w14:paraId="6650F586" w14:textId="77F6001A" w:rsidR="008D1B15" w:rsidRDefault="008D1B15" w:rsidP="00414D80">
      <w:pPr>
        <w:pStyle w:val="ListParagraph"/>
      </w:pPr>
    </w:p>
    <w:p w14:paraId="43E738EC" w14:textId="409CB13D" w:rsidR="008D1B15" w:rsidRDefault="006B072B" w:rsidP="006B072B">
      <w:pPr>
        <w:pStyle w:val="Heading2"/>
      </w:pPr>
      <w:r>
        <w:t>Bayesian approach</w:t>
      </w:r>
    </w:p>
    <w:p w14:paraId="684F744E" w14:textId="17FCFC65" w:rsidR="00414D80" w:rsidRDefault="00A87661" w:rsidP="00414D80">
      <w:pPr>
        <w:pStyle w:val="ListParagraph"/>
        <w:rPr>
          <w:rFonts w:eastAsiaTheme="minorEastAsia"/>
        </w:rPr>
      </w:pPr>
      <w:r>
        <w:rPr>
          <w:rFonts w:eastAsiaTheme="minorEastAsia"/>
          <w:noProof/>
        </w:rPr>
        <w:drawing>
          <wp:anchor distT="0" distB="0" distL="114300" distR="114300" simplePos="0" relativeHeight="251669504" behindDoc="0" locked="0" layoutInCell="1" allowOverlap="1" wp14:anchorId="24335488" wp14:editId="12632CFE">
            <wp:simplePos x="0" y="0"/>
            <wp:positionH relativeFrom="column">
              <wp:posOffset>1424940</wp:posOffset>
            </wp:positionH>
            <wp:positionV relativeFrom="page">
              <wp:posOffset>861060</wp:posOffset>
            </wp:positionV>
            <wp:extent cx="3528060" cy="2646045"/>
            <wp:effectExtent l="0" t="0" r="0"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060"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72B">
        <w:t xml:space="preserve">Assume that the </w:t>
      </w:r>
      <w:proofErr w:type="spellStart"/>
      <w:r w:rsidR="006B072B">
        <w:t>ssa</w:t>
      </w:r>
      <w:proofErr w:type="spellEnd"/>
      <w:r w:rsidR="006B072B">
        <w:t xml:space="preserve"> is given by the </w:t>
      </w:r>
      <w:proofErr w:type="spellStart"/>
      <w:r w:rsidR="006B072B">
        <w:t>Hapke</w:t>
      </w:r>
      <w:proofErr w:type="spellEnd"/>
      <w:r w:rsidR="006B072B">
        <w:t xml:space="preserve"> model plus a random noise </w:t>
      </w:r>
      <m:oMath>
        <m:r>
          <w:rPr>
            <w:rFonts w:ascii="Cambria Math" w:hAnsi="Cambria Math"/>
          </w:rPr>
          <m:t>ϵ</m:t>
        </m:r>
      </m:oMath>
      <w:r w:rsidR="006B072B">
        <w:rPr>
          <w:rFonts w:eastAsiaTheme="minorEastAsia"/>
        </w:rPr>
        <w:t>:</w:t>
      </w:r>
    </w:p>
    <w:p w14:paraId="5F6B7F50" w14:textId="3AD3EAD7" w:rsidR="006B072B" w:rsidRPr="006B072B" w:rsidRDefault="006B072B" w:rsidP="00414D80">
      <w:pPr>
        <w:pStyle w:val="ListParagraph"/>
        <w:rPr>
          <w:rFonts w:eastAsiaTheme="minorEastAsia"/>
        </w:rPr>
      </w:pPr>
      <m:oMathPara>
        <m:oMath>
          <m:r>
            <w:rPr>
              <w:rFonts w:ascii="Cambria Math" w:hAnsi="Cambria Math"/>
            </w:rPr>
            <m:t>ω</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halite</m:t>
              </m:r>
            </m:sub>
          </m:sSub>
          <m:sSub>
            <m:sSubPr>
              <m:ctrlPr>
                <w:rPr>
                  <w:rFonts w:ascii="Cambria Math" w:hAnsi="Cambria Math"/>
                  <w:i/>
                </w:rPr>
              </m:ctrlPr>
            </m:sSubPr>
            <m:e>
              <m:r>
                <w:rPr>
                  <w:rFonts w:ascii="Cambria Math" w:hAnsi="Cambria Math"/>
                </w:rPr>
                <m:t>ω</m:t>
              </m:r>
            </m:e>
            <m:sub>
              <m:r>
                <w:rPr>
                  <w:rFonts w:ascii="Cambria Math" w:hAnsi="Cambria Math"/>
                </w:rPr>
                <m:t>halite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gypsum</m:t>
              </m:r>
            </m:sub>
          </m:sSub>
          <m:sSub>
            <m:sSubPr>
              <m:ctrlPr>
                <w:rPr>
                  <w:rFonts w:ascii="Cambria Math" w:hAnsi="Cambria Math"/>
                  <w:i/>
                </w:rPr>
              </m:ctrlPr>
            </m:sSubPr>
            <m:e>
              <m:r>
                <w:rPr>
                  <w:rFonts w:ascii="Cambria Math" w:hAnsi="Cambria Math"/>
                </w:rPr>
                <m:t>ω</m:t>
              </m:r>
            </m:e>
            <m:sub>
              <m:r>
                <w:rPr>
                  <w:rFonts w:ascii="Cambria Math" w:hAnsi="Cambria Math"/>
                </w:rPr>
                <m:t>gypsum</m:t>
              </m:r>
            </m:sub>
          </m:sSub>
          <m:r>
            <w:rPr>
              <w:rFonts w:ascii="Cambria Math" w:hAnsi="Cambria Math"/>
            </w:rPr>
            <m:t>+ϵ</m:t>
          </m:r>
        </m:oMath>
      </m:oMathPara>
    </w:p>
    <w:p w14:paraId="6EE509AD" w14:textId="372C2A63" w:rsidR="006B072B" w:rsidRDefault="006B072B" w:rsidP="00414D80">
      <w:pPr>
        <w:pStyle w:val="ListParagraph"/>
      </w:pPr>
      <w:r>
        <w:t xml:space="preserve">The likelihood function for the </w:t>
      </w:r>
      <w:r w:rsidR="00040D55">
        <w:t xml:space="preserve">observations  </w:t>
      </w:r>
      <m:oMath>
        <m:sSub>
          <m:sSubPr>
            <m:ctrlPr>
              <w:rPr>
                <w:rFonts w:ascii="Cambria Math" w:hAnsi="Cambria Math"/>
                <w:i/>
              </w:rPr>
            </m:ctrlPr>
          </m:sSubPr>
          <m:e>
            <m:r>
              <w:rPr>
                <w:rFonts w:ascii="Cambria Math" w:hAnsi="Cambria Math"/>
              </w:rPr>
              <m:t>ω</m:t>
            </m:r>
          </m:e>
          <m:sub>
            <m:r>
              <w:rPr>
                <w:rFonts w:ascii="Cambria Math" w:hAnsi="Cambria Math"/>
              </w:rPr>
              <m:t>data</m:t>
            </m:r>
          </m:sub>
        </m:sSub>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e>
        </m:d>
      </m:oMath>
      <w:r>
        <w:t xml:space="preserve"> </w:t>
      </w:r>
      <w:r w:rsidR="00040D55">
        <w:t>for the model assuming multivariate gaussian noise:</w:t>
      </w:r>
    </w:p>
    <w:p w14:paraId="4835A3C7" w14:textId="52B02E26" w:rsidR="00040D55" w:rsidRPr="00040D55" w:rsidRDefault="00040D55" w:rsidP="00414D80">
      <w:pPr>
        <w:pStyle w:val="ListParagraph"/>
        <w:rPr>
          <w:rFonts w:eastAsiaTheme="minorEastAsia"/>
        </w:rP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data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2π</m:t>
                      </m:r>
                      <m:d>
                        <m:dPr>
                          <m:begChr m:val="|"/>
                          <m:endChr m:val="|"/>
                          <m:ctrlPr>
                            <w:rPr>
                              <w:rFonts w:ascii="Cambria Math" w:hAnsi="Cambria Math"/>
                              <w:i/>
                            </w:rPr>
                          </m:ctrlPr>
                        </m:dPr>
                        <m:e>
                          <m:r>
                            <w:rPr>
                              <w:rFonts w:ascii="Cambria Math" w:hAnsi="Cambria Math"/>
                            </w:rPr>
                            <m:t>K</m:t>
                          </m:r>
                        </m:e>
                      </m:d>
                    </m:e>
                  </m:d>
                </m:e>
                <m:sup>
                  <m:r>
                    <w:rPr>
                      <w:rFonts w:ascii="Cambria Math" w:hAnsi="Cambria Math"/>
                    </w:rPr>
                    <m:t>2</m:t>
                  </m:r>
                </m:sup>
              </m:sSup>
            </m:den>
          </m:f>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data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model</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e>
                      </m:d>
                    </m:e>
                  </m:d>
                </m:e>
                <m:sup>
                  <m:r>
                    <w:rPr>
                      <w:rFonts w:ascii="Cambria Math" w:hAnsi="Cambria Math"/>
                    </w:rPr>
                    <m:t>T</m:t>
                  </m:r>
                </m:sup>
              </m:sSup>
              <m:sSup>
                <m:sSupPr>
                  <m:ctrlPr>
                    <w:rPr>
                      <w:rFonts w:ascii="Cambria Math" w:hAnsi="Cambria Math"/>
                      <w:i/>
                    </w:rPr>
                  </m:ctrlPr>
                </m:sSupPr>
                <m:e>
                  <m:r>
                    <w:rPr>
                      <w:rFonts w:ascii="Cambria Math" w:hAnsi="Cambria Math"/>
                    </w:rPr>
                    <m:t>K</m:t>
                  </m:r>
                </m:e>
                <m:sup>
                  <m:r>
                    <w:rPr>
                      <w:rFonts w:ascii="Cambria Math" w:hAnsi="Cambria Math"/>
                    </w:rPr>
                    <m:t>-1</m:t>
                  </m:r>
                </m:sup>
              </m:s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data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model</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e>
                  </m:d>
                </m:e>
              </m:d>
            </m:e>
          </m:d>
        </m:oMath>
      </m:oMathPara>
    </w:p>
    <w:p w14:paraId="4BE73834" w14:textId="3B64A8EA" w:rsidR="00040D55" w:rsidRDefault="000F2EF7" w:rsidP="00414D80">
      <w:pPr>
        <w:pStyle w:val="ListParagraph"/>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oMath>
      <w:r w:rsidR="00040D55">
        <w:rPr>
          <w:rFonts w:eastAsiaTheme="minorEastAsia"/>
        </w:rPr>
        <w:t xml:space="preserve"> are assumed to have uniform prior distribution</w:t>
      </w:r>
      <w:r w:rsidR="00061421">
        <w:rPr>
          <w:rFonts w:eastAsiaTheme="minorEastAsia"/>
        </w:rPr>
        <w:t xml:space="preserve"> </w:t>
      </w:r>
      <m:oMath>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oMath>
      <w:r w:rsidR="00040D55">
        <w:rPr>
          <w:rFonts w:eastAsiaTheme="minorEastAsia"/>
        </w:rPr>
        <w:t xml:space="preserve">. And use Bayes theorem to </w:t>
      </w:r>
      <w:r w:rsidR="002E4BAE">
        <w:rPr>
          <w:rFonts w:eastAsiaTheme="minorEastAsia"/>
        </w:rPr>
        <w:t xml:space="preserve">determine </w:t>
      </w:r>
      <w:r w:rsidR="00040D55">
        <w:rPr>
          <w:rFonts w:eastAsiaTheme="minorEastAsia"/>
        </w:rPr>
        <w:t>the posterior distribution</w:t>
      </w:r>
      <w:r w:rsidR="00061421">
        <w:rPr>
          <w:rFonts w:eastAsiaTheme="minorEastAsia"/>
        </w:rPr>
        <w:t>:</w:t>
      </w:r>
    </w:p>
    <w:p w14:paraId="1603B486" w14:textId="5024D666" w:rsidR="00061421" w:rsidRDefault="00061421" w:rsidP="00414D80">
      <w:pPr>
        <w:pStyle w:val="ListParagraph"/>
        <w:rPr>
          <w:rFonts w:eastAsiaTheme="minorEastAsia"/>
        </w:rP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data</m:t>
                  </m:r>
                </m:sub>
              </m:sSub>
            </m:e>
          </m:d>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data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e>
              </m:d>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num>
            <m:den>
              <m:r>
                <w:rPr>
                  <w:rFonts w:ascii="Cambria Math" w:hAnsi="Cambria Math"/>
                </w:rPr>
                <m:t>f(</m:t>
              </m:r>
              <m:sSub>
                <m:sSubPr>
                  <m:ctrlPr>
                    <w:rPr>
                      <w:rFonts w:ascii="Cambria Math" w:hAnsi="Cambria Math"/>
                      <w:i/>
                    </w:rPr>
                  </m:ctrlPr>
                </m:sSubPr>
                <m:e>
                  <m:r>
                    <w:rPr>
                      <w:rFonts w:ascii="Cambria Math" w:hAnsi="Cambria Math"/>
                    </w:rPr>
                    <m:t>ω</m:t>
                  </m:r>
                </m:e>
                <m:sub>
                  <m:r>
                    <w:rPr>
                      <w:rFonts w:ascii="Cambria Math" w:hAnsi="Cambria Math"/>
                    </w:rPr>
                    <m:t>data</m:t>
                  </m:r>
                </m:sub>
              </m:sSub>
              <m:r>
                <w:rPr>
                  <w:rFonts w:ascii="Cambria Math" w:hAnsi="Cambria Math"/>
                </w:rPr>
                <m:t>)</m:t>
              </m:r>
            </m:den>
          </m:f>
        </m:oMath>
      </m:oMathPara>
    </w:p>
    <w:p w14:paraId="1662839A" w14:textId="6E91A404" w:rsidR="00061421" w:rsidRDefault="00061421" w:rsidP="00414D80">
      <w:pPr>
        <w:pStyle w:val="ListParagraph"/>
      </w:pPr>
    </w:p>
    <w:p w14:paraId="644E2650" w14:textId="2520A474" w:rsidR="005E253B" w:rsidRDefault="005E253B" w:rsidP="00414D80">
      <w:pPr>
        <w:pStyle w:val="ListParagraph"/>
      </w:pPr>
    </w:p>
    <w:p w14:paraId="7051C45D" w14:textId="181420E5" w:rsidR="005E253B" w:rsidRDefault="005E253B" w:rsidP="00414D80">
      <w:pPr>
        <w:pStyle w:val="ListParagraph"/>
      </w:pPr>
      <w:r>
        <w:t>The factors for H0.5G05 data:</w:t>
      </w:r>
    </w:p>
    <w:p w14:paraId="0712F6C6" w14:textId="0EF5F91E" w:rsidR="005E253B" w:rsidRDefault="005E253B" w:rsidP="005E253B">
      <w:r w:rsidRPr="005E253B">
        <w:rPr>
          <w:noProof/>
        </w:rPr>
        <w:drawing>
          <wp:inline distT="0" distB="0" distL="0" distR="0" wp14:anchorId="53D3FD48" wp14:editId="06A8A606">
            <wp:extent cx="3457575" cy="2324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7575" cy="2324100"/>
                    </a:xfrm>
                    <a:prstGeom prst="rect">
                      <a:avLst/>
                    </a:prstGeom>
                  </pic:spPr>
                </pic:pic>
              </a:graphicData>
            </a:graphic>
          </wp:inline>
        </w:drawing>
      </w:r>
    </w:p>
    <w:p w14:paraId="0D62AB93" w14:textId="77777777" w:rsidR="005E253B" w:rsidRPr="005E253B" w:rsidRDefault="005E253B" w:rsidP="005E253B"/>
    <w:p w14:paraId="2F43C730" w14:textId="481E8C31" w:rsidR="005E253B" w:rsidRPr="005E253B" w:rsidRDefault="005E253B" w:rsidP="005E253B">
      <w:pPr>
        <w:tabs>
          <w:tab w:val="left" w:pos="6984"/>
        </w:tabs>
      </w:pPr>
      <w:r>
        <w:tab/>
      </w:r>
      <w:r w:rsidRPr="005E253B">
        <w:rPr>
          <w:noProof/>
        </w:rPr>
        <w:drawing>
          <wp:inline distT="0" distB="0" distL="0" distR="0" wp14:anchorId="56F502C6" wp14:editId="10785101">
            <wp:extent cx="3457575" cy="2324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7575" cy="2324100"/>
                    </a:xfrm>
                    <a:prstGeom prst="rect">
                      <a:avLst/>
                    </a:prstGeom>
                  </pic:spPr>
                </pic:pic>
              </a:graphicData>
            </a:graphic>
          </wp:inline>
        </w:drawing>
      </w:r>
    </w:p>
    <w:sectPr w:rsidR="005E253B" w:rsidRPr="005E2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C72D4"/>
    <w:multiLevelType w:val="hybridMultilevel"/>
    <w:tmpl w:val="1E06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D8"/>
    <w:rsid w:val="00040D55"/>
    <w:rsid w:val="00061421"/>
    <w:rsid w:val="0006544A"/>
    <w:rsid w:val="00075353"/>
    <w:rsid w:val="00084613"/>
    <w:rsid w:val="000F2EF7"/>
    <w:rsid w:val="00123B2C"/>
    <w:rsid w:val="001C4F94"/>
    <w:rsid w:val="001D64CA"/>
    <w:rsid w:val="002E1096"/>
    <w:rsid w:val="002E4BAE"/>
    <w:rsid w:val="003214E9"/>
    <w:rsid w:val="00327960"/>
    <w:rsid w:val="003709EA"/>
    <w:rsid w:val="0037570B"/>
    <w:rsid w:val="003819DE"/>
    <w:rsid w:val="00411945"/>
    <w:rsid w:val="00414D80"/>
    <w:rsid w:val="004C1E6F"/>
    <w:rsid w:val="004F4879"/>
    <w:rsid w:val="005E253B"/>
    <w:rsid w:val="005F35BD"/>
    <w:rsid w:val="005F77A1"/>
    <w:rsid w:val="006364F2"/>
    <w:rsid w:val="006410C6"/>
    <w:rsid w:val="00651591"/>
    <w:rsid w:val="006A75E0"/>
    <w:rsid w:val="006B072B"/>
    <w:rsid w:val="00796B15"/>
    <w:rsid w:val="007F1D52"/>
    <w:rsid w:val="00821626"/>
    <w:rsid w:val="00825750"/>
    <w:rsid w:val="00873331"/>
    <w:rsid w:val="0088505F"/>
    <w:rsid w:val="008C6234"/>
    <w:rsid w:val="008D1B15"/>
    <w:rsid w:val="008D3857"/>
    <w:rsid w:val="0091053C"/>
    <w:rsid w:val="00922A5D"/>
    <w:rsid w:val="00957C8D"/>
    <w:rsid w:val="00961115"/>
    <w:rsid w:val="009810F3"/>
    <w:rsid w:val="00A8198D"/>
    <w:rsid w:val="00A87661"/>
    <w:rsid w:val="00A876F8"/>
    <w:rsid w:val="00B1275F"/>
    <w:rsid w:val="00B2491D"/>
    <w:rsid w:val="00B4623E"/>
    <w:rsid w:val="00C67E7F"/>
    <w:rsid w:val="00C854D8"/>
    <w:rsid w:val="00CA254E"/>
    <w:rsid w:val="00CA7473"/>
    <w:rsid w:val="00CF191B"/>
    <w:rsid w:val="00D04A0B"/>
    <w:rsid w:val="00D34094"/>
    <w:rsid w:val="00D51BC1"/>
    <w:rsid w:val="00D85FB6"/>
    <w:rsid w:val="00D92211"/>
    <w:rsid w:val="00DA4368"/>
    <w:rsid w:val="00E86DF9"/>
    <w:rsid w:val="00FE1003"/>
    <w:rsid w:val="00FE5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CD4FF"/>
  <w15:chartTrackingRefBased/>
  <w15:docId w15:val="{CCE569FD-CD8F-4561-8F27-30A5B12E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854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54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54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54D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364F2"/>
    <w:pPr>
      <w:ind w:left="720"/>
      <w:contextualSpacing/>
    </w:pPr>
  </w:style>
  <w:style w:type="character" w:styleId="PlaceholderText">
    <w:name w:val="Placeholder Text"/>
    <w:basedOn w:val="DefaultParagraphFont"/>
    <w:uiPriority w:val="99"/>
    <w:semiHidden/>
    <w:rsid w:val="003214E9"/>
    <w:rPr>
      <w:color w:val="808080"/>
    </w:rPr>
  </w:style>
  <w:style w:type="paragraph" w:styleId="NormalWeb">
    <w:name w:val="Normal (Web)"/>
    <w:basedOn w:val="Normal"/>
    <w:uiPriority w:val="99"/>
    <w:semiHidden/>
    <w:unhideWhenUsed/>
    <w:rsid w:val="00796B1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c:creator>
  <cp:keywords/>
  <dc:description/>
  <cp:lastModifiedBy>FARES HOWARI</cp:lastModifiedBy>
  <cp:revision>2</cp:revision>
  <dcterms:created xsi:type="dcterms:W3CDTF">2018-03-28T11:43:00Z</dcterms:created>
  <dcterms:modified xsi:type="dcterms:W3CDTF">2018-03-28T11:43:00Z</dcterms:modified>
</cp:coreProperties>
</file>