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9A8E1A" w14:textId="77777777" w:rsidR="0063118D" w:rsidRPr="000E26FA" w:rsidRDefault="005C4C89">
      <w:pPr>
        <w:pStyle w:val="Normal1"/>
        <w:spacing w:after="0" w:line="240" w:lineRule="auto"/>
        <w:ind w:hanging="720"/>
        <w:jc w:val="center"/>
        <w:rPr>
          <w:rFonts w:ascii="Times New Roman" w:eastAsia="Times New Roman" w:hAnsi="Times New Roman" w:cs="Times New Roman"/>
          <w:b/>
          <w:sz w:val="24"/>
          <w:szCs w:val="24"/>
        </w:rPr>
      </w:pPr>
      <w:r w:rsidRPr="000E26FA">
        <w:rPr>
          <w:rFonts w:ascii="Times New Roman" w:eastAsia="Times New Roman" w:hAnsi="Times New Roman" w:cs="Times New Roman"/>
          <w:b/>
          <w:sz w:val="24"/>
          <w:szCs w:val="24"/>
        </w:rPr>
        <w:t>Methodological appendix</w:t>
      </w:r>
    </w:p>
    <w:p w14:paraId="7E3DB2EA" w14:textId="77777777" w:rsidR="000E26FA" w:rsidRPr="000E26FA" w:rsidRDefault="000E26FA" w:rsidP="000E26FA">
      <w:pPr>
        <w:pStyle w:val="Normal1"/>
        <w:spacing w:after="0" w:line="240" w:lineRule="auto"/>
        <w:ind w:hanging="720"/>
        <w:rPr>
          <w:rFonts w:ascii="Times New Roman" w:eastAsia="Times New Roman" w:hAnsi="Times New Roman" w:cs="Times New Roman"/>
          <w:b/>
          <w:sz w:val="24"/>
          <w:szCs w:val="24"/>
        </w:rPr>
      </w:pPr>
    </w:p>
    <w:p w14:paraId="595A3043" w14:textId="21844AFE" w:rsidR="0063118D" w:rsidRPr="000E26FA" w:rsidRDefault="005C4C89" w:rsidP="000E26FA">
      <w:pPr>
        <w:pStyle w:val="Ttulo1"/>
      </w:pPr>
      <w:r w:rsidRPr="00A34299">
        <w:t xml:space="preserve">Probability distribution for main variables </w:t>
      </w:r>
    </w:p>
    <w:p w14:paraId="0D142F6C" w14:textId="2FC6B381" w:rsidR="000E26FA" w:rsidRPr="000E26FA" w:rsidRDefault="000E26FA" w:rsidP="000E26FA">
      <w:pPr>
        <w:pStyle w:val="Ttulo2"/>
      </w:pPr>
      <w:r>
        <w:t>Population</w:t>
      </w:r>
    </w:p>
    <w:p w14:paraId="689596B0" w14:textId="77777777" w:rsidR="0063118D" w:rsidRPr="000E26FA" w:rsidRDefault="0063118D">
      <w:pPr>
        <w:pStyle w:val="Normal1"/>
        <w:spacing w:after="0" w:line="240" w:lineRule="auto"/>
        <w:ind w:hanging="720"/>
        <w:rPr>
          <w:rFonts w:ascii="Times New Roman" w:eastAsia="Times New Roman" w:hAnsi="Times New Roman" w:cs="Times New Roman"/>
          <w:b/>
          <w:u w:val="single"/>
          <w:lang w:val="en-GB"/>
        </w:rPr>
      </w:pPr>
    </w:p>
    <w:p w14:paraId="4DC2C4F7" w14:textId="77777777" w:rsidR="0063118D" w:rsidRPr="00A34299" w:rsidRDefault="005C4C89" w:rsidP="00EE3664">
      <w:pPr>
        <w:pStyle w:val="Normal1"/>
        <w:spacing w:after="0" w:line="240" w:lineRule="auto"/>
        <w:rPr>
          <w:rFonts w:ascii="Times New Roman" w:eastAsia="Times New Roman" w:hAnsi="Times New Roman" w:cs="Times New Roman"/>
        </w:rPr>
      </w:pPr>
      <w:r w:rsidRPr="00A34299">
        <w:rPr>
          <w:rFonts w:ascii="Times New Roman" w:eastAsia="Times New Roman" w:hAnsi="Times New Roman" w:cs="Times New Roman"/>
        </w:rPr>
        <w:t xml:space="preserve">The following methodology was proposed to incorporate the uncertainty with the information available for Chile. </w:t>
      </w:r>
    </w:p>
    <w:p w14:paraId="440B0834" w14:textId="77777777" w:rsidR="0063118D" w:rsidRPr="00A34299" w:rsidRDefault="0063118D">
      <w:pPr>
        <w:pStyle w:val="Normal1"/>
        <w:spacing w:after="0" w:line="240" w:lineRule="auto"/>
        <w:rPr>
          <w:rFonts w:ascii="Times New Roman" w:eastAsia="Times New Roman" w:hAnsi="Times New Roman" w:cs="Times New Roman"/>
        </w:rPr>
      </w:pPr>
    </w:p>
    <w:p w14:paraId="76468FE0" w14:textId="0371B812" w:rsidR="0063118D" w:rsidRPr="00A34299" w:rsidRDefault="005C4C89">
      <w:pPr>
        <w:pStyle w:val="Normal1"/>
        <w:spacing w:after="0" w:line="240" w:lineRule="auto"/>
        <w:rPr>
          <w:rFonts w:ascii="Times New Roman" w:eastAsia="Times New Roman" w:hAnsi="Times New Roman" w:cs="Times New Roman"/>
        </w:rPr>
      </w:pPr>
      <w:r w:rsidRPr="00A34299">
        <w:rPr>
          <w:rFonts w:ascii="Times New Roman" w:eastAsia="Times New Roman" w:hAnsi="Times New Roman" w:cs="Times New Roman"/>
        </w:rPr>
        <w:t>For the deterministic model, population was obtained from the national official projections (</w:t>
      </w:r>
      <w:proofErr w:type="spellStart"/>
      <w:r w:rsidRPr="00A34299">
        <w:rPr>
          <w:rFonts w:ascii="Times New Roman" w:eastAsia="Times New Roman" w:hAnsi="Times New Roman" w:cs="Times New Roman"/>
        </w:rPr>
        <w:t>I</w:t>
      </w:r>
      <w:bookmarkStart w:id="0" w:name="_GoBack"/>
      <w:r w:rsidR="000E26FA">
        <w:rPr>
          <w:rFonts w:ascii="Times New Roman" w:eastAsia="Times New Roman" w:hAnsi="Times New Roman" w:cs="Times New Roman"/>
        </w:rPr>
        <w:t>nstituto</w:t>
      </w:r>
      <w:proofErr w:type="spellEnd"/>
      <w:r w:rsidR="000E26FA">
        <w:rPr>
          <w:rFonts w:ascii="Times New Roman" w:eastAsia="Times New Roman" w:hAnsi="Times New Roman" w:cs="Times New Roman"/>
        </w:rPr>
        <w:t xml:space="preserve"> Nacional de </w:t>
      </w:r>
      <w:proofErr w:type="spellStart"/>
      <w:r w:rsidR="000E26FA">
        <w:rPr>
          <w:rFonts w:ascii="Times New Roman" w:eastAsia="Times New Roman" w:hAnsi="Times New Roman" w:cs="Times New Roman"/>
        </w:rPr>
        <w:t>Estadistinas</w:t>
      </w:r>
      <w:proofErr w:type="spellEnd"/>
      <w:r w:rsidR="000E26FA">
        <w:rPr>
          <w:rFonts w:ascii="Times New Roman" w:eastAsia="Times New Roman" w:hAnsi="Times New Roman" w:cs="Times New Roman"/>
        </w:rPr>
        <w:t>,</w:t>
      </w:r>
      <w:bookmarkEnd w:id="0"/>
      <w:r w:rsidRPr="00A34299">
        <w:rPr>
          <w:rFonts w:ascii="Times New Roman" w:eastAsia="Times New Roman" w:hAnsi="Times New Roman" w:cs="Times New Roman"/>
        </w:rPr>
        <w:t xml:space="preserve"> 2006) and the World Population Prospects (United Nations</w:t>
      </w:r>
      <w:r w:rsidR="000E26FA">
        <w:rPr>
          <w:rFonts w:ascii="Times New Roman" w:eastAsia="Times New Roman" w:hAnsi="Times New Roman" w:cs="Times New Roman"/>
        </w:rPr>
        <w:t xml:space="preserve">, </w:t>
      </w:r>
      <w:r w:rsidRPr="00A34299">
        <w:rPr>
          <w:rFonts w:ascii="Times New Roman" w:eastAsia="Times New Roman" w:hAnsi="Times New Roman" w:cs="Times New Roman"/>
        </w:rPr>
        <w:t>201</w:t>
      </w:r>
      <w:r w:rsidR="000E26FA">
        <w:rPr>
          <w:rFonts w:ascii="Times New Roman" w:eastAsia="Times New Roman" w:hAnsi="Times New Roman" w:cs="Times New Roman"/>
        </w:rPr>
        <w:t>5</w:t>
      </w:r>
      <w:r w:rsidRPr="00A34299">
        <w:rPr>
          <w:rFonts w:ascii="Times New Roman" w:eastAsia="Times New Roman" w:hAnsi="Times New Roman" w:cs="Times New Roman"/>
        </w:rPr>
        <w:t xml:space="preserve">). The key variable in this population estimate is the fertility rate, which generates different scenarios that can be seen in </w:t>
      </w:r>
      <w:r w:rsidRPr="00A34299">
        <w:rPr>
          <w:rFonts w:ascii="Times New Roman" w:eastAsia="Times New Roman" w:hAnsi="Times New Roman" w:cs="Times New Roman"/>
          <w:i/>
        </w:rPr>
        <w:t>Fig.</w:t>
      </w:r>
      <w:r w:rsidRPr="00A34299">
        <w:rPr>
          <w:rFonts w:ascii="Times New Roman" w:eastAsia="Times New Roman" w:hAnsi="Times New Roman" w:cs="Times New Roman"/>
          <w:b/>
        </w:rPr>
        <w:t xml:space="preserve"> </w:t>
      </w:r>
      <w:r w:rsidRPr="00A34299">
        <w:rPr>
          <w:rFonts w:ascii="Times New Roman" w:eastAsia="Times New Roman" w:hAnsi="Times New Roman" w:cs="Times New Roman"/>
        </w:rPr>
        <w:t xml:space="preserve">1, given its uncertainty. As observed in </w:t>
      </w:r>
      <w:r w:rsidRPr="00A34299">
        <w:rPr>
          <w:rFonts w:ascii="Times New Roman" w:eastAsia="Times New Roman" w:hAnsi="Times New Roman" w:cs="Times New Roman"/>
          <w:i/>
        </w:rPr>
        <w:t>Fig.</w:t>
      </w:r>
      <w:r w:rsidRPr="00A34299">
        <w:rPr>
          <w:rFonts w:ascii="Times New Roman" w:eastAsia="Times New Roman" w:hAnsi="Times New Roman" w:cs="Times New Roman"/>
          <w:b/>
        </w:rPr>
        <w:t xml:space="preserve"> </w:t>
      </w:r>
      <w:r w:rsidRPr="00A34299">
        <w:rPr>
          <w:rFonts w:ascii="Times New Roman" w:eastAsia="Times New Roman" w:hAnsi="Times New Roman" w:cs="Times New Roman"/>
        </w:rPr>
        <w:t>1, the different scenarios include the boundaries for different probabilities, in this case an 80% and 95% probability. These are obtained from a Bayesian hierarchical model (U</w:t>
      </w:r>
      <w:r w:rsidR="000E26FA">
        <w:rPr>
          <w:rFonts w:ascii="Times New Roman" w:eastAsia="Times New Roman" w:hAnsi="Times New Roman" w:cs="Times New Roman"/>
        </w:rPr>
        <w:t>nited Nations, 2015</w:t>
      </w:r>
      <w:r w:rsidRPr="00A34299">
        <w:rPr>
          <w:rFonts w:ascii="Times New Roman" w:eastAsia="Times New Roman" w:hAnsi="Times New Roman" w:cs="Times New Roman"/>
        </w:rPr>
        <w:t>)</w:t>
      </w:r>
      <w:r w:rsidR="000E26FA">
        <w:rPr>
          <w:rFonts w:ascii="Times New Roman" w:eastAsia="Times New Roman" w:hAnsi="Times New Roman" w:cs="Times New Roman"/>
        </w:rPr>
        <w:t>.</w:t>
      </w:r>
    </w:p>
    <w:p w14:paraId="0C0A6E2D" w14:textId="77777777" w:rsidR="0063118D" w:rsidRPr="00A34299" w:rsidRDefault="005C4C89">
      <w:pPr>
        <w:pStyle w:val="Normal1"/>
        <w:spacing w:after="0" w:line="240" w:lineRule="auto"/>
        <w:jc w:val="center"/>
        <w:rPr>
          <w:rFonts w:ascii="Times New Roman" w:eastAsia="Times New Roman" w:hAnsi="Times New Roman" w:cs="Times New Roman"/>
          <w:b/>
        </w:rPr>
      </w:pPr>
      <w:bookmarkStart w:id="1" w:name="_gjdgxs" w:colFirst="0" w:colLast="0"/>
      <w:bookmarkEnd w:id="1"/>
      <w:r w:rsidRPr="00A34299">
        <w:rPr>
          <w:rFonts w:ascii="Times New Roman" w:eastAsia="Times New Roman" w:hAnsi="Times New Roman" w:cs="Times New Roman"/>
          <w:b/>
          <w:noProof/>
          <w:lang w:val="es-ES_tradnl" w:eastAsia="es-ES_tradnl"/>
        </w:rPr>
        <w:drawing>
          <wp:inline distT="0" distB="0" distL="0" distR="0" wp14:anchorId="143797EC" wp14:editId="33CBEF22">
            <wp:extent cx="4013171" cy="2567165"/>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t="8092" b="6585"/>
                    <a:stretch>
                      <a:fillRect/>
                    </a:stretch>
                  </pic:blipFill>
                  <pic:spPr>
                    <a:xfrm>
                      <a:off x="0" y="0"/>
                      <a:ext cx="4013171" cy="2567165"/>
                    </a:xfrm>
                    <a:prstGeom prst="rect">
                      <a:avLst/>
                    </a:prstGeom>
                    <a:ln/>
                  </pic:spPr>
                </pic:pic>
              </a:graphicData>
            </a:graphic>
          </wp:inline>
        </w:drawing>
      </w:r>
    </w:p>
    <w:p w14:paraId="07317A1C" w14:textId="77777777" w:rsidR="0063118D" w:rsidRPr="00A34299" w:rsidRDefault="005C4C89">
      <w:pPr>
        <w:pStyle w:val="Normal1"/>
        <w:spacing w:after="0" w:line="240" w:lineRule="auto"/>
        <w:jc w:val="center"/>
        <w:rPr>
          <w:rFonts w:ascii="Times New Roman" w:eastAsia="Times New Roman" w:hAnsi="Times New Roman" w:cs="Times New Roman"/>
          <w:b/>
          <w:i/>
        </w:rPr>
      </w:pPr>
      <w:r w:rsidRPr="00A34299">
        <w:rPr>
          <w:rFonts w:ascii="Times New Roman" w:eastAsia="Times New Roman" w:hAnsi="Times New Roman" w:cs="Times New Roman"/>
          <w:b/>
        </w:rPr>
        <w:t xml:space="preserve">Fig. 1. </w:t>
      </w:r>
      <w:bookmarkStart w:id="2" w:name="30j0zll" w:colFirst="0" w:colLast="0"/>
      <w:bookmarkEnd w:id="2"/>
      <w:r w:rsidRPr="00A34299">
        <w:rPr>
          <w:rFonts w:ascii="Times New Roman" w:eastAsia="Times New Roman" w:hAnsi="Times New Roman" w:cs="Times New Roman"/>
          <w:b/>
        </w:rPr>
        <w:t>Chile Total Population: Official projections World Population Prospects. Source: (United Nations, 2016)</w:t>
      </w:r>
    </w:p>
    <w:p w14:paraId="10263BC6" w14:textId="77777777" w:rsidR="0063118D" w:rsidRPr="00A34299" w:rsidRDefault="0063118D">
      <w:pPr>
        <w:pStyle w:val="Normal1"/>
        <w:spacing w:after="0" w:line="240" w:lineRule="auto"/>
        <w:rPr>
          <w:rFonts w:ascii="Times New Roman" w:eastAsia="Times New Roman" w:hAnsi="Times New Roman" w:cs="Times New Roman"/>
        </w:rPr>
      </w:pPr>
    </w:p>
    <w:p w14:paraId="25CFC5DE" w14:textId="77777777" w:rsidR="0063118D" w:rsidRPr="00A34299" w:rsidRDefault="005C4C89">
      <w:pPr>
        <w:pStyle w:val="Normal1"/>
        <w:spacing w:after="0" w:line="240" w:lineRule="auto"/>
        <w:rPr>
          <w:rFonts w:ascii="Times New Roman" w:eastAsia="Times New Roman" w:hAnsi="Times New Roman" w:cs="Times New Roman"/>
        </w:rPr>
      </w:pPr>
      <w:r w:rsidRPr="00A34299">
        <w:rPr>
          <w:rFonts w:ascii="Times New Roman" w:eastAsia="Times New Roman" w:hAnsi="Times New Roman" w:cs="Times New Roman"/>
        </w:rPr>
        <w:t>As in the normal distribution, 95.44% of the values are found in the interval [</w:t>
      </w:r>
      <w:r w:rsidRPr="00A34299">
        <w:rPr>
          <w:rFonts w:ascii="Times New Roman" w:eastAsia="Times New Roman" w:hAnsi="Times New Roman" w:cs="Times New Roman"/>
          <w:i/>
        </w:rPr>
        <w:t>μ</w:t>
      </w:r>
      <w:r w:rsidRPr="00A34299">
        <w:rPr>
          <w:rFonts w:ascii="Times New Roman" w:eastAsia="Times New Roman" w:hAnsi="Times New Roman" w:cs="Times New Roman"/>
        </w:rPr>
        <w:t xml:space="preserve"> - 2</w:t>
      </w:r>
      <w:r w:rsidRPr="00A34299">
        <w:rPr>
          <w:rFonts w:ascii="Times New Roman" w:eastAsia="Times New Roman" w:hAnsi="Times New Roman" w:cs="Times New Roman"/>
          <w:i/>
        </w:rPr>
        <w:t>σ</w:t>
      </w:r>
      <w:r w:rsidRPr="00A34299">
        <w:rPr>
          <w:rFonts w:ascii="Times New Roman" w:eastAsia="Times New Roman" w:hAnsi="Times New Roman" w:cs="Times New Roman"/>
        </w:rPr>
        <w:t xml:space="preserve">, </w:t>
      </w:r>
      <w:r w:rsidRPr="00A34299">
        <w:rPr>
          <w:rFonts w:ascii="Times New Roman" w:eastAsia="Times New Roman" w:hAnsi="Times New Roman" w:cs="Times New Roman"/>
          <w:i/>
        </w:rPr>
        <w:t>μ</w:t>
      </w:r>
      <w:r w:rsidRPr="00A34299">
        <w:rPr>
          <w:rFonts w:ascii="Times New Roman" w:eastAsia="Times New Roman" w:hAnsi="Times New Roman" w:cs="Times New Roman"/>
        </w:rPr>
        <w:t xml:space="preserve"> + 2</w:t>
      </w:r>
      <w:r w:rsidRPr="00A34299">
        <w:rPr>
          <w:rFonts w:ascii="Times New Roman" w:eastAsia="Times New Roman" w:hAnsi="Times New Roman" w:cs="Times New Roman"/>
          <w:i/>
        </w:rPr>
        <w:t>σ</w:t>
      </w:r>
      <w:r w:rsidRPr="00A34299">
        <w:rPr>
          <w:rFonts w:ascii="Times New Roman" w:eastAsia="Times New Roman" w:hAnsi="Times New Roman" w:cs="Times New Roman"/>
        </w:rPr>
        <w:t>].  It is possible to build a 95% confidence scenario (dotted-red line) by estimating the standard deviation (</w:t>
      </w:r>
      <w:r w:rsidRPr="00A34299">
        <w:rPr>
          <w:rFonts w:ascii="Times New Roman" w:eastAsia="Times New Roman" w:hAnsi="Times New Roman" w:cs="Times New Roman"/>
          <w:i/>
        </w:rPr>
        <w:t>σ</w:t>
      </w:r>
      <w:r w:rsidRPr="00A34299">
        <w:rPr>
          <w:rFonts w:ascii="Times New Roman" w:eastAsia="Times New Roman" w:hAnsi="Times New Roman" w:cs="Times New Roman"/>
        </w:rPr>
        <w:t xml:space="preserve">) using this property (approximating 95.44% to 95%) for the period 2015 - 2030. Then using the mean value of the projected population with the standard deviation in each year, it is possible to construct the probability distribution for this variable. As an example, we present the distributions for 2020 and 2030. </w:t>
      </w:r>
    </w:p>
    <w:p w14:paraId="2EE68C33" w14:textId="77777777" w:rsidR="0063118D" w:rsidRPr="00A34299" w:rsidRDefault="0063118D">
      <w:pPr>
        <w:pStyle w:val="Normal1"/>
        <w:spacing w:after="0" w:line="240" w:lineRule="auto"/>
        <w:rPr>
          <w:rFonts w:ascii="Times New Roman" w:eastAsia="Times New Roman" w:hAnsi="Times New Roman" w:cs="Times New Roman"/>
        </w:rPr>
      </w:pPr>
    </w:p>
    <w:p w14:paraId="5D9D3CFE" w14:textId="77777777" w:rsidR="0063118D" w:rsidRPr="00A34299" w:rsidRDefault="005C4C89">
      <w:pPr>
        <w:pStyle w:val="Normal1"/>
        <w:spacing w:after="0" w:line="240" w:lineRule="auto"/>
        <w:jc w:val="center"/>
        <w:rPr>
          <w:rFonts w:ascii="Times New Roman" w:eastAsia="Times New Roman" w:hAnsi="Times New Roman" w:cs="Times New Roman"/>
        </w:rPr>
      </w:pPr>
      <w:r w:rsidRPr="00A34299">
        <w:rPr>
          <w:rFonts w:ascii="Times New Roman" w:eastAsia="Times New Roman" w:hAnsi="Times New Roman" w:cs="Times New Roman"/>
          <w:noProof/>
          <w:lang w:val="es-ES_tradnl" w:eastAsia="es-ES_tradnl"/>
        </w:rPr>
        <w:lastRenderedPageBreak/>
        <w:drawing>
          <wp:inline distT="0" distB="0" distL="0" distR="0" wp14:anchorId="31A1C03F" wp14:editId="25590303">
            <wp:extent cx="3198197" cy="2019913"/>
            <wp:effectExtent l="0" t="0" r="0" b="0"/>
            <wp:docPr id="3"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3198197" cy="2019913"/>
                    </a:xfrm>
                    <a:prstGeom prst="rect">
                      <a:avLst/>
                    </a:prstGeom>
                    <a:ln/>
                  </pic:spPr>
                </pic:pic>
              </a:graphicData>
            </a:graphic>
          </wp:inline>
        </w:drawing>
      </w:r>
    </w:p>
    <w:p w14:paraId="7439CC83" w14:textId="77777777" w:rsidR="0063118D" w:rsidRPr="00A34299" w:rsidRDefault="005C4C89">
      <w:pPr>
        <w:pStyle w:val="Normal1"/>
        <w:spacing w:after="0" w:line="240" w:lineRule="auto"/>
        <w:jc w:val="center"/>
        <w:rPr>
          <w:rFonts w:ascii="Times New Roman" w:eastAsia="Times New Roman" w:hAnsi="Times New Roman" w:cs="Times New Roman"/>
          <w:b/>
          <w:i/>
        </w:rPr>
      </w:pPr>
      <w:r w:rsidRPr="00A34299">
        <w:rPr>
          <w:rFonts w:ascii="Times New Roman" w:eastAsia="Times New Roman" w:hAnsi="Times New Roman" w:cs="Times New Roman"/>
          <w:b/>
        </w:rPr>
        <w:t>Fig. 2. Population: Normal Distribution. Source: Own elaboration</w:t>
      </w:r>
    </w:p>
    <w:p w14:paraId="6867C189" w14:textId="77777777" w:rsidR="0063118D" w:rsidRPr="00A34299" w:rsidRDefault="0063118D">
      <w:pPr>
        <w:pStyle w:val="Normal1"/>
        <w:spacing w:after="0" w:line="240" w:lineRule="auto"/>
        <w:ind w:hanging="720"/>
        <w:rPr>
          <w:rFonts w:ascii="Times New Roman" w:eastAsia="Times New Roman" w:hAnsi="Times New Roman" w:cs="Times New Roman"/>
          <w:b/>
          <w:u w:val="single"/>
        </w:rPr>
      </w:pPr>
    </w:p>
    <w:p w14:paraId="6F78A006" w14:textId="77777777" w:rsidR="0063118D" w:rsidRPr="00A34299" w:rsidRDefault="005C4C89" w:rsidP="000E26FA">
      <w:pPr>
        <w:pStyle w:val="Ttulo2"/>
      </w:pPr>
      <w:r w:rsidRPr="00A34299">
        <w:t xml:space="preserve">GDP growth rate </w:t>
      </w:r>
    </w:p>
    <w:p w14:paraId="019FFEAB" w14:textId="77777777" w:rsidR="0063118D" w:rsidRPr="00A34299" w:rsidRDefault="0063118D">
      <w:pPr>
        <w:pStyle w:val="Normal1"/>
        <w:spacing w:after="0" w:line="240" w:lineRule="auto"/>
        <w:ind w:hanging="720"/>
        <w:rPr>
          <w:rFonts w:ascii="Times New Roman" w:eastAsia="Times New Roman" w:hAnsi="Times New Roman" w:cs="Times New Roman"/>
        </w:rPr>
      </w:pPr>
    </w:p>
    <w:p w14:paraId="71F99C97" w14:textId="3FA96F66" w:rsidR="0063118D" w:rsidRPr="00A34299" w:rsidRDefault="00107BF8" w:rsidP="00EE3664">
      <w:pPr>
        <w:pStyle w:val="Sinespaciado"/>
      </w:pPr>
      <w:r w:rsidRPr="00A34299">
        <w:t xml:space="preserve">To incorporate uncertainty into the GDP growth rate, historical data of the observed variations of GDP growth from </w:t>
      </w:r>
      <w:r w:rsidR="005C4C89" w:rsidRPr="00A34299">
        <w:t xml:space="preserve">1976 to 2014 is used (Table 1).  </w:t>
      </w:r>
    </w:p>
    <w:p w14:paraId="0FF94F16" w14:textId="77777777" w:rsidR="0063118D" w:rsidRPr="00A34299" w:rsidRDefault="0063118D">
      <w:pPr>
        <w:pStyle w:val="Normal1"/>
        <w:spacing w:after="0" w:line="240" w:lineRule="auto"/>
        <w:ind w:hanging="720"/>
        <w:rPr>
          <w:rFonts w:ascii="Times New Roman" w:eastAsia="Times New Roman" w:hAnsi="Times New Roman" w:cs="Times New Roman"/>
        </w:rPr>
      </w:pPr>
    </w:p>
    <w:p w14:paraId="6A5BB22A" w14:textId="77777777" w:rsidR="0063118D" w:rsidRPr="00A34299" w:rsidRDefault="005C4C89">
      <w:pPr>
        <w:pStyle w:val="Normal1"/>
        <w:spacing w:after="0" w:line="240" w:lineRule="auto"/>
        <w:ind w:left="720" w:hanging="720"/>
        <w:jc w:val="center"/>
        <w:rPr>
          <w:rFonts w:ascii="Times New Roman" w:eastAsia="Times New Roman" w:hAnsi="Times New Roman" w:cs="Times New Roman"/>
          <w:b/>
          <w:i/>
        </w:rPr>
      </w:pPr>
      <w:bookmarkStart w:id="3" w:name="_1fob9te" w:colFirst="0" w:colLast="0"/>
      <w:bookmarkEnd w:id="3"/>
      <w:r w:rsidRPr="00A34299">
        <w:rPr>
          <w:rFonts w:ascii="Times New Roman" w:eastAsia="Times New Roman" w:hAnsi="Times New Roman" w:cs="Times New Roman"/>
          <w:b/>
          <w:i/>
        </w:rPr>
        <w:t>Table 1</w:t>
      </w:r>
      <w:r w:rsidRPr="00A34299">
        <w:rPr>
          <w:rFonts w:ascii="Times New Roman" w:eastAsia="Times New Roman" w:hAnsi="Times New Roman" w:cs="Times New Roman"/>
          <w:b/>
        </w:rPr>
        <w:t xml:space="preserve"> Historical GDP growth rate data</w:t>
      </w:r>
    </w:p>
    <w:p w14:paraId="5ACEF7C8" w14:textId="77777777" w:rsidR="0063118D" w:rsidRPr="00A34299" w:rsidRDefault="0063118D">
      <w:pPr>
        <w:pStyle w:val="Normal1"/>
        <w:spacing w:after="0" w:line="240" w:lineRule="auto"/>
        <w:ind w:hanging="720"/>
        <w:rPr>
          <w:rFonts w:ascii="Times New Roman" w:eastAsia="Times New Roman" w:hAnsi="Times New Roman" w:cs="Times New Roman"/>
        </w:rPr>
      </w:pPr>
    </w:p>
    <w:tbl>
      <w:tblPr>
        <w:tblStyle w:val="a"/>
        <w:tblW w:w="475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3"/>
        <w:gridCol w:w="1712"/>
        <w:gridCol w:w="663"/>
        <w:gridCol w:w="1712"/>
      </w:tblGrid>
      <w:tr w:rsidR="0063118D" w:rsidRPr="00A34299" w14:paraId="7BCDF558" w14:textId="77777777">
        <w:trPr>
          <w:trHeight w:val="300"/>
          <w:jc w:val="center"/>
        </w:trPr>
        <w:tc>
          <w:tcPr>
            <w:tcW w:w="663" w:type="dxa"/>
          </w:tcPr>
          <w:p w14:paraId="51049D87" w14:textId="11A5B663" w:rsidR="0063118D" w:rsidRPr="00A34299" w:rsidRDefault="00107BF8">
            <w:pPr>
              <w:pStyle w:val="Normal1"/>
              <w:jc w:val="both"/>
            </w:pPr>
            <w:r w:rsidRPr="00A34299">
              <w:t>Year</w:t>
            </w:r>
          </w:p>
        </w:tc>
        <w:tc>
          <w:tcPr>
            <w:tcW w:w="1712" w:type="dxa"/>
          </w:tcPr>
          <w:p w14:paraId="391C3722" w14:textId="77777777" w:rsidR="0063118D" w:rsidRPr="00A34299" w:rsidRDefault="005C4C89">
            <w:pPr>
              <w:pStyle w:val="Normal1"/>
              <w:jc w:val="both"/>
            </w:pPr>
            <w:r w:rsidRPr="00A34299">
              <w:t>GDP growth rate</w:t>
            </w:r>
          </w:p>
        </w:tc>
        <w:tc>
          <w:tcPr>
            <w:tcW w:w="663" w:type="dxa"/>
          </w:tcPr>
          <w:p w14:paraId="0A7BED32" w14:textId="08D435DF" w:rsidR="0063118D" w:rsidRPr="00A34299" w:rsidRDefault="00107BF8">
            <w:pPr>
              <w:pStyle w:val="Normal1"/>
            </w:pPr>
            <w:r w:rsidRPr="00A34299">
              <w:t>Year</w:t>
            </w:r>
          </w:p>
        </w:tc>
        <w:tc>
          <w:tcPr>
            <w:tcW w:w="1712" w:type="dxa"/>
          </w:tcPr>
          <w:p w14:paraId="4F474279" w14:textId="77777777" w:rsidR="0063118D" w:rsidRPr="00A34299" w:rsidRDefault="005C4C89">
            <w:pPr>
              <w:pStyle w:val="Normal1"/>
            </w:pPr>
            <w:r w:rsidRPr="00A34299">
              <w:t>GDP growth rate</w:t>
            </w:r>
          </w:p>
        </w:tc>
      </w:tr>
      <w:tr w:rsidR="0063118D" w:rsidRPr="00A34299" w14:paraId="65CCC16C" w14:textId="77777777">
        <w:trPr>
          <w:trHeight w:val="300"/>
          <w:jc w:val="center"/>
        </w:trPr>
        <w:tc>
          <w:tcPr>
            <w:tcW w:w="663" w:type="dxa"/>
          </w:tcPr>
          <w:p w14:paraId="274A258F" w14:textId="77777777" w:rsidR="0063118D" w:rsidRPr="00A34299" w:rsidRDefault="005C4C89">
            <w:pPr>
              <w:pStyle w:val="Normal1"/>
              <w:jc w:val="both"/>
            </w:pPr>
            <w:r w:rsidRPr="00A34299">
              <w:t>1976</w:t>
            </w:r>
          </w:p>
        </w:tc>
        <w:tc>
          <w:tcPr>
            <w:tcW w:w="1712" w:type="dxa"/>
          </w:tcPr>
          <w:p w14:paraId="628FAAB3" w14:textId="77777777" w:rsidR="0063118D" w:rsidRPr="00A34299" w:rsidRDefault="005C4C89">
            <w:pPr>
              <w:pStyle w:val="Normal1"/>
              <w:jc w:val="both"/>
            </w:pPr>
            <w:r w:rsidRPr="00A34299">
              <w:t>3.7</w:t>
            </w:r>
          </w:p>
        </w:tc>
        <w:tc>
          <w:tcPr>
            <w:tcW w:w="663" w:type="dxa"/>
          </w:tcPr>
          <w:p w14:paraId="3C94875E" w14:textId="77777777" w:rsidR="0063118D" w:rsidRPr="00A34299" w:rsidRDefault="005C4C89">
            <w:pPr>
              <w:pStyle w:val="Normal1"/>
            </w:pPr>
            <w:r w:rsidRPr="00A34299">
              <w:t>1996</w:t>
            </w:r>
          </w:p>
        </w:tc>
        <w:tc>
          <w:tcPr>
            <w:tcW w:w="1712" w:type="dxa"/>
          </w:tcPr>
          <w:p w14:paraId="291A0208" w14:textId="77777777" w:rsidR="0063118D" w:rsidRPr="00A34299" w:rsidRDefault="005C4C89">
            <w:pPr>
              <w:pStyle w:val="Normal1"/>
            </w:pPr>
            <w:r w:rsidRPr="00A34299">
              <w:t>6.8</w:t>
            </w:r>
          </w:p>
        </w:tc>
      </w:tr>
      <w:tr w:rsidR="0063118D" w:rsidRPr="00A34299" w14:paraId="5AE67D40" w14:textId="77777777">
        <w:trPr>
          <w:trHeight w:val="300"/>
          <w:jc w:val="center"/>
        </w:trPr>
        <w:tc>
          <w:tcPr>
            <w:tcW w:w="663" w:type="dxa"/>
          </w:tcPr>
          <w:p w14:paraId="7B25483D" w14:textId="77777777" w:rsidR="0063118D" w:rsidRPr="00A34299" w:rsidRDefault="005C4C89">
            <w:pPr>
              <w:pStyle w:val="Normal1"/>
              <w:jc w:val="both"/>
            </w:pPr>
            <w:r w:rsidRPr="00A34299">
              <w:t>1977</w:t>
            </w:r>
          </w:p>
        </w:tc>
        <w:tc>
          <w:tcPr>
            <w:tcW w:w="1712" w:type="dxa"/>
          </w:tcPr>
          <w:p w14:paraId="60513D9A" w14:textId="77777777" w:rsidR="0063118D" w:rsidRPr="00A34299" w:rsidRDefault="005C4C89">
            <w:pPr>
              <w:pStyle w:val="Normal1"/>
              <w:jc w:val="both"/>
            </w:pPr>
            <w:r w:rsidRPr="00A34299">
              <w:t>10.3</w:t>
            </w:r>
          </w:p>
        </w:tc>
        <w:tc>
          <w:tcPr>
            <w:tcW w:w="663" w:type="dxa"/>
          </w:tcPr>
          <w:p w14:paraId="27B51716" w14:textId="77777777" w:rsidR="0063118D" w:rsidRPr="00A34299" w:rsidRDefault="005C4C89">
            <w:pPr>
              <w:pStyle w:val="Normal1"/>
            </w:pPr>
            <w:r w:rsidRPr="00A34299">
              <w:t>1997</w:t>
            </w:r>
          </w:p>
        </w:tc>
        <w:tc>
          <w:tcPr>
            <w:tcW w:w="1712" w:type="dxa"/>
          </w:tcPr>
          <w:p w14:paraId="69436E2C" w14:textId="77777777" w:rsidR="0063118D" w:rsidRPr="00A34299" w:rsidRDefault="005C4C89">
            <w:pPr>
              <w:pStyle w:val="Normal1"/>
            </w:pPr>
            <w:r w:rsidRPr="00A34299">
              <w:t>7.1</w:t>
            </w:r>
          </w:p>
        </w:tc>
      </w:tr>
      <w:tr w:rsidR="0063118D" w:rsidRPr="00A34299" w14:paraId="3F91C696" w14:textId="77777777">
        <w:trPr>
          <w:trHeight w:val="320"/>
          <w:jc w:val="center"/>
        </w:trPr>
        <w:tc>
          <w:tcPr>
            <w:tcW w:w="663" w:type="dxa"/>
          </w:tcPr>
          <w:p w14:paraId="575FF656" w14:textId="77777777" w:rsidR="0063118D" w:rsidRPr="00A34299" w:rsidRDefault="005C4C89">
            <w:pPr>
              <w:pStyle w:val="Normal1"/>
              <w:jc w:val="both"/>
            </w:pPr>
            <w:r w:rsidRPr="00A34299">
              <w:t>1978</w:t>
            </w:r>
          </w:p>
        </w:tc>
        <w:tc>
          <w:tcPr>
            <w:tcW w:w="1712" w:type="dxa"/>
          </w:tcPr>
          <w:p w14:paraId="177A2546" w14:textId="77777777" w:rsidR="0063118D" w:rsidRPr="00A34299" w:rsidRDefault="005C4C89">
            <w:pPr>
              <w:pStyle w:val="Normal1"/>
              <w:jc w:val="both"/>
            </w:pPr>
            <w:r w:rsidRPr="00A34299">
              <w:t>7.8</w:t>
            </w:r>
          </w:p>
        </w:tc>
        <w:tc>
          <w:tcPr>
            <w:tcW w:w="663" w:type="dxa"/>
          </w:tcPr>
          <w:p w14:paraId="43F4B4B6" w14:textId="77777777" w:rsidR="0063118D" w:rsidRPr="00A34299" w:rsidRDefault="005C4C89">
            <w:pPr>
              <w:pStyle w:val="Normal1"/>
            </w:pPr>
            <w:r w:rsidRPr="00A34299">
              <w:t>1998</w:t>
            </w:r>
          </w:p>
        </w:tc>
        <w:tc>
          <w:tcPr>
            <w:tcW w:w="1712" w:type="dxa"/>
          </w:tcPr>
          <w:p w14:paraId="1DC5927F" w14:textId="77777777" w:rsidR="0063118D" w:rsidRPr="00A34299" w:rsidRDefault="005C4C89">
            <w:pPr>
              <w:pStyle w:val="Normal1"/>
            </w:pPr>
            <w:r w:rsidRPr="00A34299">
              <w:t>4.1</w:t>
            </w:r>
          </w:p>
        </w:tc>
      </w:tr>
      <w:tr w:rsidR="0063118D" w:rsidRPr="00A34299" w14:paraId="1F597902" w14:textId="77777777">
        <w:trPr>
          <w:trHeight w:val="300"/>
          <w:jc w:val="center"/>
        </w:trPr>
        <w:tc>
          <w:tcPr>
            <w:tcW w:w="663" w:type="dxa"/>
          </w:tcPr>
          <w:p w14:paraId="567C4806" w14:textId="77777777" w:rsidR="0063118D" w:rsidRPr="00A34299" w:rsidRDefault="005C4C89">
            <w:pPr>
              <w:pStyle w:val="Normal1"/>
              <w:jc w:val="both"/>
            </w:pPr>
            <w:r w:rsidRPr="00A34299">
              <w:t>1979</w:t>
            </w:r>
          </w:p>
        </w:tc>
        <w:tc>
          <w:tcPr>
            <w:tcW w:w="1712" w:type="dxa"/>
          </w:tcPr>
          <w:p w14:paraId="78E3FEB8" w14:textId="77777777" w:rsidR="0063118D" w:rsidRPr="00A34299" w:rsidRDefault="005C4C89">
            <w:pPr>
              <w:pStyle w:val="Normal1"/>
              <w:jc w:val="both"/>
            </w:pPr>
            <w:r w:rsidRPr="00A34299">
              <w:t>8.6</w:t>
            </w:r>
          </w:p>
        </w:tc>
        <w:tc>
          <w:tcPr>
            <w:tcW w:w="663" w:type="dxa"/>
          </w:tcPr>
          <w:p w14:paraId="5DAFD24D" w14:textId="77777777" w:rsidR="0063118D" w:rsidRPr="00A34299" w:rsidRDefault="005C4C89">
            <w:pPr>
              <w:pStyle w:val="Normal1"/>
            </w:pPr>
            <w:r w:rsidRPr="00A34299">
              <w:t>1999</w:t>
            </w:r>
          </w:p>
        </w:tc>
        <w:tc>
          <w:tcPr>
            <w:tcW w:w="1712" w:type="dxa"/>
          </w:tcPr>
          <w:p w14:paraId="3D23BEBF" w14:textId="77777777" w:rsidR="0063118D" w:rsidRPr="00A34299" w:rsidRDefault="005C4C89">
            <w:pPr>
              <w:pStyle w:val="Normal1"/>
            </w:pPr>
            <w:r w:rsidRPr="00A34299">
              <w:t>-0.5</w:t>
            </w:r>
          </w:p>
        </w:tc>
      </w:tr>
      <w:tr w:rsidR="0063118D" w:rsidRPr="00A34299" w14:paraId="56E9A477" w14:textId="77777777">
        <w:trPr>
          <w:trHeight w:val="300"/>
          <w:jc w:val="center"/>
        </w:trPr>
        <w:tc>
          <w:tcPr>
            <w:tcW w:w="663" w:type="dxa"/>
          </w:tcPr>
          <w:p w14:paraId="4684107A" w14:textId="77777777" w:rsidR="0063118D" w:rsidRPr="00A34299" w:rsidRDefault="005C4C89">
            <w:pPr>
              <w:pStyle w:val="Normal1"/>
              <w:jc w:val="both"/>
            </w:pPr>
            <w:r w:rsidRPr="00A34299">
              <w:t>1980</w:t>
            </w:r>
          </w:p>
        </w:tc>
        <w:tc>
          <w:tcPr>
            <w:tcW w:w="1712" w:type="dxa"/>
          </w:tcPr>
          <w:p w14:paraId="5378EE7D" w14:textId="77777777" w:rsidR="0063118D" w:rsidRPr="00A34299" w:rsidRDefault="005C4C89">
            <w:pPr>
              <w:pStyle w:val="Normal1"/>
              <w:jc w:val="both"/>
            </w:pPr>
            <w:r w:rsidRPr="00A34299">
              <w:t>8.2</w:t>
            </w:r>
          </w:p>
        </w:tc>
        <w:tc>
          <w:tcPr>
            <w:tcW w:w="663" w:type="dxa"/>
          </w:tcPr>
          <w:p w14:paraId="616206E7" w14:textId="77777777" w:rsidR="0063118D" w:rsidRPr="00A34299" w:rsidRDefault="005C4C89">
            <w:pPr>
              <w:pStyle w:val="Normal1"/>
            </w:pPr>
            <w:r w:rsidRPr="00A34299">
              <w:t>2000</w:t>
            </w:r>
          </w:p>
        </w:tc>
        <w:tc>
          <w:tcPr>
            <w:tcW w:w="1712" w:type="dxa"/>
          </w:tcPr>
          <w:p w14:paraId="08AFAF6D" w14:textId="77777777" w:rsidR="0063118D" w:rsidRPr="00A34299" w:rsidRDefault="005C4C89">
            <w:pPr>
              <w:pStyle w:val="Normal1"/>
            </w:pPr>
            <w:r w:rsidRPr="00A34299">
              <w:t>5.1</w:t>
            </w:r>
          </w:p>
        </w:tc>
      </w:tr>
      <w:tr w:rsidR="0063118D" w:rsidRPr="00A34299" w14:paraId="76E6AC1D" w14:textId="77777777">
        <w:trPr>
          <w:trHeight w:val="300"/>
          <w:jc w:val="center"/>
        </w:trPr>
        <w:tc>
          <w:tcPr>
            <w:tcW w:w="663" w:type="dxa"/>
          </w:tcPr>
          <w:p w14:paraId="5C574817" w14:textId="77777777" w:rsidR="0063118D" w:rsidRPr="00A34299" w:rsidRDefault="005C4C89">
            <w:pPr>
              <w:pStyle w:val="Normal1"/>
              <w:jc w:val="both"/>
            </w:pPr>
            <w:r w:rsidRPr="00A34299">
              <w:t>1981</w:t>
            </w:r>
          </w:p>
        </w:tc>
        <w:tc>
          <w:tcPr>
            <w:tcW w:w="1712" w:type="dxa"/>
          </w:tcPr>
          <w:p w14:paraId="1B75728C" w14:textId="77777777" w:rsidR="0063118D" w:rsidRPr="00A34299" w:rsidRDefault="005C4C89">
            <w:pPr>
              <w:pStyle w:val="Normal1"/>
              <w:jc w:val="both"/>
            </w:pPr>
            <w:r w:rsidRPr="00A34299">
              <w:t>6.7</w:t>
            </w:r>
          </w:p>
        </w:tc>
        <w:tc>
          <w:tcPr>
            <w:tcW w:w="663" w:type="dxa"/>
          </w:tcPr>
          <w:p w14:paraId="03B836AF" w14:textId="77777777" w:rsidR="0063118D" w:rsidRPr="00A34299" w:rsidRDefault="005C4C89">
            <w:pPr>
              <w:pStyle w:val="Normal1"/>
            </w:pPr>
            <w:r w:rsidRPr="00A34299">
              <w:t>2001</w:t>
            </w:r>
          </w:p>
        </w:tc>
        <w:tc>
          <w:tcPr>
            <w:tcW w:w="1712" w:type="dxa"/>
          </w:tcPr>
          <w:p w14:paraId="4D169889" w14:textId="77777777" w:rsidR="0063118D" w:rsidRPr="00A34299" w:rsidRDefault="005C4C89">
            <w:pPr>
              <w:pStyle w:val="Normal1"/>
            </w:pPr>
            <w:r w:rsidRPr="00A34299">
              <w:t>3.3</w:t>
            </w:r>
          </w:p>
        </w:tc>
      </w:tr>
      <w:tr w:rsidR="0063118D" w:rsidRPr="00A34299" w14:paraId="2BA59899" w14:textId="77777777">
        <w:trPr>
          <w:trHeight w:val="300"/>
          <w:jc w:val="center"/>
        </w:trPr>
        <w:tc>
          <w:tcPr>
            <w:tcW w:w="663" w:type="dxa"/>
          </w:tcPr>
          <w:p w14:paraId="0A65C767" w14:textId="77777777" w:rsidR="0063118D" w:rsidRPr="00A34299" w:rsidRDefault="005C4C89">
            <w:pPr>
              <w:pStyle w:val="Normal1"/>
              <w:jc w:val="both"/>
            </w:pPr>
            <w:r w:rsidRPr="00A34299">
              <w:t>1982</w:t>
            </w:r>
          </w:p>
        </w:tc>
        <w:tc>
          <w:tcPr>
            <w:tcW w:w="1712" w:type="dxa"/>
          </w:tcPr>
          <w:p w14:paraId="7D9F7F6C" w14:textId="77777777" w:rsidR="0063118D" w:rsidRPr="00A34299" w:rsidRDefault="005C4C89">
            <w:pPr>
              <w:pStyle w:val="Normal1"/>
              <w:jc w:val="both"/>
            </w:pPr>
            <w:r w:rsidRPr="00A34299">
              <w:t>-11.1</w:t>
            </w:r>
          </w:p>
        </w:tc>
        <w:tc>
          <w:tcPr>
            <w:tcW w:w="663" w:type="dxa"/>
          </w:tcPr>
          <w:p w14:paraId="6AE85D99" w14:textId="77777777" w:rsidR="0063118D" w:rsidRPr="00A34299" w:rsidRDefault="005C4C89">
            <w:pPr>
              <w:pStyle w:val="Normal1"/>
            </w:pPr>
            <w:r w:rsidRPr="00A34299">
              <w:t>2002</w:t>
            </w:r>
          </w:p>
        </w:tc>
        <w:tc>
          <w:tcPr>
            <w:tcW w:w="1712" w:type="dxa"/>
          </w:tcPr>
          <w:p w14:paraId="6F5BB116" w14:textId="77777777" w:rsidR="0063118D" w:rsidRPr="00A34299" w:rsidRDefault="005C4C89">
            <w:pPr>
              <w:pStyle w:val="Normal1"/>
            </w:pPr>
            <w:r w:rsidRPr="00A34299">
              <w:t>2.7</w:t>
            </w:r>
          </w:p>
        </w:tc>
      </w:tr>
      <w:tr w:rsidR="0063118D" w:rsidRPr="00A34299" w14:paraId="77964069" w14:textId="77777777">
        <w:trPr>
          <w:trHeight w:val="300"/>
          <w:jc w:val="center"/>
        </w:trPr>
        <w:tc>
          <w:tcPr>
            <w:tcW w:w="663" w:type="dxa"/>
          </w:tcPr>
          <w:p w14:paraId="0ADBE5F3" w14:textId="77777777" w:rsidR="0063118D" w:rsidRPr="00A34299" w:rsidRDefault="005C4C89">
            <w:pPr>
              <w:pStyle w:val="Normal1"/>
              <w:jc w:val="both"/>
            </w:pPr>
            <w:r w:rsidRPr="00A34299">
              <w:t>1983</w:t>
            </w:r>
          </w:p>
        </w:tc>
        <w:tc>
          <w:tcPr>
            <w:tcW w:w="1712" w:type="dxa"/>
          </w:tcPr>
          <w:p w14:paraId="31114FE1" w14:textId="77777777" w:rsidR="0063118D" w:rsidRPr="00A34299" w:rsidRDefault="005C4C89">
            <w:pPr>
              <w:pStyle w:val="Normal1"/>
              <w:jc w:val="both"/>
            </w:pPr>
            <w:r w:rsidRPr="00A34299">
              <w:t>-5.4</w:t>
            </w:r>
          </w:p>
        </w:tc>
        <w:tc>
          <w:tcPr>
            <w:tcW w:w="663" w:type="dxa"/>
          </w:tcPr>
          <w:p w14:paraId="003231D9" w14:textId="77777777" w:rsidR="0063118D" w:rsidRPr="00A34299" w:rsidRDefault="005C4C89">
            <w:pPr>
              <w:pStyle w:val="Normal1"/>
            </w:pPr>
            <w:r w:rsidRPr="00A34299">
              <w:t>2003</w:t>
            </w:r>
          </w:p>
        </w:tc>
        <w:tc>
          <w:tcPr>
            <w:tcW w:w="1712" w:type="dxa"/>
          </w:tcPr>
          <w:p w14:paraId="20AF13C5" w14:textId="77777777" w:rsidR="0063118D" w:rsidRPr="00A34299" w:rsidRDefault="005C4C89">
            <w:pPr>
              <w:pStyle w:val="Normal1"/>
            </w:pPr>
            <w:r w:rsidRPr="00A34299">
              <w:t>3.8</w:t>
            </w:r>
          </w:p>
        </w:tc>
      </w:tr>
      <w:tr w:rsidR="0063118D" w:rsidRPr="00A34299" w14:paraId="1124C207" w14:textId="77777777">
        <w:trPr>
          <w:trHeight w:val="300"/>
          <w:jc w:val="center"/>
        </w:trPr>
        <w:tc>
          <w:tcPr>
            <w:tcW w:w="663" w:type="dxa"/>
          </w:tcPr>
          <w:p w14:paraId="5A31EE2F" w14:textId="77777777" w:rsidR="0063118D" w:rsidRPr="00A34299" w:rsidRDefault="005C4C89">
            <w:pPr>
              <w:pStyle w:val="Normal1"/>
              <w:jc w:val="both"/>
            </w:pPr>
            <w:r w:rsidRPr="00A34299">
              <w:t>1984</w:t>
            </w:r>
          </w:p>
        </w:tc>
        <w:tc>
          <w:tcPr>
            <w:tcW w:w="1712" w:type="dxa"/>
          </w:tcPr>
          <w:p w14:paraId="488B6C99" w14:textId="77777777" w:rsidR="0063118D" w:rsidRPr="00A34299" w:rsidRDefault="005C4C89">
            <w:pPr>
              <w:pStyle w:val="Normal1"/>
              <w:jc w:val="both"/>
            </w:pPr>
            <w:r w:rsidRPr="00A34299">
              <w:t>4.0</w:t>
            </w:r>
          </w:p>
        </w:tc>
        <w:tc>
          <w:tcPr>
            <w:tcW w:w="663" w:type="dxa"/>
          </w:tcPr>
          <w:p w14:paraId="27D1F629" w14:textId="77777777" w:rsidR="0063118D" w:rsidRPr="00A34299" w:rsidRDefault="005C4C89">
            <w:pPr>
              <w:pStyle w:val="Normal1"/>
            </w:pPr>
            <w:r w:rsidRPr="00A34299">
              <w:t>2004</w:t>
            </w:r>
          </w:p>
        </w:tc>
        <w:tc>
          <w:tcPr>
            <w:tcW w:w="1712" w:type="dxa"/>
          </w:tcPr>
          <w:p w14:paraId="3CDD4ECC" w14:textId="77777777" w:rsidR="0063118D" w:rsidRPr="00A34299" w:rsidRDefault="005C4C89">
            <w:pPr>
              <w:pStyle w:val="Normal1"/>
            </w:pPr>
            <w:r w:rsidRPr="00A34299">
              <w:t>7.0</w:t>
            </w:r>
          </w:p>
        </w:tc>
      </w:tr>
      <w:tr w:rsidR="0063118D" w:rsidRPr="00A34299" w14:paraId="096239E1" w14:textId="77777777">
        <w:trPr>
          <w:trHeight w:val="300"/>
          <w:jc w:val="center"/>
        </w:trPr>
        <w:tc>
          <w:tcPr>
            <w:tcW w:w="663" w:type="dxa"/>
          </w:tcPr>
          <w:p w14:paraId="4A3438D2" w14:textId="77777777" w:rsidR="0063118D" w:rsidRPr="00A34299" w:rsidRDefault="005C4C89">
            <w:pPr>
              <w:pStyle w:val="Normal1"/>
              <w:jc w:val="both"/>
            </w:pPr>
            <w:r w:rsidRPr="00A34299">
              <w:t>1985</w:t>
            </w:r>
          </w:p>
        </w:tc>
        <w:tc>
          <w:tcPr>
            <w:tcW w:w="1712" w:type="dxa"/>
          </w:tcPr>
          <w:p w14:paraId="5074A58F" w14:textId="77777777" w:rsidR="0063118D" w:rsidRPr="00A34299" w:rsidRDefault="005C4C89">
            <w:pPr>
              <w:pStyle w:val="Normal1"/>
              <w:jc w:val="both"/>
            </w:pPr>
            <w:r w:rsidRPr="00A34299">
              <w:t>4.3</w:t>
            </w:r>
          </w:p>
        </w:tc>
        <w:tc>
          <w:tcPr>
            <w:tcW w:w="663" w:type="dxa"/>
          </w:tcPr>
          <w:p w14:paraId="26002D8D" w14:textId="77777777" w:rsidR="0063118D" w:rsidRPr="00A34299" w:rsidRDefault="005C4C89">
            <w:pPr>
              <w:pStyle w:val="Normal1"/>
            </w:pPr>
            <w:r w:rsidRPr="00A34299">
              <w:t>2005</w:t>
            </w:r>
          </w:p>
        </w:tc>
        <w:tc>
          <w:tcPr>
            <w:tcW w:w="1712" w:type="dxa"/>
          </w:tcPr>
          <w:p w14:paraId="6FE04273" w14:textId="77777777" w:rsidR="0063118D" w:rsidRPr="00A34299" w:rsidRDefault="005C4C89">
            <w:pPr>
              <w:pStyle w:val="Normal1"/>
            </w:pPr>
            <w:r w:rsidRPr="00A34299">
              <w:t>6.2</w:t>
            </w:r>
          </w:p>
        </w:tc>
      </w:tr>
      <w:tr w:rsidR="0063118D" w:rsidRPr="00A34299" w14:paraId="53ECB0E1" w14:textId="77777777">
        <w:trPr>
          <w:trHeight w:val="300"/>
          <w:jc w:val="center"/>
        </w:trPr>
        <w:tc>
          <w:tcPr>
            <w:tcW w:w="663" w:type="dxa"/>
          </w:tcPr>
          <w:p w14:paraId="18532935" w14:textId="77777777" w:rsidR="0063118D" w:rsidRPr="00A34299" w:rsidRDefault="005C4C89">
            <w:pPr>
              <w:pStyle w:val="Normal1"/>
              <w:jc w:val="both"/>
            </w:pPr>
            <w:r w:rsidRPr="00A34299">
              <w:t>1986</w:t>
            </w:r>
          </w:p>
        </w:tc>
        <w:tc>
          <w:tcPr>
            <w:tcW w:w="1712" w:type="dxa"/>
          </w:tcPr>
          <w:p w14:paraId="4960A022" w14:textId="77777777" w:rsidR="0063118D" w:rsidRPr="00A34299" w:rsidRDefault="005C4C89">
            <w:pPr>
              <w:pStyle w:val="Normal1"/>
              <w:jc w:val="both"/>
            </w:pPr>
            <w:r w:rsidRPr="00A34299">
              <w:t>5.4</w:t>
            </w:r>
          </w:p>
        </w:tc>
        <w:tc>
          <w:tcPr>
            <w:tcW w:w="663" w:type="dxa"/>
          </w:tcPr>
          <w:p w14:paraId="1AEC15F1" w14:textId="77777777" w:rsidR="0063118D" w:rsidRPr="00A34299" w:rsidRDefault="005C4C89">
            <w:pPr>
              <w:pStyle w:val="Normal1"/>
            </w:pPr>
            <w:r w:rsidRPr="00A34299">
              <w:t>2006</w:t>
            </w:r>
          </w:p>
        </w:tc>
        <w:tc>
          <w:tcPr>
            <w:tcW w:w="1712" w:type="dxa"/>
          </w:tcPr>
          <w:p w14:paraId="6E126D01" w14:textId="77777777" w:rsidR="0063118D" w:rsidRPr="00A34299" w:rsidRDefault="005C4C89">
            <w:pPr>
              <w:pStyle w:val="Normal1"/>
            </w:pPr>
            <w:r w:rsidRPr="00A34299">
              <w:t>5.7</w:t>
            </w:r>
          </w:p>
        </w:tc>
      </w:tr>
      <w:tr w:rsidR="0063118D" w:rsidRPr="00A34299" w14:paraId="0A1B67F4" w14:textId="77777777">
        <w:trPr>
          <w:trHeight w:val="300"/>
          <w:jc w:val="center"/>
        </w:trPr>
        <w:tc>
          <w:tcPr>
            <w:tcW w:w="663" w:type="dxa"/>
          </w:tcPr>
          <w:p w14:paraId="3A4A88C5" w14:textId="77777777" w:rsidR="0063118D" w:rsidRPr="00A34299" w:rsidRDefault="005C4C89">
            <w:pPr>
              <w:pStyle w:val="Normal1"/>
              <w:jc w:val="both"/>
            </w:pPr>
            <w:r w:rsidRPr="00A34299">
              <w:t>1987</w:t>
            </w:r>
          </w:p>
        </w:tc>
        <w:tc>
          <w:tcPr>
            <w:tcW w:w="1712" w:type="dxa"/>
          </w:tcPr>
          <w:p w14:paraId="586DD005" w14:textId="77777777" w:rsidR="0063118D" w:rsidRPr="00A34299" w:rsidRDefault="005C4C89">
            <w:pPr>
              <w:pStyle w:val="Normal1"/>
              <w:jc w:val="both"/>
            </w:pPr>
            <w:r w:rsidRPr="00A34299">
              <w:t>6.5</w:t>
            </w:r>
          </w:p>
        </w:tc>
        <w:tc>
          <w:tcPr>
            <w:tcW w:w="663" w:type="dxa"/>
          </w:tcPr>
          <w:p w14:paraId="07D24396" w14:textId="77777777" w:rsidR="0063118D" w:rsidRPr="00A34299" w:rsidRDefault="005C4C89">
            <w:pPr>
              <w:pStyle w:val="Normal1"/>
            </w:pPr>
            <w:r w:rsidRPr="00A34299">
              <w:t>2007</w:t>
            </w:r>
          </w:p>
        </w:tc>
        <w:tc>
          <w:tcPr>
            <w:tcW w:w="1712" w:type="dxa"/>
          </w:tcPr>
          <w:p w14:paraId="287776F5" w14:textId="77777777" w:rsidR="0063118D" w:rsidRPr="00A34299" w:rsidRDefault="005C4C89">
            <w:pPr>
              <w:pStyle w:val="Normal1"/>
            </w:pPr>
            <w:r w:rsidRPr="00A34299">
              <w:t>5.2</w:t>
            </w:r>
          </w:p>
        </w:tc>
      </w:tr>
      <w:tr w:rsidR="0063118D" w:rsidRPr="00A34299" w14:paraId="08382796" w14:textId="77777777">
        <w:trPr>
          <w:trHeight w:val="300"/>
          <w:jc w:val="center"/>
        </w:trPr>
        <w:tc>
          <w:tcPr>
            <w:tcW w:w="663" w:type="dxa"/>
          </w:tcPr>
          <w:p w14:paraId="586FB20A" w14:textId="77777777" w:rsidR="0063118D" w:rsidRPr="00A34299" w:rsidRDefault="005C4C89">
            <w:pPr>
              <w:pStyle w:val="Normal1"/>
              <w:jc w:val="both"/>
            </w:pPr>
            <w:r w:rsidRPr="00A34299">
              <w:t>1988</w:t>
            </w:r>
          </w:p>
        </w:tc>
        <w:tc>
          <w:tcPr>
            <w:tcW w:w="1712" w:type="dxa"/>
          </w:tcPr>
          <w:p w14:paraId="500DFE87" w14:textId="77777777" w:rsidR="0063118D" w:rsidRPr="00A34299" w:rsidRDefault="005C4C89">
            <w:pPr>
              <w:pStyle w:val="Normal1"/>
              <w:jc w:val="both"/>
            </w:pPr>
            <w:r w:rsidRPr="00A34299">
              <w:t>7.3</w:t>
            </w:r>
          </w:p>
        </w:tc>
        <w:tc>
          <w:tcPr>
            <w:tcW w:w="663" w:type="dxa"/>
          </w:tcPr>
          <w:p w14:paraId="43EA532A" w14:textId="77777777" w:rsidR="0063118D" w:rsidRPr="00A34299" w:rsidRDefault="005C4C89">
            <w:pPr>
              <w:pStyle w:val="Normal1"/>
            </w:pPr>
            <w:r w:rsidRPr="00A34299">
              <w:t>2008</w:t>
            </w:r>
          </w:p>
        </w:tc>
        <w:tc>
          <w:tcPr>
            <w:tcW w:w="1712" w:type="dxa"/>
          </w:tcPr>
          <w:p w14:paraId="0F854F19" w14:textId="77777777" w:rsidR="0063118D" w:rsidRPr="00A34299" w:rsidRDefault="005C4C89">
            <w:pPr>
              <w:pStyle w:val="Normal1"/>
            </w:pPr>
            <w:r w:rsidRPr="00A34299">
              <w:t>3.3</w:t>
            </w:r>
          </w:p>
        </w:tc>
      </w:tr>
      <w:tr w:rsidR="0063118D" w:rsidRPr="00A34299" w14:paraId="2DE6CCDE" w14:textId="77777777">
        <w:trPr>
          <w:trHeight w:val="300"/>
          <w:jc w:val="center"/>
        </w:trPr>
        <w:tc>
          <w:tcPr>
            <w:tcW w:w="663" w:type="dxa"/>
          </w:tcPr>
          <w:p w14:paraId="6D534D20" w14:textId="77777777" w:rsidR="0063118D" w:rsidRPr="00A34299" w:rsidRDefault="005C4C89">
            <w:pPr>
              <w:pStyle w:val="Normal1"/>
              <w:jc w:val="both"/>
            </w:pPr>
            <w:r w:rsidRPr="00A34299">
              <w:t>1989</w:t>
            </w:r>
          </w:p>
        </w:tc>
        <w:tc>
          <w:tcPr>
            <w:tcW w:w="1712" w:type="dxa"/>
          </w:tcPr>
          <w:p w14:paraId="2FC2C833" w14:textId="77777777" w:rsidR="0063118D" w:rsidRPr="00A34299" w:rsidRDefault="005C4C89">
            <w:pPr>
              <w:pStyle w:val="Normal1"/>
              <w:jc w:val="both"/>
            </w:pPr>
            <w:r w:rsidRPr="00A34299">
              <w:t>10.0</w:t>
            </w:r>
          </w:p>
        </w:tc>
        <w:tc>
          <w:tcPr>
            <w:tcW w:w="663" w:type="dxa"/>
          </w:tcPr>
          <w:p w14:paraId="5E8724DE" w14:textId="77777777" w:rsidR="0063118D" w:rsidRPr="00A34299" w:rsidRDefault="005C4C89">
            <w:pPr>
              <w:pStyle w:val="Normal1"/>
            </w:pPr>
            <w:r w:rsidRPr="00A34299">
              <w:t>2009</w:t>
            </w:r>
          </w:p>
        </w:tc>
        <w:tc>
          <w:tcPr>
            <w:tcW w:w="1712" w:type="dxa"/>
          </w:tcPr>
          <w:p w14:paraId="019E3869" w14:textId="77777777" w:rsidR="0063118D" w:rsidRPr="00A34299" w:rsidRDefault="005C4C89">
            <w:pPr>
              <w:pStyle w:val="Normal1"/>
            </w:pPr>
            <w:r w:rsidRPr="00A34299">
              <w:t>-1.0</w:t>
            </w:r>
          </w:p>
        </w:tc>
      </w:tr>
      <w:tr w:rsidR="0063118D" w:rsidRPr="00A34299" w14:paraId="69E759CA" w14:textId="77777777">
        <w:trPr>
          <w:trHeight w:val="300"/>
          <w:jc w:val="center"/>
        </w:trPr>
        <w:tc>
          <w:tcPr>
            <w:tcW w:w="663" w:type="dxa"/>
          </w:tcPr>
          <w:p w14:paraId="0A4E2763" w14:textId="77777777" w:rsidR="0063118D" w:rsidRPr="00A34299" w:rsidRDefault="005C4C89">
            <w:pPr>
              <w:pStyle w:val="Normal1"/>
              <w:jc w:val="both"/>
            </w:pPr>
            <w:r w:rsidRPr="00A34299">
              <w:t>1990</w:t>
            </w:r>
          </w:p>
        </w:tc>
        <w:tc>
          <w:tcPr>
            <w:tcW w:w="1712" w:type="dxa"/>
          </w:tcPr>
          <w:p w14:paraId="7349AB8F" w14:textId="77777777" w:rsidR="0063118D" w:rsidRPr="00A34299" w:rsidRDefault="005C4C89">
            <w:pPr>
              <w:pStyle w:val="Normal1"/>
              <w:jc w:val="both"/>
            </w:pPr>
            <w:r w:rsidRPr="00A34299">
              <w:t>3.4</w:t>
            </w:r>
          </w:p>
        </w:tc>
        <w:tc>
          <w:tcPr>
            <w:tcW w:w="663" w:type="dxa"/>
          </w:tcPr>
          <w:p w14:paraId="6C47840C" w14:textId="77777777" w:rsidR="0063118D" w:rsidRPr="00A34299" w:rsidRDefault="005C4C89">
            <w:pPr>
              <w:pStyle w:val="Normal1"/>
            </w:pPr>
            <w:r w:rsidRPr="00A34299">
              <w:t>2010</w:t>
            </w:r>
          </w:p>
        </w:tc>
        <w:tc>
          <w:tcPr>
            <w:tcW w:w="1712" w:type="dxa"/>
          </w:tcPr>
          <w:p w14:paraId="0EA1A298" w14:textId="77777777" w:rsidR="0063118D" w:rsidRPr="00A34299" w:rsidRDefault="005C4C89">
            <w:pPr>
              <w:pStyle w:val="Normal1"/>
            </w:pPr>
            <w:r w:rsidRPr="00A34299">
              <w:t>5.8</w:t>
            </w:r>
          </w:p>
        </w:tc>
      </w:tr>
      <w:tr w:rsidR="0063118D" w:rsidRPr="00A34299" w14:paraId="37244553" w14:textId="77777777">
        <w:trPr>
          <w:trHeight w:val="300"/>
          <w:jc w:val="center"/>
        </w:trPr>
        <w:tc>
          <w:tcPr>
            <w:tcW w:w="663" w:type="dxa"/>
          </w:tcPr>
          <w:p w14:paraId="6B6C798A" w14:textId="77777777" w:rsidR="0063118D" w:rsidRPr="00A34299" w:rsidRDefault="005C4C89">
            <w:pPr>
              <w:pStyle w:val="Normal1"/>
              <w:jc w:val="both"/>
            </w:pPr>
            <w:r w:rsidRPr="00A34299">
              <w:t>1991</w:t>
            </w:r>
          </w:p>
        </w:tc>
        <w:tc>
          <w:tcPr>
            <w:tcW w:w="1712" w:type="dxa"/>
          </w:tcPr>
          <w:p w14:paraId="3B7F9733" w14:textId="77777777" w:rsidR="0063118D" w:rsidRPr="00A34299" w:rsidRDefault="005C4C89">
            <w:pPr>
              <w:pStyle w:val="Normal1"/>
              <w:jc w:val="both"/>
            </w:pPr>
            <w:r w:rsidRPr="00A34299">
              <w:t>7.8</w:t>
            </w:r>
          </w:p>
        </w:tc>
        <w:tc>
          <w:tcPr>
            <w:tcW w:w="663" w:type="dxa"/>
          </w:tcPr>
          <w:p w14:paraId="28D840F1" w14:textId="77777777" w:rsidR="0063118D" w:rsidRPr="00A34299" w:rsidRDefault="005C4C89">
            <w:pPr>
              <w:pStyle w:val="Normal1"/>
            </w:pPr>
            <w:r w:rsidRPr="00A34299">
              <w:t>2011</w:t>
            </w:r>
          </w:p>
        </w:tc>
        <w:tc>
          <w:tcPr>
            <w:tcW w:w="1712" w:type="dxa"/>
          </w:tcPr>
          <w:p w14:paraId="0B4026FC" w14:textId="77777777" w:rsidR="0063118D" w:rsidRPr="00A34299" w:rsidRDefault="005C4C89">
            <w:pPr>
              <w:pStyle w:val="Normal1"/>
            </w:pPr>
            <w:r w:rsidRPr="00A34299">
              <w:t>5.8</w:t>
            </w:r>
          </w:p>
        </w:tc>
      </w:tr>
      <w:tr w:rsidR="0063118D" w:rsidRPr="00A34299" w14:paraId="1E4D4F43" w14:textId="77777777">
        <w:trPr>
          <w:trHeight w:val="300"/>
          <w:jc w:val="center"/>
        </w:trPr>
        <w:tc>
          <w:tcPr>
            <w:tcW w:w="663" w:type="dxa"/>
          </w:tcPr>
          <w:p w14:paraId="05844857" w14:textId="77777777" w:rsidR="0063118D" w:rsidRPr="00A34299" w:rsidRDefault="005C4C89">
            <w:pPr>
              <w:pStyle w:val="Normal1"/>
              <w:jc w:val="both"/>
            </w:pPr>
            <w:r w:rsidRPr="00A34299">
              <w:t>1992</w:t>
            </w:r>
          </w:p>
        </w:tc>
        <w:tc>
          <w:tcPr>
            <w:tcW w:w="1712" w:type="dxa"/>
          </w:tcPr>
          <w:p w14:paraId="3ED7D426" w14:textId="77777777" w:rsidR="0063118D" w:rsidRPr="00A34299" w:rsidRDefault="005C4C89">
            <w:pPr>
              <w:pStyle w:val="Normal1"/>
              <w:jc w:val="both"/>
            </w:pPr>
            <w:r w:rsidRPr="00A34299">
              <w:t>11.2</w:t>
            </w:r>
          </w:p>
        </w:tc>
        <w:tc>
          <w:tcPr>
            <w:tcW w:w="663" w:type="dxa"/>
          </w:tcPr>
          <w:p w14:paraId="78F28586" w14:textId="77777777" w:rsidR="0063118D" w:rsidRPr="00A34299" w:rsidRDefault="005C4C89">
            <w:pPr>
              <w:pStyle w:val="Normal1"/>
            </w:pPr>
            <w:r w:rsidRPr="00A34299">
              <w:t>2012</w:t>
            </w:r>
          </w:p>
        </w:tc>
        <w:tc>
          <w:tcPr>
            <w:tcW w:w="1712" w:type="dxa"/>
          </w:tcPr>
          <w:p w14:paraId="0AF97013" w14:textId="77777777" w:rsidR="0063118D" w:rsidRPr="00A34299" w:rsidRDefault="005C4C89">
            <w:pPr>
              <w:pStyle w:val="Normal1"/>
            </w:pPr>
            <w:r w:rsidRPr="00A34299">
              <w:t>5.5</w:t>
            </w:r>
          </w:p>
        </w:tc>
      </w:tr>
      <w:tr w:rsidR="0063118D" w:rsidRPr="00A34299" w14:paraId="12CBF33B" w14:textId="77777777">
        <w:trPr>
          <w:trHeight w:val="300"/>
          <w:jc w:val="center"/>
        </w:trPr>
        <w:tc>
          <w:tcPr>
            <w:tcW w:w="663" w:type="dxa"/>
          </w:tcPr>
          <w:p w14:paraId="16E68653" w14:textId="77777777" w:rsidR="0063118D" w:rsidRPr="00A34299" w:rsidRDefault="005C4C89">
            <w:pPr>
              <w:pStyle w:val="Normal1"/>
              <w:jc w:val="both"/>
            </w:pPr>
            <w:r w:rsidRPr="00A34299">
              <w:t>1993</w:t>
            </w:r>
          </w:p>
        </w:tc>
        <w:tc>
          <w:tcPr>
            <w:tcW w:w="1712" w:type="dxa"/>
          </w:tcPr>
          <w:p w14:paraId="24BBCE7C" w14:textId="77777777" w:rsidR="0063118D" w:rsidRPr="00A34299" w:rsidRDefault="005C4C89">
            <w:pPr>
              <w:pStyle w:val="Normal1"/>
              <w:jc w:val="both"/>
            </w:pPr>
            <w:r w:rsidRPr="00A34299">
              <w:t>6.8</w:t>
            </w:r>
          </w:p>
        </w:tc>
        <w:tc>
          <w:tcPr>
            <w:tcW w:w="663" w:type="dxa"/>
          </w:tcPr>
          <w:p w14:paraId="53ED2497" w14:textId="77777777" w:rsidR="0063118D" w:rsidRPr="00A34299" w:rsidRDefault="005C4C89">
            <w:pPr>
              <w:pStyle w:val="Normal1"/>
            </w:pPr>
            <w:r w:rsidRPr="00A34299">
              <w:t>2013</w:t>
            </w:r>
          </w:p>
        </w:tc>
        <w:tc>
          <w:tcPr>
            <w:tcW w:w="1712" w:type="dxa"/>
          </w:tcPr>
          <w:p w14:paraId="4BA1A1E0" w14:textId="77777777" w:rsidR="0063118D" w:rsidRPr="00A34299" w:rsidRDefault="005C4C89">
            <w:pPr>
              <w:pStyle w:val="Normal1"/>
            </w:pPr>
            <w:r w:rsidRPr="00A34299">
              <w:t>4.2</w:t>
            </w:r>
          </w:p>
        </w:tc>
      </w:tr>
      <w:tr w:rsidR="0063118D" w:rsidRPr="00A34299" w14:paraId="61C4BF2B" w14:textId="77777777">
        <w:trPr>
          <w:trHeight w:val="300"/>
          <w:jc w:val="center"/>
        </w:trPr>
        <w:tc>
          <w:tcPr>
            <w:tcW w:w="663" w:type="dxa"/>
          </w:tcPr>
          <w:p w14:paraId="353EE4A4" w14:textId="77777777" w:rsidR="0063118D" w:rsidRPr="00A34299" w:rsidRDefault="005C4C89">
            <w:pPr>
              <w:pStyle w:val="Normal1"/>
              <w:jc w:val="both"/>
            </w:pPr>
            <w:r w:rsidRPr="00A34299">
              <w:t>1994</w:t>
            </w:r>
          </w:p>
        </w:tc>
        <w:tc>
          <w:tcPr>
            <w:tcW w:w="1712" w:type="dxa"/>
          </w:tcPr>
          <w:p w14:paraId="48D648FC" w14:textId="77777777" w:rsidR="0063118D" w:rsidRPr="00A34299" w:rsidRDefault="005C4C89">
            <w:pPr>
              <w:pStyle w:val="Normal1"/>
              <w:jc w:val="both"/>
            </w:pPr>
            <w:r w:rsidRPr="00A34299">
              <w:t>5.0</w:t>
            </w:r>
          </w:p>
        </w:tc>
        <w:tc>
          <w:tcPr>
            <w:tcW w:w="663" w:type="dxa"/>
          </w:tcPr>
          <w:p w14:paraId="5FBACA7B" w14:textId="77777777" w:rsidR="0063118D" w:rsidRPr="00A34299" w:rsidRDefault="005C4C89">
            <w:pPr>
              <w:pStyle w:val="Normal1"/>
            </w:pPr>
            <w:r w:rsidRPr="00A34299">
              <w:t>2014</w:t>
            </w:r>
          </w:p>
        </w:tc>
        <w:tc>
          <w:tcPr>
            <w:tcW w:w="1712" w:type="dxa"/>
          </w:tcPr>
          <w:p w14:paraId="1BF6AFD8" w14:textId="77777777" w:rsidR="0063118D" w:rsidRPr="00A34299" w:rsidRDefault="005C4C89">
            <w:pPr>
              <w:pStyle w:val="Normal1"/>
            </w:pPr>
            <w:r w:rsidRPr="00A34299">
              <w:t>1.9</w:t>
            </w:r>
          </w:p>
        </w:tc>
      </w:tr>
      <w:tr w:rsidR="0063118D" w:rsidRPr="00A34299" w14:paraId="2DAD2B4C" w14:textId="77777777">
        <w:trPr>
          <w:gridAfter w:val="2"/>
          <w:wAfter w:w="2375" w:type="dxa"/>
          <w:trHeight w:val="300"/>
          <w:jc w:val="center"/>
        </w:trPr>
        <w:tc>
          <w:tcPr>
            <w:tcW w:w="663" w:type="dxa"/>
          </w:tcPr>
          <w:p w14:paraId="53E6BC52" w14:textId="77777777" w:rsidR="0063118D" w:rsidRPr="00A34299" w:rsidRDefault="005C4C89">
            <w:pPr>
              <w:pStyle w:val="Normal1"/>
              <w:jc w:val="both"/>
            </w:pPr>
            <w:r w:rsidRPr="00A34299">
              <w:t>1995</w:t>
            </w:r>
          </w:p>
        </w:tc>
        <w:tc>
          <w:tcPr>
            <w:tcW w:w="1712" w:type="dxa"/>
          </w:tcPr>
          <w:p w14:paraId="55D37E9D" w14:textId="77777777" w:rsidR="0063118D" w:rsidRPr="00A34299" w:rsidRDefault="005C4C89">
            <w:pPr>
              <w:pStyle w:val="Normal1"/>
              <w:jc w:val="both"/>
            </w:pPr>
            <w:r w:rsidRPr="00A34299">
              <w:t>9.0</w:t>
            </w:r>
          </w:p>
        </w:tc>
      </w:tr>
    </w:tbl>
    <w:p w14:paraId="6762C96A" w14:textId="77777777" w:rsidR="0063118D" w:rsidRPr="00A34299" w:rsidRDefault="005C4C89">
      <w:pPr>
        <w:pStyle w:val="Normal1"/>
        <w:spacing w:after="0" w:line="240" w:lineRule="auto"/>
        <w:ind w:hanging="720"/>
        <w:jc w:val="center"/>
        <w:rPr>
          <w:rFonts w:ascii="Times New Roman" w:eastAsia="Times New Roman" w:hAnsi="Times New Roman" w:cs="Times New Roman"/>
        </w:rPr>
      </w:pPr>
      <w:r w:rsidRPr="00A34299">
        <w:rPr>
          <w:rFonts w:ascii="Times New Roman" w:eastAsia="Times New Roman" w:hAnsi="Times New Roman" w:cs="Times New Roman"/>
        </w:rPr>
        <w:t>Source: Chilean Central Bank Statistics</w:t>
      </w:r>
    </w:p>
    <w:p w14:paraId="53D5DA4C" w14:textId="77777777" w:rsidR="0063118D" w:rsidRPr="00A34299" w:rsidRDefault="0063118D">
      <w:pPr>
        <w:pStyle w:val="Normal1"/>
        <w:spacing w:after="0" w:line="240" w:lineRule="auto"/>
        <w:ind w:hanging="720"/>
        <w:rPr>
          <w:rFonts w:ascii="Times New Roman" w:eastAsia="Times New Roman" w:hAnsi="Times New Roman" w:cs="Times New Roman"/>
        </w:rPr>
      </w:pPr>
    </w:p>
    <w:p w14:paraId="4E2479F0" w14:textId="3CAF388C" w:rsidR="0063118D" w:rsidRDefault="005C4C89" w:rsidP="00FD68B6">
      <w:pPr>
        <w:pStyle w:val="Normal1"/>
        <w:spacing w:after="0" w:line="240" w:lineRule="auto"/>
        <w:rPr>
          <w:rFonts w:ascii="Times New Roman" w:eastAsia="Times New Roman" w:hAnsi="Times New Roman" w:cs="Times New Roman"/>
        </w:rPr>
      </w:pPr>
      <w:r w:rsidRPr="00A34299">
        <w:rPr>
          <w:rFonts w:ascii="Times New Roman" w:eastAsia="Times New Roman" w:hAnsi="Times New Roman" w:cs="Times New Roman"/>
        </w:rPr>
        <w:t xml:space="preserve">A probability </w:t>
      </w:r>
      <w:r w:rsidR="00EE3664" w:rsidRPr="00A34299">
        <w:rPr>
          <w:rFonts w:ascii="Times New Roman" w:eastAsia="Times New Roman" w:hAnsi="Times New Roman" w:cs="Times New Roman"/>
        </w:rPr>
        <w:t>distribution</w:t>
      </w:r>
      <w:r w:rsidRPr="00A34299">
        <w:rPr>
          <w:rFonts w:ascii="Times New Roman" w:eastAsia="Times New Roman" w:hAnsi="Times New Roman" w:cs="Times New Roman"/>
        </w:rPr>
        <w:t xml:space="preserve"> is obtained to create a random GDP variable for each year, around the more probable MAP</w:t>
      </w:r>
      <w:r w:rsidR="00EE3664" w:rsidRPr="00A34299">
        <w:rPr>
          <w:rFonts w:ascii="Times New Roman" w:eastAsia="Times New Roman" w:hAnsi="Times New Roman" w:cs="Times New Roman"/>
        </w:rPr>
        <w:t xml:space="preserve">S-Chile growth rate. For this, </w:t>
      </w:r>
      <w:r w:rsidRPr="00A34299">
        <w:rPr>
          <w:rFonts w:ascii="Times New Roman" w:eastAsia="Times New Roman" w:hAnsi="Times New Roman" w:cs="Times New Roman"/>
        </w:rPr>
        <w:t>the goodness of fit is determine</w:t>
      </w:r>
      <w:r w:rsidR="00011315" w:rsidRPr="00A34299">
        <w:rPr>
          <w:rFonts w:ascii="Times New Roman" w:eastAsia="Times New Roman" w:hAnsi="Times New Roman" w:cs="Times New Roman"/>
        </w:rPr>
        <w:t>d</w:t>
      </w:r>
      <w:r w:rsidRPr="00A34299">
        <w:rPr>
          <w:rFonts w:ascii="Times New Roman" w:eastAsia="Times New Roman" w:hAnsi="Times New Roman" w:cs="Times New Roman"/>
        </w:rPr>
        <w:t xml:space="preserve"> from the data using the </w:t>
      </w:r>
      <w:proofErr w:type="spellStart"/>
      <w:r w:rsidRPr="00A34299">
        <w:rPr>
          <w:rFonts w:ascii="Times New Roman" w:eastAsia="Times New Roman" w:hAnsi="Times New Roman" w:cs="Times New Roman"/>
        </w:rPr>
        <w:t>Kolmogórov-Smirnovel</w:t>
      </w:r>
      <w:proofErr w:type="spellEnd"/>
      <w:r w:rsidRPr="00A34299">
        <w:rPr>
          <w:rFonts w:ascii="Times New Roman" w:eastAsia="Times New Roman" w:hAnsi="Times New Roman" w:cs="Times New Roman"/>
        </w:rPr>
        <w:t xml:space="preserve"> test with Oracle Crystal Ball software (see following figure), elimin</w:t>
      </w:r>
      <w:r w:rsidR="00011315" w:rsidRPr="00A34299">
        <w:rPr>
          <w:rFonts w:ascii="Times New Roman" w:eastAsia="Times New Roman" w:hAnsi="Times New Roman" w:cs="Times New Roman"/>
        </w:rPr>
        <w:t xml:space="preserve">ating the data above 7% and </w:t>
      </w:r>
      <w:r w:rsidRPr="00A34299">
        <w:rPr>
          <w:rFonts w:ascii="Times New Roman" w:eastAsia="Times New Roman" w:hAnsi="Times New Roman" w:cs="Times New Roman"/>
        </w:rPr>
        <w:t>those below -6%. I</w:t>
      </w:r>
      <w:r w:rsidR="00FD68B6" w:rsidRPr="00A34299">
        <w:rPr>
          <w:rFonts w:ascii="Times New Roman" w:eastAsia="Times New Roman" w:hAnsi="Times New Roman" w:cs="Times New Roman"/>
        </w:rPr>
        <w:t>n this way the distribution can</w:t>
      </w:r>
      <w:r w:rsidRPr="00A34299">
        <w:rPr>
          <w:rFonts w:ascii="Times New Roman" w:eastAsia="Times New Roman" w:hAnsi="Times New Roman" w:cs="Times New Roman"/>
        </w:rPr>
        <w:t xml:space="preserve">not deliver </w:t>
      </w:r>
      <w:r w:rsidR="00011315" w:rsidRPr="00A34299">
        <w:rPr>
          <w:rFonts w:ascii="Times New Roman" w:eastAsia="Times New Roman" w:hAnsi="Times New Roman" w:cs="Times New Roman"/>
        </w:rPr>
        <w:t xml:space="preserve">rates of GDP growth outside a </w:t>
      </w:r>
      <w:r w:rsidR="00FB2942" w:rsidRPr="00A34299">
        <w:rPr>
          <w:rFonts w:ascii="Times New Roman" w:eastAsia="Times New Roman" w:hAnsi="Times New Roman" w:cs="Times New Roman"/>
        </w:rPr>
        <w:t xml:space="preserve">range </w:t>
      </w:r>
      <w:r w:rsidRPr="00A34299">
        <w:rPr>
          <w:rFonts w:ascii="Times New Roman" w:eastAsia="Times New Roman" w:hAnsi="Times New Roman" w:cs="Times New Roman"/>
        </w:rPr>
        <w:t xml:space="preserve">according to the assumptions of the deterministic model, which consider a stable and decreasing growth rate, </w:t>
      </w:r>
      <w:r w:rsidR="00FB2942" w:rsidRPr="00A34299">
        <w:rPr>
          <w:rFonts w:ascii="Times New Roman" w:eastAsia="Times New Roman" w:hAnsi="Times New Roman" w:cs="Times New Roman"/>
        </w:rPr>
        <w:t>similar to th</w:t>
      </w:r>
      <w:r w:rsidR="00011315" w:rsidRPr="00A34299">
        <w:rPr>
          <w:rFonts w:ascii="Times New Roman" w:eastAsia="Times New Roman" w:hAnsi="Times New Roman" w:cs="Times New Roman"/>
        </w:rPr>
        <w:t>e trend in more developed countries like Spain and the US.  The probability dist</w:t>
      </w:r>
      <w:r w:rsidR="00EE3664" w:rsidRPr="00A34299">
        <w:rPr>
          <w:rFonts w:ascii="Times New Roman" w:eastAsia="Times New Roman" w:hAnsi="Times New Roman" w:cs="Times New Roman"/>
        </w:rPr>
        <w:t>ribution selected is a Logistic</w:t>
      </w:r>
      <w:r w:rsidR="00011315" w:rsidRPr="00A34299">
        <w:rPr>
          <w:rFonts w:ascii="Times New Roman" w:eastAsia="Times New Roman" w:hAnsi="Times New Roman" w:cs="Times New Roman"/>
        </w:rPr>
        <w:t xml:space="preserve"> given the goodness of fit.  As observed in the following figure, the two statistics presented</w:t>
      </w:r>
      <w:r w:rsidR="00FD68B6" w:rsidRPr="00A34299">
        <w:rPr>
          <w:rFonts w:ascii="Times New Roman" w:eastAsia="Times New Roman" w:hAnsi="Times New Roman" w:cs="Times New Roman"/>
        </w:rPr>
        <w:t>,</w:t>
      </w:r>
      <w:r w:rsidR="00011315" w:rsidRPr="00A34299">
        <w:rPr>
          <w:rFonts w:ascii="Times New Roman" w:eastAsia="Times New Roman" w:hAnsi="Times New Roman" w:cs="Times New Roman"/>
        </w:rPr>
        <w:t xml:space="preserve"> P-value and D (K-S)</w:t>
      </w:r>
      <w:r w:rsidR="00FD68B6" w:rsidRPr="00A34299">
        <w:rPr>
          <w:rFonts w:ascii="Times New Roman" w:eastAsia="Times New Roman" w:hAnsi="Times New Roman" w:cs="Times New Roman"/>
        </w:rPr>
        <w:t>,</w:t>
      </w:r>
      <w:r w:rsidR="00011315" w:rsidRPr="00A34299">
        <w:rPr>
          <w:rFonts w:ascii="Times New Roman" w:eastAsia="Times New Roman" w:hAnsi="Times New Roman" w:cs="Times New Roman"/>
        </w:rPr>
        <w:t xml:space="preserve"> are appropriate. </w:t>
      </w:r>
    </w:p>
    <w:p w14:paraId="6091400A" w14:textId="77777777" w:rsidR="000E26FA" w:rsidRPr="00A34299" w:rsidRDefault="000E26FA" w:rsidP="00FD68B6">
      <w:pPr>
        <w:pStyle w:val="Normal1"/>
        <w:spacing w:after="0" w:line="240" w:lineRule="auto"/>
        <w:rPr>
          <w:rFonts w:ascii="Times New Roman" w:eastAsia="Times New Roman" w:hAnsi="Times New Roman" w:cs="Times New Roman"/>
        </w:rPr>
      </w:pPr>
    </w:p>
    <w:p w14:paraId="24C0583F" w14:textId="53730885" w:rsidR="0063118D" w:rsidRPr="00A34299" w:rsidRDefault="00C4388D" w:rsidP="00C4388D">
      <w:pPr>
        <w:pStyle w:val="Normal1"/>
        <w:spacing w:after="0" w:line="240" w:lineRule="auto"/>
        <w:jc w:val="center"/>
        <w:rPr>
          <w:rFonts w:ascii="Times New Roman" w:eastAsia="Times New Roman" w:hAnsi="Times New Roman" w:cs="Times New Roman"/>
          <w:sz w:val="24"/>
          <w:szCs w:val="24"/>
        </w:rPr>
      </w:pPr>
      <w:r w:rsidRPr="00C4388D">
        <w:rPr>
          <w:rFonts w:ascii="Times New Roman" w:eastAsia="Times New Roman" w:hAnsi="Times New Roman" w:cs="Times New Roman"/>
          <w:noProof/>
          <w:sz w:val="24"/>
          <w:szCs w:val="24"/>
          <w:lang w:val="es-ES_tradnl" w:eastAsia="es-ES_tradnl"/>
        </w:rPr>
        <w:drawing>
          <wp:inline distT="0" distB="0" distL="0" distR="0" wp14:anchorId="7F1AAE94" wp14:editId="5E12F67F">
            <wp:extent cx="5612130" cy="3722370"/>
            <wp:effectExtent l="0" t="0" r="1270" b="1143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722370"/>
                    </a:xfrm>
                    <a:prstGeom prst="rect">
                      <a:avLst/>
                    </a:prstGeom>
                  </pic:spPr>
                </pic:pic>
              </a:graphicData>
            </a:graphic>
          </wp:inline>
        </w:drawing>
      </w:r>
    </w:p>
    <w:p w14:paraId="0F2CD34D" w14:textId="77777777" w:rsidR="0063118D" w:rsidRPr="00A34299" w:rsidRDefault="005C4C89">
      <w:pPr>
        <w:pStyle w:val="Normal1"/>
        <w:spacing w:after="0" w:line="240" w:lineRule="auto"/>
        <w:ind w:hanging="720"/>
        <w:jc w:val="center"/>
        <w:rPr>
          <w:rFonts w:ascii="Times New Roman" w:eastAsia="Times New Roman" w:hAnsi="Times New Roman" w:cs="Times New Roman"/>
          <w:b/>
          <w:sz w:val="24"/>
          <w:szCs w:val="24"/>
        </w:rPr>
      </w:pPr>
      <w:r w:rsidRPr="00A34299">
        <w:rPr>
          <w:rFonts w:ascii="Times New Roman" w:eastAsia="Times New Roman" w:hAnsi="Times New Roman" w:cs="Times New Roman"/>
          <w:b/>
        </w:rPr>
        <w:t>Fig. 3. Fit to GDP historical growth data. Source: Own elaboration</w:t>
      </w:r>
    </w:p>
    <w:p w14:paraId="45B2EEA3" w14:textId="77777777" w:rsidR="0063118D" w:rsidRPr="00A34299" w:rsidRDefault="005C4C89" w:rsidP="00C4388D">
      <w:pPr>
        <w:pStyle w:val="Normal1"/>
        <w:spacing w:after="0" w:line="240" w:lineRule="auto"/>
        <w:ind w:left="720" w:hanging="720"/>
        <w:rPr>
          <w:rFonts w:ascii="Times New Roman" w:eastAsia="Times New Roman" w:hAnsi="Times New Roman" w:cs="Times New Roman"/>
        </w:rPr>
      </w:pPr>
      <w:r w:rsidRPr="00A34299">
        <w:rPr>
          <w:rFonts w:ascii="Times New Roman" w:eastAsia="Times New Roman" w:hAnsi="Times New Roman" w:cs="Times New Roman"/>
        </w:rPr>
        <w:t>P-value: 0.059</w:t>
      </w:r>
    </w:p>
    <w:p w14:paraId="7C79CFDC" w14:textId="77777777" w:rsidR="0063118D" w:rsidRPr="00A34299" w:rsidRDefault="005C4C89" w:rsidP="00C4388D">
      <w:pPr>
        <w:pStyle w:val="Normal1"/>
        <w:spacing w:after="0" w:line="240" w:lineRule="auto"/>
        <w:ind w:left="720" w:hanging="720"/>
        <w:rPr>
          <w:rFonts w:ascii="Times New Roman" w:eastAsia="Times New Roman" w:hAnsi="Times New Roman" w:cs="Times New Roman"/>
        </w:rPr>
      </w:pPr>
      <w:r w:rsidRPr="00A34299">
        <w:rPr>
          <w:rFonts w:ascii="Times New Roman" w:eastAsia="Times New Roman" w:hAnsi="Times New Roman" w:cs="Times New Roman"/>
        </w:rPr>
        <w:t>D (K-S): 0.1471</w:t>
      </w:r>
    </w:p>
    <w:p w14:paraId="6828134B" w14:textId="77777777" w:rsidR="0063118D" w:rsidRPr="00A34299" w:rsidRDefault="005C4C89" w:rsidP="00C4388D">
      <w:pPr>
        <w:pStyle w:val="Normal1"/>
        <w:spacing w:after="0" w:line="240" w:lineRule="auto"/>
        <w:ind w:left="720" w:hanging="720"/>
        <w:rPr>
          <w:rFonts w:ascii="Times New Roman" w:eastAsia="Times New Roman" w:hAnsi="Times New Roman" w:cs="Times New Roman"/>
        </w:rPr>
      </w:pPr>
      <w:r w:rsidRPr="00A34299">
        <w:rPr>
          <w:rFonts w:ascii="Times New Roman" w:eastAsia="Times New Roman" w:hAnsi="Times New Roman" w:cs="Times New Roman"/>
        </w:rPr>
        <w:t>Mean: 4.36</w:t>
      </w:r>
    </w:p>
    <w:p w14:paraId="6479257F" w14:textId="77777777" w:rsidR="0063118D" w:rsidRPr="00A34299" w:rsidRDefault="005C4C89" w:rsidP="00C4388D">
      <w:pPr>
        <w:pStyle w:val="Normal1"/>
        <w:spacing w:after="0" w:line="240" w:lineRule="auto"/>
        <w:ind w:left="720" w:hanging="720"/>
        <w:rPr>
          <w:rFonts w:ascii="Times New Roman" w:eastAsia="Times New Roman" w:hAnsi="Times New Roman" w:cs="Times New Roman"/>
        </w:rPr>
      </w:pPr>
      <w:r w:rsidRPr="00A34299">
        <w:rPr>
          <w:rFonts w:ascii="Times New Roman" w:eastAsia="Times New Roman" w:hAnsi="Times New Roman" w:cs="Times New Roman"/>
        </w:rPr>
        <w:t>Scale: 1.39</w:t>
      </w:r>
    </w:p>
    <w:p w14:paraId="16A05FA4" w14:textId="77777777" w:rsidR="0063118D" w:rsidRPr="00A34299" w:rsidRDefault="0063118D">
      <w:pPr>
        <w:pStyle w:val="Normal1"/>
        <w:spacing w:after="0" w:line="240" w:lineRule="auto"/>
        <w:rPr>
          <w:rFonts w:ascii="Times New Roman" w:eastAsia="Times New Roman" w:hAnsi="Times New Roman" w:cs="Times New Roman"/>
        </w:rPr>
      </w:pPr>
    </w:p>
    <w:p w14:paraId="0DFA2CB0" w14:textId="1FFECFC3" w:rsidR="0063118D" w:rsidRPr="00A34299" w:rsidRDefault="005C4C89">
      <w:pPr>
        <w:pStyle w:val="Normal1"/>
        <w:spacing w:after="0" w:line="240" w:lineRule="auto"/>
        <w:rPr>
          <w:rFonts w:ascii="Times New Roman" w:eastAsia="Times New Roman" w:hAnsi="Times New Roman" w:cs="Times New Roman"/>
        </w:rPr>
      </w:pPr>
      <w:r w:rsidRPr="00C4388D">
        <w:rPr>
          <w:rFonts w:ascii="Times New Roman" w:eastAsia="Times New Roman" w:hAnsi="Times New Roman" w:cs="Times New Roman"/>
        </w:rPr>
        <w:t>From the fit, the Scale value = 1.39 is obtained from the Logistic curve, that defines the future rates over the base of the average expected by MAPS-Chile.</w:t>
      </w:r>
    </w:p>
    <w:p w14:paraId="51911CC0" w14:textId="57426A86" w:rsidR="008F0A1E" w:rsidRDefault="008F0A1E">
      <w:pPr>
        <w:pBdr>
          <w:top w:val="nil"/>
          <w:left w:val="nil"/>
          <w:bottom w:val="nil"/>
          <w:right w:val="nil"/>
          <w:between w:val="nil"/>
        </w:pBdr>
        <w:spacing w:after="160" w:line="259" w:lineRule="auto"/>
        <w:rPr>
          <w:rFonts w:eastAsia="Times New Roman"/>
          <w:color w:val="000000"/>
          <w:sz w:val="22"/>
          <w:szCs w:val="22"/>
          <w:lang w:val="en-US" w:eastAsia="es-ES"/>
        </w:rPr>
      </w:pPr>
      <w:r>
        <w:rPr>
          <w:rFonts w:eastAsia="Times New Roman"/>
        </w:rPr>
        <w:br w:type="page"/>
      </w:r>
    </w:p>
    <w:p w14:paraId="29FD7624" w14:textId="77777777" w:rsidR="0063118D" w:rsidRPr="00A34299" w:rsidRDefault="0063118D">
      <w:pPr>
        <w:pStyle w:val="Normal1"/>
        <w:spacing w:after="0" w:line="240" w:lineRule="auto"/>
        <w:ind w:hanging="720"/>
        <w:rPr>
          <w:rFonts w:ascii="Times New Roman" w:eastAsia="Times New Roman" w:hAnsi="Times New Roman" w:cs="Times New Roman"/>
        </w:rPr>
      </w:pPr>
    </w:p>
    <w:p w14:paraId="4708D029" w14:textId="77777777" w:rsidR="0063118D" w:rsidRPr="00A34299" w:rsidRDefault="005C4C89" w:rsidP="000E26FA">
      <w:pPr>
        <w:pStyle w:val="Ttulo2"/>
      </w:pPr>
      <w:r w:rsidRPr="00A34299">
        <w:t>Copper production</w:t>
      </w:r>
    </w:p>
    <w:p w14:paraId="382689A4" w14:textId="77777777" w:rsidR="0063118D" w:rsidRPr="00A34299" w:rsidRDefault="0063118D">
      <w:pPr>
        <w:pStyle w:val="Normal1"/>
        <w:spacing w:after="0" w:line="240" w:lineRule="auto"/>
        <w:ind w:hanging="720"/>
        <w:rPr>
          <w:rFonts w:ascii="Times New Roman" w:eastAsia="Times New Roman" w:hAnsi="Times New Roman" w:cs="Times New Roman"/>
        </w:rPr>
      </w:pPr>
    </w:p>
    <w:p w14:paraId="397B1CC3" w14:textId="77777777" w:rsidR="0063118D" w:rsidRPr="00A34299" w:rsidRDefault="005C4C89" w:rsidP="00FD68B6">
      <w:pPr>
        <w:pStyle w:val="Normal1"/>
        <w:spacing w:after="0" w:line="240" w:lineRule="auto"/>
        <w:rPr>
          <w:rFonts w:ascii="Times New Roman" w:eastAsia="Times New Roman" w:hAnsi="Times New Roman" w:cs="Times New Roman"/>
        </w:rPr>
      </w:pPr>
      <w:r w:rsidRPr="00A34299">
        <w:rPr>
          <w:rFonts w:ascii="Times New Roman" w:eastAsia="Times New Roman" w:hAnsi="Times New Roman" w:cs="Times New Roman"/>
        </w:rPr>
        <w:t>Copper production each year in the deterministic model is obtained from projections up to 2030 from the Chilean Copper Commission (COCHILCO 2015a, b). These data are based on investment projects declared by mining companies for the period. This same Commission has analyzed the uncertainty associated with these projections based on historical evidence of how projects materialize in different stages. To do this, COCHILCO initially defines a set of deterministic weights to calculate the most probable yearly future production. This is the best source of uncertainty available for the current analysis.</w:t>
      </w:r>
    </w:p>
    <w:p w14:paraId="430B49EB" w14:textId="77777777" w:rsidR="0063118D" w:rsidRPr="00A34299" w:rsidRDefault="0063118D">
      <w:pPr>
        <w:pStyle w:val="Normal1"/>
        <w:spacing w:after="0" w:line="240" w:lineRule="auto"/>
        <w:ind w:hanging="720"/>
        <w:rPr>
          <w:rFonts w:ascii="Times New Roman" w:eastAsia="Times New Roman" w:hAnsi="Times New Roman" w:cs="Times New Roman"/>
        </w:rPr>
      </w:pPr>
    </w:p>
    <w:p w14:paraId="231F977C" w14:textId="7DDE7F30" w:rsidR="0063118D" w:rsidRPr="00A34299" w:rsidRDefault="005C4C89" w:rsidP="00FD68B6">
      <w:pPr>
        <w:pStyle w:val="Normal1"/>
        <w:spacing w:after="0" w:line="240" w:lineRule="auto"/>
        <w:rPr>
          <w:rFonts w:ascii="Times New Roman" w:eastAsia="Times New Roman" w:hAnsi="Times New Roman" w:cs="Times New Roman"/>
        </w:rPr>
      </w:pPr>
      <w:r w:rsidRPr="00A34299">
        <w:rPr>
          <w:rFonts w:ascii="Times New Roman" w:eastAsia="Times New Roman" w:hAnsi="Times New Roman" w:cs="Times New Roman"/>
        </w:rPr>
        <w:t>Fifty-one mining projects are expected to be developed in the next 12 years (</w:t>
      </w:r>
      <w:proofErr w:type="spellStart"/>
      <w:r w:rsidRPr="00A34299">
        <w:rPr>
          <w:rFonts w:ascii="Times New Roman" w:eastAsia="Times New Roman" w:hAnsi="Times New Roman" w:cs="Times New Roman"/>
        </w:rPr>
        <w:t>COCHIlLCO</w:t>
      </w:r>
      <w:proofErr w:type="spellEnd"/>
      <w:r w:rsidRPr="00A34299">
        <w:rPr>
          <w:rFonts w:ascii="Times New Roman" w:eastAsia="Times New Roman" w:hAnsi="Times New Roman" w:cs="Times New Roman"/>
        </w:rPr>
        <w:t>, 2015a). Based on this information, three deterministic production scenarios are obtained: Maximum production scenario, Most probable production scenario</w:t>
      </w:r>
      <w:r w:rsidR="00FB2942" w:rsidRPr="00A34299">
        <w:rPr>
          <w:rFonts w:ascii="Times New Roman" w:eastAsia="Times New Roman" w:hAnsi="Times New Roman" w:cs="Times New Roman"/>
        </w:rPr>
        <w:t>,</w:t>
      </w:r>
      <w:r w:rsidRPr="00A34299">
        <w:rPr>
          <w:rFonts w:ascii="Times New Roman" w:eastAsia="Times New Roman" w:hAnsi="Times New Roman" w:cs="Times New Roman"/>
        </w:rPr>
        <w:t xml:space="preserve"> and Minimum production scenario.</w:t>
      </w:r>
    </w:p>
    <w:p w14:paraId="0E034518" w14:textId="77777777" w:rsidR="0063118D" w:rsidRPr="00A34299" w:rsidRDefault="0063118D">
      <w:pPr>
        <w:pStyle w:val="Normal1"/>
        <w:spacing w:line="240" w:lineRule="auto"/>
        <w:ind w:hanging="720"/>
        <w:rPr>
          <w:rFonts w:ascii="Times New Roman" w:eastAsia="Times New Roman" w:hAnsi="Times New Roman" w:cs="Times New Roman"/>
        </w:rPr>
      </w:pPr>
    </w:p>
    <w:p w14:paraId="2E7E636A" w14:textId="77777777" w:rsidR="0063118D" w:rsidRPr="00A34299" w:rsidRDefault="005C4C89">
      <w:pPr>
        <w:pStyle w:val="Normal1"/>
        <w:spacing w:line="240" w:lineRule="auto"/>
        <w:rPr>
          <w:rFonts w:ascii="Times New Roman" w:eastAsia="Times New Roman" w:hAnsi="Times New Roman" w:cs="Times New Roman"/>
        </w:rPr>
      </w:pPr>
      <w:r w:rsidRPr="00A34299">
        <w:rPr>
          <w:rFonts w:ascii="Times New Roman" w:eastAsia="Times New Roman" w:hAnsi="Times New Roman" w:cs="Times New Roman"/>
        </w:rPr>
        <w:t xml:space="preserve">The probability function for copper production used for simulation is a </w:t>
      </w:r>
      <w:r w:rsidRPr="00A34299">
        <w:rPr>
          <w:rFonts w:ascii="Times New Roman" w:eastAsia="Times New Roman" w:hAnsi="Times New Roman" w:cs="Times New Roman"/>
          <w:i/>
        </w:rPr>
        <w:t xml:space="preserve">Beta </w:t>
      </w:r>
      <w:r w:rsidRPr="00A34299">
        <w:rPr>
          <w:rFonts w:ascii="Times New Roman" w:eastAsia="Times New Roman" w:hAnsi="Times New Roman" w:cs="Times New Roman"/>
        </w:rPr>
        <w:t>(α, β), which has been suggested by COCHILCO in its study of production projections and energy consumption (COCHILCO, 2015b), and is thus aligned with the official projections of the country. This allows the distribution of production to be estimated based on the ranges of value that copper production can take based principally on the delays or advances projects exhibit over time, indicating a minimum value, most probable value, and a maximum value.</w:t>
      </w:r>
    </w:p>
    <w:p w14:paraId="41B8AE1A" w14:textId="77777777" w:rsidR="0063118D" w:rsidRPr="00A34299" w:rsidRDefault="0063118D">
      <w:pPr>
        <w:pStyle w:val="Normal1"/>
        <w:spacing w:after="0" w:line="240" w:lineRule="auto"/>
        <w:ind w:hanging="720"/>
        <w:rPr>
          <w:rFonts w:ascii="Times New Roman" w:eastAsia="Times New Roman" w:hAnsi="Times New Roman" w:cs="Times New Roman"/>
        </w:rPr>
      </w:pPr>
    </w:p>
    <w:p w14:paraId="64FBF80E" w14:textId="77777777" w:rsidR="0063118D" w:rsidRPr="00A34299" w:rsidRDefault="005C4C89" w:rsidP="006C63EE">
      <w:pPr>
        <w:pStyle w:val="Normal1"/>
        <w:jc w:val="center"/>
      </w:pPr>
      <w:r w:rsidRPr="00A34299">
        <w:rPr>
          <w:noProof/>
          <w:lang w:val="es-ES_tradnl" w:eastAsia="es-ES_tradnl"/>
        </w:rPr>
        <w:drawing>
          <wp:inline distT="0" distB="0" distL="0" distR="0" wp14:anchorId="5CE57C59" wp14:editId="6AE03F8A">
            <wp:extent cx="4743710" cy="2511945"/>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4743710" cy="2511945"/>
                    </a:xfrm>
                    <a:prstGeom prst="rect">
                      <a:avLst/>
                    </a:prstGeom>
                    <a:ln/>
                  </pic:spPr>
                </pic:pic>
              </a:graphicData>
            </a:graphic>
          </wp:inline>
        </w:drawing>
      </w:r>
    </w:p>
    <w:p w14:paraId="31681E68" w14:textId="77777777" w:rsidR="0063118D" w:rsidRPr="00A34299" w:rsidRDefault="005C4C89" w:rsidP="006C63EE">
      <w:pPr>
        <w:pStyle w:val="Normal1"/>
        <w:jc w:val="center"/>
      </w:pPr>
      <w:r w:rsidRPr="00A34299">
        <w:rPr>
          <w:noProof/>
          <w:lang w:val="es-ES_tradnl" w:eastAsia="es-ES_tradnl"/>
        </w:rPr>
        <w:lastRenderedPageBreak/>
        <w:drawing>
          <wp:inline distT="0" distB="0" distL="0" distR="0" wp14:anchorId="37F28FD6" wp14:editId="6F84E493">
            <wp:extent cx="5135178" cy="2909237"/>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5135178" cy="2909237"/>
                    </a:xfrm>
                    <a:prstGeom prst="rect">
                      <a:avLst/>
                    </a:prstGeom>
                    <a:ln/>
                  </pic:spPr>
                </pic:pic>
              </a:graphicData>
            </a:graphic>
          </wp:inline>
        </w:drawing>
      </w:r>
    </w:p>
    <w:tbl>
      <w:tblPr>
        <w:tblStyle w:val="a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48"/>
        <w:gridCol w:w="741"/>
        <w:gridCol w:w="627"/>
        <w:gridCol w:w="531"/>
        <w:gridCol w:w="535"/>
        <w:gridCol w:w="1094"/>
        <w:gridCol w:w="830"/>
        <w:gridCol w:w="3748"/>
      </w:tblGrid>
      <w:tr w:rsidR="00D52D72" w:rsidRPr="00A34299" w14:paraId="41354A48" w14:textId="77777777" w:rsidTr="00D52D72">
        <w:trPr>
          <w:trHeight w:val="180"/>
        </w:trPr>
        <w:tc>
          <w:tcPr>
            <w:tcW w:w="0" w:type="auto"/>
          </w:tcPr>
          <w:p w14:paraId="02635626" w14:textId="77777777" w:rsidR="0063118D" w:rsidRPr="006C63EE" w:rsidRDefault="005C4C89">
            <w:pPr>
              <w:pStyle w:val="Normal1"/>
              <w:rPr>
                <w:rFonts w:ascii="Times New Roman" w:eastAsia="Times New Roman" w:hAnsi="Times New Roman" w:cs="Times New Roman"/>
                <w:b/>
                <w:sz w:val="14"/>
                <w:szCs w:val="14"/>
              </w:rPr>
            </w:pPr>
            <w:r w:rsidRPr="006C63EE">
              <w:rPr>
                <w:rFonts w:ascii="Times New Roman" w:eastAsia="Times New Roman" w:hAnsi="Times New Roman" w:cs="Times New Roman"/>
                <w:b/>
                <w:sz w:val="14"/>
                <w:szCs w:val="14"/>
              </w:rPr>
              <w:t>Distribution</w:t>
            </w:r>
          </w:p>
        </w:tc>
        <w:tc>
          <w:tcPr>
            <w:tcW w:w="0" w:type="auto"/>
          </w:tcPr>
          <w:p w14:paraId="37ECA587" w14:textId="77777777" w:rsidR="0063118D" w:rsidRPr="00A34299" w:rsidRDefault="005C4C89">
            <w:pPr>
              <w:pStyle w:val="Normal1"/>
              <w:rPr>
                <w:rFonts w:ascii="Times New Roman" w:eastAsia="Times New Roman" w:hAnsi="Times New Roman" w:cs="Times New Roman"/>
                <w:b/>
                <w:sz w:val="14"/>
                <w:szCs w:val="14"/>
              </w:rPr>
            </w:pPr>
            <w:r w:rsidRPr="00A34299">
              <w:rPr>
                <w:rFonts w:ascii="Times New Roman" w:eastAsia="Times New Roman" w:hAnsi="Times New Roman" w:cs="Times New Roman"/>
                <w:b/>
                <w:sz w:val="14"/>
                <w:szCs w:val="14"/>
              </w:rPr>
              <w:t>A-D</w:t>
            </w:r>
          </w:p>
        </w:tc>
        <w:tc>
          <w:tcPr>
            <w:tcW w:w="627" w:type="dxa"/>
          </w:tcPr>
          <w:p w14:paraId="0C970EF4" w14:textId="77777777" w:rsidR="0063118D" w:rsidRPr="00A34299" w:rsidRDefault="005C4C89">
            <w:pPr>
              <w:pStyle w:val="Normal1"/>
              <w:rPr>
                <w:rFonts w:ascii="Times New Roman" w:eastAsia="Times New Roman" w:hAnsi="Times New Roman" w:cs="Times New Roman"/>
                <w:b/>
                <w:sz w:val="14"/>
                <w:szCs w:val="14"/>
              </w:rPr>
            </w:pPr>
            <w:r w:rsidRPr="00A34299">
              <w:rPr>
                <w:rFonts w:ascii="Times New Roman" w:eastAsia="Times New Roman" w:hAnsi="Times New Roman" w:cs="Times New Roman"/>
                <w:b/>
                <w:sz w:val="14"/>
                <w:szCs w:val="14"/>
              </w:rPr>
              <w:t>P value A-D</w:t>
            </w:r>
          </w:p>
        </w:tc>
        <w:tc>
          <w:tcPr>
            <w:tcW w:w="531" w:type="dxa"/>
          </w:tcPr>
          <w:p w14:paraId="1A256821" w14:textId="77777777" w:rsidR="0063118D" w:rsidRPr="00A34299" w:rsidRDefault="005C4C89">
            <w:pPr>
              <w:pStyle w:val="Normal1"/>
              <w:rPr>
                <w:rFonts w:ascii="Times New Roman" w:eastAsia="Times New Roman" w:hAnsi="Times New Roman" w:cs="Times New Roman"/>
                <w:b/>
                <w:sz w:val="14"/>
                <w:szCs w:val="14"/>
              </w:rPr>
            </w:pPr>
            <w:r w:rsidRPr="00A34299">
              <w:rPr>
                <w:rFonts w:ascii="Times New Roman" w:eastAsia="Times New Roman" w:hAnsi="Times New Roman" w:cs="Times New Roman"/>
                <w:b/>
                <w:sz w:val="14"/>
                <w:szCs w:val="14"/>
              </w:rPr>
              <w:t>K-S</w:t>
            </w:r>
          </w:p>
        </w:tc>
        <w:tc>
          <w:tcPr>
            <w:tcW w:w="535" w:type="dxa"/>
          </w:tcPr>
          <w:p w14:paraId="28188A63" w14:textId="54078A0F" w:rsidR="0063118D" w:rsidRPr="00A34299" w:rsidRDefault="00D52D72">
            <w:pPr>
              <w:pStyle w:val="Normal1"/>
              <w:rPr>
                <w:rFonts w:ascii="Times New Roman" w:eastAsia="Times New Roman" w:hAnsi="Times New Roman" w:cs="Times New Roman"/>
                <w:b/>
                <w:sz w:val="14"/>
                <w:szCs w:val="14"/>
              </w:rPr>
            </w:pPr>
            <w:r w:rsidRPr="00A34299">
              <w:rPr>
                <w:rFonts w:ascii="Times New Roman" w:eastAsia="Times New Roman" w:hAnsi="Times New Roman" w:cs="Times New Roman"/>
                <w:b/>
                <w:sz w:val="14"/>
                <w:szCs w:val="14"/>
              </w:rPr>
              <w:t>P value K-S</w:t>
            </w:r>
          </w:p>
        </w:tc>
        <w:tc>
          <w:tcPr>
            <w:tcW w:w="1094" w:type="dxa"/>
          </w:tcPr>
          <w:p w14:paraId="5081CDFB" w14:textId="3D055EE9" w:rsidR="0063118D" w:rsidRPr="00A34299" w:rsidRDefault="00D52D72" w:rsidP="00D52D72">
            <w:pPr>
              <w:pStyle w:val="Normal1"/>
              <w:rPr>
                <w:rFonts w:ascii="Times New Roman" w:eastAsia="Times New Roman" w:hAnsi="Times New Roman" w:cs="Times New Roman"/>
                <w:b/>
                <w:sz w:val="14"/>
                <w:szCs w:val="14"/>
              </w:rPr>
            </w:pPr>
            <w:r w:rsidRPr="00A34299">
              <w:rPr>
                <w:rFonts w:ascii="Times New Roman" w:eastAsia="Times New Roman" w:hAnsi="Times New Roman" w:cs="Times New Roman"/>
                <w:b/>
                <w:sz w:val="14"/>
                <w:szCs w:val="14"/>
              </w:rPr>
              <w:t>Chi-square</w:t>
            </w:r>
          </w:p>
        </w:tc>
        <w:tc>
          <w:tcPr>
            <w:tcW w:w="830" w:type="dxa"/>
          </w:tcPr>
          <w:p w14:paraId="1EC8041B" w14:textId="3A1F0DDE" w:rsidR="0063118D" w:rsidRPr="00A34299" w:rsidRDefault="00D52D72">
            <w:pPr>
              <w:pStyle w:val="Normal1"/>
              <w:rPr>
                <w:rFonts w:ascii="Times New Roman" w:eastAsia="Times New Roman" w:hAnsi="Times New Roman" w:cs="Times New Roman"/>
                <w:b/>
                <w:sz w:val="14"/>
                <w:szCs w:val="14"/>
              </w:rPr>
            </w:pPr>
            <w:r w:rsidRPr="00A34299">
              <w:rPr>
                <w:rFonts w:ascii="Times New Roman" w:eastAsia="Times New Roman" w:hAnsi="Times New Roman" w:cs="Times New Roman"/>
                <w:b/>
                <w:sz w:val="14"/>
                <w:szCs w:val="14"/>
              </w:rPr>
              <w:t>P value Chi-square</w:t>
            </w:r>
          </w:p>
        </w:tc>
        <w:tc>
          <w:tcPr>
            <w:tcW w:w="3748" w:type="dxa"/>
          </w:tcPr>
          <w:p w14:paraId="7A524530" w14:textId="77777777" w:rsidR="0063118D" w:rsidRPr="006C63EE" w:rsidRDefault="005C4C89">
            <w:pPr>
              <w:pStyle w:val="Normal1"/>
              <w:rPr>
                <w:rFonts w:ascii="Times New Roman" w:eastAsia="Times New Roman" w:hAnsi="Times New Roman" w:cs="Times New Roman"/>
                <w:b/>
                <w:sz w:val="14"/>
                <w:szCs w:val="14"/>
              </w:rPr>
            </w:pPr>
            <w:r w:rsidRPr="006C63EE">
              <w:rPr>
                <w:rFonts w:ascii="Times New Roman" w:eastAsia="Times New Roman" w:hAnsi="Times New Roman" w:cs="Times New Roman"/>
                <w:b/>
                <w:sz w:val="14"/>
                <w:szCs w:val="14"/>
              </w:rPr>
              <w:t xml:space="preserve">Parameters </w:t>
            </w:r>
          </w:p>
        </w:tc>
      </w:tr>
      <w:tr w:rsidR="006C63EE" w:rsidRPr="00A34299" w14:paraId="65F9ED3F" w14:textId="77777777" w:rsidTr="006C63EE">
        <w:trPr>
          <w:trHeight w:val="172"/>
        </w:trPr>
        <w:tc>
          <w:tcPr>
            <w:tcW w:w="0" w:type="auto"/>
          </w:tcPr>
          <w:p w14:paraId="346F9222" w14:textId="77777777" w:rsidR="006C63EE" w:rsidRPr="006C63EE" w:rsidRDefault="006C63EE">
            <w:pPr>
              <w:pStyle w:val="Normal1"/>
              <w:rPr>
                <w:rFonts w:ascii="Times New Roman" w:eastAsia="Times New Roman" w:hAnsi="Times New Roman" w:cs="Times New Roman"/>
                <w:sz w:val="14"/>
                <w:szCs w:val="14"/>
              </w:rPr>
            </w:pPr>
            <w:r w:rsidRPr="006C63EE">
              <w:rPr>
                <w:rFonts w:ascii="Times New Roman" w:eastAsia="Times New Roman" w:hAnsi="Times New Roman" w:cs="Times New Roman"/>
                <w:sz w:val="14"/>
                <w:szCs w:val="14"/>
              </w:rPr>
              <w:t>Beta</w:t>
            </w:r>
          </w:p>
        </w:tc>
        <w:tc>
          <w:tcPr>
            <w:tcW w:w="0" w:type="auto"/>
          </w:tcPr>
          <w:p w14:paraId="3746045C"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.1361</w:t>
            </w:r>
          </w:p>
        </w:tc>
        <w:tc>
          <w:tcPr>
            <w:tcW w:w="627" w:type="dxa"/>
          </w:tcPr>
          <w:p w14:paraId="14220761"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w:t>
            </w:r>
          </w:p>
        </w:tc>
        <w:tc>
          <w:tcPr>
            <w:tcW w:w="531" w:type="dxa"/>
          </w:tcPr>
          <w:p w14:paraId="7881D26D"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.0153</w:t>
            </w:r>
          </w:p>
        </w:tc>
        <w:tc>
          <w:tcPr>
            <w:tcW w:w="535" w:type="dxa"/>
          </w:tcPr>
          <w:p w14:paraId="277296A9"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w:t>
            </w:r>
          </w:p>
        </w:tc>
        <w:tc>
          <w:tcPr>
            <w:tcW w:w="1094" w:type="dxa"/>
          </w:tcPr>
          <w:p w14:paraId="720A9CFF"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18.0160</w:t>
            </w:r>
          </w:p>
        </w:tc>
        <w:tc>
          <w:tcPr>
            <w:tcW w:w="830" w:type="dxa"/>
          </w:tcPr>
          <w:p w14:paraId="1C35C70B"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0.802</w:t>
            </w:r>
          </w:p>
        </w:tc>
        <w:tc>
          <w:tcPr>
            <w:tcW w:w="3748" w:type="dxa"/>
          </w:tcPr>
          <w:p w14:paraId="5621B3C2" w14:textId="6F7DFAD6" w:rsidR="006C63EE" w:rsidRPr="006C63EE" w:rsidRDefault="006C63EE">
            <w:pPr>
              <w:pStyle w:val="Normal1"/>
              <w:rPr>
                <w:rFonts w:ascii="Times New Roman" w:eastAsia="Times New Roman" w:hAnsi="Times New Roman" w:cs="Times New Roman"/>
                <w:sz w:val="14"/>
                <w:szCs w:val="14"/>
              </w:rPr>
            </w:pPr>
            <w:r w:rsidRPr="006C63EE">
              <w:rPr>
                <w:rFonts w:ascii="Times New Roman" w:eastAsia="Times New Roman" w:hAnsi="Times New Roman" w:cs="Times New Roman"/>
                <w:sz w:val="14"/>
                <w:szCs w:val="14"/>
                <w:lang w:val="en"/>
              </w:rPr>
              <w:t>Minimum = 5,196, Maximum = 6,175, Alpha = 67.71832, Beta = 33.41576</w:t>
            </w:r>
          </w:p>
        </w:tc>
      </w:tr>
      <w:tr w:rsidR="006C63EE" w:rsidRPr="00A34299" w14:paraId="035188B9" w14:textId="77777777" w:rsidTr="00D52D72">
        <w:tc>
          <w:tcPr>
            <w:tcW w:w="0" w:type="auto"/>
          </w:tcPr>
          <w:p w14:paraId="400F6693" w14:textId="77777777" w:rsidR="006C63EE" w:rsidRPr="006C63EE" w:rsidRDefault="006C63EE">
            <w:pPr>
              <w:pStyle w:val="Normal1"/>
              <w:rPr>
                <w:rFonts w:ascii="Times New Roman" w:eastAsia="Times New Roman" w:hAnsi="Times New Roman" w:cs="Times New Roman"/>
                <w:sz w:val="14"/>
                <w:szCs w:val="14"/>
              </w:rPr>
            </w:pPr>
            <w:r w:rsidRPr="006C63EE">
              <w:rPr>
                <w:rFonts w:ascii="Times New Roman" w:eastAsia="Times New Roman" w:hAnsi="Times New Roman" w:cs="Times New Roman"/>
                <w:sz w:val="14"/>
                <w:szCs w:val="14"/>
              </w:rPr>
              <w:t>Weibull</w:t>
            </w:r>
          </w:p>
        </w:tc>
        <w:tc>
          <w:tcPr>
            <w:tcW w:w="0" w:type="auto"/>
          </w:tcPr>
          <w:p w14:paraId="29DEE354"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.2302</w:t>
            </w:r>
          </w:p>
        </w:tc>
        <w:tc>
          <w:tcPr>
            <w:tcW w:w="627" w:type="dxa"/>
          </w:tcPr>
          <w:p w14:paraId="66C3E3C2"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0.674</w:t>
            </w:r>
          </w:p>
        </w:tc>
        <w:tc>
          <w:tcPr>
            <w:tcW w:w="531" w:type="dxa"/>
          </w:tcPr>
          <w:p w14:paraId="040565F1"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.0183</w:t>
            </w:r>
          </w:p>
        </w:tc>
        <w:tc>
          <w:tcPr>
            <w:tcW w:w="535" w:type="dxa"/>
          </w:tcPr>
          <w:p w14:paraId="5E248792"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0.462</w:t>
            </w:r>
          </w:p>
        </w:tc>
        <w:tc>
          <w:tcPr>
            <w:tcW w:w="1094" w:type="dxa"/>
          </w:tcPr>
          <w:p w14:paraId="3A71CEA5"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10.6500</w:t>
            </w:r>
          </w:p>
        </w:tc>
        <w:tc>
          <w:tcPr>
            <w:tcW w:w="830" w:type="dxa"/>
          </w:tcPr>
          <w:p w14:paraId="3B116B48"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0.994</w:t>
            </w:r>
          </w:p>
        </w:tc>
        <w:tc>
          <w:tcPr>
            <w:tcW w:w="3748" w:type="dxa"/>
          </w:tcPr>
          <w:p w14:paraId="264D6CBE" w14:textId="39CB8C88" w:rsidR="006C63EE" w:rsidRPr="006C63EE" w:rsidRDefault="006C63EE">
            <w:pPr>
              <w:pStyle w:val="Normal1"/>
              <w:rPr>
                <w:rFonts w:ascii="Times New Roman" w:eastAsia="Times New Roman" w:hAnsi="Times New Roman" w:cs="Times New Roman"/>
                <w:sz w:val="14"/>
                <w:szCs w:val="14"/>
              </w:rPr>
            </w:pPr>
            <w:r w:rsidRPr="006C63EE">
              <w:rPr>
                <w:rFonts w:ascii="Times New Roman" w:eastAsia="Times New Roman" w:hAnsi="Times New Roman" w:cs="Times New Roman"/>
                <w:sz w:val="14"/>
                <w:szCs w:val="14"/>
                <w:lang w:val="en"/>
              </w:rPr>
              <w:t>Location = 5,679, Scale = 190, Shape = 4.28359</w:t>
            </w:r>
          </w:p>
        </w:tc>
      </w:tr>
      <w:tr w:rsidR="006C63EE" w:rsidRPr="00A34299" w14:paraId="557E3F05" w14:textId="77777777" w:rsidTr="00D52D72">
        <w:tc>
          <w:tcPr>
            <w:tcW w:w="0" w:type="auto"/>
          </w:tcPr>
          <w:p w14:paraId="69F6D08F" w14:textId="77777777" w:rsidR="006C63EE" w:rsidRPr="006C63EE" w:rsidRDefault="006C63EE">
            <w:pPr>
              <w:pStyle w:val="Normal1"/>
              <w:rPr>
                <w:rFonts w:ascii="Times New Roman" w:eastAsia="Times New Roman" w:hAnsi="Times New Roman" w:cs="Times New Roman"/>
                <w:sz w:val="14"/>
                <w:szCs w:val="14"/>
              </w:rPr>
            </w:pPr>
            <w:r w:rsidRPr="006C63EE">
              <w:rPr>
                <w:rFonts w:ascii="Times New Roman" w:eastAsia="Times New Roman" w:hAnsi="Times New Roman" w:cs="Times New Roman"/>
                <w:sz w:val="14"/>
                <w:szCs w:val="14"/>
              </w:rPr>
              <w:t>Normal</w:t>
            </w:r>
          </w:p>
        </w:tc>
        <w:tc>
          <w:tcPr>
            <w:tcW w:w="0" w:type="auto"/>
          </w:tcPr>
          <w:p w14:paraId="3CABF65D"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.3496</w:t>
            </w:r>
          </w:p>
        </w:tc>
        <w:tc>
          <w:tcPr>
            <w:tcW w:w="627" w:type="dxa"/>
          </w:tcPr>
          <w:p w14:paraId="2C17144B"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0.477</w:t>
            </w:r>
          </w:p>
        </w:tc>
        <w:tc>
          <w:tcPr>
            <w:tcW w:w="531" w:type="dxa"/>
          </w:tcPr>
          <w:p w14:paraId="0C72582B"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.0170</w:t>
            </w:r>
          </w:p>
        </w:tc>
        <w:tc>
          <w:tcPr>
            <w:tcW w:w="535" w:type="dxa"/>
          </w:tcPr>
          <w:p w14:paraId="19AD11B6"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0.720</w:t>
            </w:r>
          </w:p>
        </w:tc>
        <w:tc>
          <w:tcPr>
            <w:tcW w:w="1094" w:type="dxa"/>
          </w:tcPr>
          <w:p w14:paraId="1F8D2D6A"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29.9640</w:t>
            </w:r>
          </w:p>
        </w:tc>
        <w:tc>
          <w:tcPr>
            <w:tcW w:w="830" w:type="dxa"/>
          </w:tcPr>
          <w:p w14:paraId="0613FB20"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0.269</w:t>
            </w:r>
          </w:p>
        </w:tc>
        <w:tc>
          <w:tcPr>
            <w:tcW w:w="3748" w:type="dxa"/>
          </w:tcPr>
          <w:p w14:paraId="4795B645" w14:textId="7D575D3D" w:rsidR="006C63EE" w:rsidRPr="006C63EE" w:rsidRDefault="006C63EE">
            <w:pPr>
              <w:pStyle w:val="Normal1"/>
              <w:rPr>
                <w:rFonts w:ascii="Times New Roman" w:eastAsia="Times New Roman" w:hAnsi="Times New Roman" w:cs="Times New Roman"/>
                <w:sz w:val="14"/>
                <w:szCs w:val="14"/>
              </w:rPr>
            </w:pPr>
            <w:r w:rsidRPr="006C63EE">
              <w:rPr>
                <w:rFonts w:ascii="Times New Roman" w:eastAsia="Times New Roman" w:hAnsi="Times New Roman" w:cs="Times New Roman"/>
                <w:sz w:val="14"/>
                <w:szCs w:val="14"/>
                <w:lang w:val="en"/>
              </w:rPr>
              <w:t>Mean = 5,852, Est Dev = 46</w:t>
            </w:r>
          </w:p>
        </w:tc>
      </w:tr>
      <w:tr w:rsidR="006C63EE" w:rsidRPr="00A34299" w14:paraId="7397472B" w14:textId="77777777" w:rsidTr="00D52D72">
        <w:trPr>
          <w:trHeight w:val="334"/>
        </w:trPr>
        <w:tc>
          <w:tcPr>
            <w:tcW w:w="0" w:type="auto"/>
          </w:tcPr>
          <w:p w14:paraId="6744875E" w14:textId="3AEB938C" w:rsidR="006C63EE" w:rsidRPr="006C63EE" w:rsidRDefault="006C63EE">
            <w:pPr>
              <w:pStyle w:val="Normal1"/>
              <w:rPr>
                <w:rFonts w:ascii="Times New Roman" w:eastAsia="Times New Roman" w:hAnsi="Times New Roman" w:cs="Times New Roman"/>
                <w:sz w:val="14"/>
                <w:szCs w:val="14"/>
              </w:rPr>
            </w:pPr>
            <w:r w:rsidRPr="006C63EE">
              <w:rPr>
                <w:rFonts w:ascii="Times New Roman" w:eastAsia="Times New Roman" w:hAnsi="Times New Roman" w:cs="Times New Roman"/>
                <w:sz w:val="14"/>
                <w:szCs w:val="14"/>
                <w:lang w:val="en"/>
              </w:rPr>
              <w:t>Normal Logarithmic</w:t>
            </w:r>
          </w:p>
        </w:tc>
        <w:tc>
          <w:tcPr>
            <w:tcW w:w="0" w:type="auto"/>
          </w:tcPr>
          <w:p w14:paraId="4B0A1836"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.3505</w:t>
            </w:r>
          </w:p>
        </w:tc>
        <w:tc>
          <w:tcPr>
            <w:tcW w:w="627" w:type="dxa"/>
          </w:tcPr>
          <w:p w14:paraId="5D4F9B25"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0.384</w:t>
            </w:r>
          </w:p>
        </w:tc>
        <w:tc>
          <w:tcPr>
            <w:tcW w:w="531" w:type="dxa"/>
          </w:tcPr>
          <w:p w14:paraId="51FFB7E0"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.0170</w:t>
            </w:r>
          </w:p>
        </w:tc>
        <w:tc>
          <w:tcPr>
            <w:tcW w:w="535" w:type="dxa"/>
          </w:tcPr>
          <w:p w14:paraId="5A3DF99F"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0.657</w:t>
            </w:r>
          </w:p>
        </w:tc>
        <w:tc>
          <w:tcPr>
            <w:tcW w:w="1094" w:type="dxa"/>
          </w:tcPr>
          <w:p w14:paraId="169E1C29"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29.9640</w:t>
            </w:r>
          </w:p>
        </w:tc>
        <w:tc>
          <w:tcPr>
            <w:tcW w:w="830" w:type="dxa"/>
          </w:tcPr>
          <w:p w14:paraId="4AAB0ABD"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0.226</w:t>
            </w:r>
          </w:p>
        </w:tc>
        <w:tc>
          <w:tcPr>
            <w:tcW w:w="3748" w:type="dxa"/>
          </w:tcPr>
          <w:p w14:paraId="1EC7D731" w14:textId="09822628" w:rsidR="006C63EE" w:rsidRPr="006C63EE" w:rsidRDefault="006C63EE">
            <w:pPr>
              <w:pStyle w:val="Normal1"/>
              <w:rPr>
                <w:rFonts w:ascii="Times New Roman" w:eastAsia="Times New Roman" w:hAnsi="Times New Roman" w:cs="Times New Roman"/>
                <w:sz w:val="14"/>
                <w:szCs w:val="14"/>
              </w:rPr>
            </w:pPr>
            <w:r w:rsidRPr="006C63EE">
              <w:rPr>
                <w:rFonts w:ascii="Times New Roman" w:eastAsia="Times New Roman" w:hAnsi="Times New Roman" w:cs="Times New Roman"/>
                <w:sz w:val="14"/>
                <w:szCs w:val="14"/>
                <w:lang w:val="en"/>
              </w:rPr>
              <w:t>Location = -412.164, Mean = 5,852, Est Dev = 46</w:t>
            </w:r>
          </w:p>
        </w:tc>
      </w:tr>
      <w:tr w:rsidR="006C63EE" w:rsidRPr="00A34299" w14:paraId="4FEE7F0C" w14:textId="77777777" w:rsidTr="00D52D72">
        <w:tc>
          <w:tcPr>
            <w:tcW w:w="0" w:type="auto"/>
          </w:tcPr>
          <w:p w14:paraId="0D922AB2" w14:textId="54A9B341" w:rsidR="006C63EE" w:rsidRPr="006C63EE" w:rsidRDefault="006C63EE">
            <w:pPr>
              <w:pStyle w:val="Normal1"/>
              <w:rPr>
                <w:rFonts w:ascii="Times New Roman" w:eastAsia="Times New Roman" w:hAnsi="Times New Roman" w:cs="Times New Roman"/>
                <w:sz w:val="14"/>
                <w:szCs w:val="14"/>
              </w:rPr>
            </w:pPr>
            <w:r w:rsidRPr="006C63EE">
              <w:rPr>
                <w:rFonts w:ascii="Times New Roman" w:eastAsia="Times New Roman" w:hAnsi="Times New Roman" w:cs="Times New Roman"/>
                <w:sz w:val="14"/>
                <w:szCs w:val="14"/>
                <w:lang w:val="en"/>
              </w:rPr>
              <w:t>Gamma</w:t>
            </w:r>
          </w:p>
        </w:tc>
        <w:tc>
          <w:tcPr>
            <w:tcW w:w="0" w:type="auto"/>
          </w:tcPr>
          <w:p w14:paraId="3B7C9BB2"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.5739</w:t>
            </w:r>
          </w:p>
        </w:tc>
        <w:tc>
          <w:tcPr>
            <w:tcW w:w="627" w:type="dxa"/>
          </w:tcPr>
          <w:p w14:paraId="366DDBDF"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0.067</w:t>
            </w:r>
          </w:p>
        </w:tc>
        <w:tc>
          <w:tcPr>
            <w:tcW w:w="531" w:type="dxa"/>
          </w:tcPr>
          <w:p w14:paraId="2F98DC8B"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.0202</w:t>
            </w:r>
          </w:p>
        </w:tc>
        <w:tc>
          <w:tcPr>
            <w:tcW w:w="535" w:type="dxa"/>
          </w:tcPr>
          <w:p w14:paraId="165194DE"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0.334</w:t>
            </w:r>
          </w:p>
        </w:tc>
        <w:tc>
          <w:tcPr>
            <w:tcW w:w="1094" w:type="dxa"/>
          </w:tcPr>
          <w:p w14:paraId="52C8D05B"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24.8020</w:t>
            </w:r>
          </w:p>
        </w:tc>
        <w:tc>
          <w:tcPr>
            <w:tcW w:w="830" w:type="dxa"/>
          </w:tcPr>
          <w:p w14:paraId="7CEE0660"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0.474</w:t>
            </w:r>
          </w:p>
        </w:tc>
        <w:tc>
          <w:tcPr>
            <w:tcW w:w="3748" w:type="dxa"/>
          </w:tcPr>
          <w:p w14:paraId="5277907A" w14:textId="1F36B641" w:rsidR="006C63EE" w:rsidRPr="006C63EE" w:rsidRDefault="006C63EE">
            <w:pPr>
              <w:pStyle w:val="Normal1"/>
              <w:rPr>
                <w:rFonts w:ascii="Times New Roman" w:eastAsia="Times New Roman" w:hAnsi="Times New Roman" w:cs="Times New Roman"/>
                <w:sz w:val="14"/>
                <w:szCs w:val="14"/>
              </w:rPr>
            </w:pPr>
            <w:r w:rsidRPr="006C63EE">
              <w:rPr>
                <w:rFonts w:ascii="Times New Roman" w:eastAsia="Times New Roman" w:hAnsi="Times New Roman" w:cs="Times New Roman"/>
                <w:sz w:val="14"/>
                <w:szCs w:val="14"/>
                <w:lang w:val="en"/>
              </w:rPr>
              <w:t>Location = 4,406, Scale = 1, Shape = 999</w:t>
            </w:r>
          </w:p>
        </w:tc>
      </w:tr>
      <w:tr w:rsidR="006C63EE" w:rsidRPr="00A34299" w14:paraId="0F1D6CE0" w14:textId="77777777" w:rsidTr="00D52D72">
        <w:tc>
          <w:tcPr>
            <w:tcW w:w="0" w:type="auto"/>
          </w:tcPr>
          <w:p w14:paraId="0B8CCA53" w14:textId="1D4C8C5D" w:rsidR="006C63EE" w:rsidRPr="006C63EE" w:rsidRDefault="006C63EE">
            <w:pPr>
              <w:pStyle w:val="Normal1"/>
              <w:rPr>
                <w:rFonts w:ascii="Times New Roman" w:eastAsia="Times New Roman" w:hAnsi="Times New Roman" w:cs="Times New Roman"/>
                <w:sz w:val="14"/>
                <w:szCs w:val="14"/>
              </w:rPr>
            </w:pPr>
            <w:r w:rsidRPr="006C63EE">
              <w:rPr>
                <w:rFonts w:ascii="Times New Roman" w:eastAsia="Times New Roman" w:hAnsi="Times New Roman" w:cs="Times New Roman"/>
                <w:sz w:val="14"/>
                <w:szCs w:val="14"/>
                <w:lang w:val="en"/>
              </w:rPr>
              <w:t>Logistics</w:t>
            </w:r>
          </w:p>
        </w:tc>
        <w:tc>
          <w:tcPr>
            <w:tcW w:w="0" w:type="auto"/>
          </w:tcPr>
          <w:p w14:paraId="333A9943"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1.1171</w:t>
            </w:r>
          </w:p>
        </w:tc>
        <w:tc>
          <w:tcPr>
            <w:tcW w:w="627" w:type="dxa"/>
          </w:tcPr>
          <w:p w14:paraId="6A166146"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0.000</w:t>
            </w:r>
          </w:p>
        </w:tc>
        <w:tc>
          <w:tcPr>
            <w:tcW w:w="531" w:type="dxa"/>
          </w:tcPr>
          <w:p w14:paraId="779EB4A2"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.0248</w:t>
            </w:r>
          </w:p>
        </w:tc>
        <w:tc>
          <w:tcPr>
            <w:tcW w:w="535" w:type="dxa"/>
          </w:tcPr>
          <w:p w14:paraId="1E84B4DF"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0.060</w:t>
            </w:r>
          </w:p>
        </w:tc>
        <w:tc>
          <w:tcPr>
            <w:tcW w:w="1094" w:type="dxa"/>
          </w:tcPr>
          <w:p w14:paraId="641B98F7"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30.0800</w:t>
            </w:r>
          </w:p>
        </w:tc>
        <w:tc>
          <w:tcPr>
            <w:tcW w:w="830" w:type="dxa"/>
          </w:tcPr>
          <w:p w14:paraId="11C8204A"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0.264</w:t>
            </w:r>
          </w:p>
        </w:tc>
        <w:tc>
          <w:tcPr>
            <w:tcW w:w="3748" w:type="dxa"/>
          </w:tcPr>
          <w:p w14:paraId="458B6138" w14:textId="78950869" w:rsidR="006C63EE" w:rsidRPr="006C63EE" w:rsidRDefault="006C63EE">
            <w:pPr>
              <w:pStyle w:val="Normal1"/>
              <w:rPr>
                <w:rFonts w:ascii="Times New Roman" w:eastAsia="Times New Roman" w:hAnsi="Times New Roman" w:cs="Times New Roman"/>
                <w:sz w:val="14"/>
                <w:szCs w:val="14"/>
              </w:rPr>
            </w:pPr>
            <w:r w:rsidRPr="006C63EE">
              <w:rPr>
                <w:rFonts w:ascii="Times New Roman" w:eastAsia="Times New Roman" w:hAnsi="Times New Roman" w:cs="Times New Roman"/>
                <w:sz w:val="14"/>
                <w:szCs w:val="14"/>
                <w:lang w:val="en"/>
              </w:rPr>
              <w:t>Mean = 5,852, Scale = 26</w:t>
            </w:r>
          </w:p>
        </w:tc>
      </w:tr>
      <w:tr w:rsidR="006C63EE" w:rsidRPr="00A34299" w14:paraId="7BCC7B2A" w14:textId="77777777" w:rsidTr="00D52D72">
        <w:tc>
          <w:tcPr>
            <w:tcW w:w="0" w:type="auto"/>
          </w:tcPr>
          <w:p w14:paraId="76E68472" w14:textId="651D88F4" w:rsidR="006C63EE" w:rsidRPr="006C63EE" w:rsidRDefault="006C63EE">
            <w:pPr>
              <w:pStyle w:val="Normal1"/>
              <w:rPr>
                <w:rFonts w:ascii="Times New Roman" w:eastAsia="Times New Roman" w:hAnsi="Times New Roman" w:cs="Times New Roman"/>
                <w:sz w:val="14"/>
                <w:szCs w:val="14"/>
              </w:rPr>
            </w:pPr>
            <w:r w:rsidRPr="006C63EE">
              <w:rPr>
                <w:rFonts w:ascii="Times New Roman" w:eastAsia="Times New Roman" w:hAnsi="Times New Roman" w:cs="Times New Roman"/>
                <w:sz w:val="14"/>
                <w:szCs w:val="14"/>
                <w:lang w:val="en"/>
              </w:rPr>
              <w:t>Minimum Extreme</w:t>
            </w:r>
          </w:p>
        </w:tc>
        <w:tc>
          <w:tcPr>
            <w:tcW w:w="0" w:type="auto"/>
          </w:tcPr>
          <w:p w14:paraId="0473F6AA"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8.2455</w:t>
            </w:r>
          </w:p>
        </w:tc>
        <w:tc>
          <w:tcPr>
            <w:tcW w:w="627" w:type="dxa"/>
          </w:tcPr>
          <w:p w14:paraId="6FCA84F0"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0.000</w:t>
            </w:r>
          </w:p>
        </w:tc>
        <w:tc>
          <w:tcPr>
            <w:tcW w:w="531" w:type="dxa"/>
          </w:tcPr>
          <w:p w14:paraId="475AD955"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.0574</w:t>
            </w:r>
          </w:p>
        </w:tc>
        <w:tc>
          <w:tcPr>
            <w:tcW w:w="535" w:type="dxa"/>
          </w:tcPr>
          <w:p w14:paraId="03506C52"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0.000</w:t>
            </w:r>
          </w:p>
        </w:tc>
        <w:tc>
          <w:tcPr>
            <w:tcW w:w="1094" w:type="dxa"/>
          </w:tcPr>
          <w:p w14:paraId="3F58427B"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89.4140</w:t>
            </w:r>
          </w:p>
        </w:tc>
        <w:tc>
          <w:tcPr>
            <w:tcW w:w="830" w:type="dxa"/>
          </w:tcPr>
          <w:p w14:paraId="37FB4779"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0.000</w:t>
            </w:r>
          </w:p>
        </w:tc>
        <w:tc>
          <w:tcPr>
            <w:tcW w:w="3748" w:type="dxa"/>
          </w:tcPr>
          <w:p w14:paraId="3DF1AED2" w14:textId="6380661C" w:rsidR="006C63EE" w:rsidRPr="006C63EE" w:rsidRDefault="006C63EE">
            <w:pPr>
              <w:pStyle w:val="Normal1"/>
              <w:rPr>
                <w:rFonts w:ascii="Times New Roman" w:eastAsia="Times New Roman" w:hAnsi="Times New Roman" w:cs="Times New Roman"/>
                <w:sz w:val="14"/>
                <w:szCs w:val="14"/>
              </w:rPr>
            </w:pPr>
            <w:r w:rsidRPr="006C63EE">
              <w:rPr>
                <w:rFonts w:ascii="Times New Roman" w:eastAsia="Times New Roman" w:hAnsi="Times New Roman" w:cs="Times New Roman"/>
                <w:sz w:val="14"/>
                <w:szCs w:val="14"/>
                <w:lang w:val="en"/>
              </w:rPr>
              <w:t>Most likely = 5,874, Scale = 44</w:t>
            </w:r>
          </w:p>
        </w:tc>
      </w:tr>
      <w:tr w:rsidR="006C63EE" w:rsidRPr="00A34299" w14:paraId="6796A39E" w14:textId="77777777" w:rsidTr="00D52D72">
        <w:tc>
          <w:tcPr>
            <w:tcW w:w="0" w:type="auto"/>
          </w:tcPr>
          <w:p w14:paraId="6E9DE208" w14:textId="7BE504A9" w:rsidR="006C63EE" w:rsidRPr="006C63EE" w:rsidRDefault="006C63EE">
            <w:pPr>
              <w:pStyle w:val="Normal1"/>
              <w:rPr>
                <w:rFonts w:ascii="Times New Roman" w:eastAsia="Times New Roman" w:hAnsi="Times New Roman" w:cs="Times New Roman"/>
                <w:sz w:val="14"/>
                <w:szCs w:val="14"/>
              </w:rPr>
            </w:pPr>
            <w:r w:rsidRPr="006C63EE">
              <w:rPr>
                <w:rFonts w:ascii="Times New Roman" w:eastAsia="Times New Roman" w:hAnsi="Times New Roman" w:cs="Times New Roman"/>
                <w:sz w:val="14"/>
                <w:szCs w:val="14"/>
                <w:lang w:val="en"/>
              </w:rPr>
              <w:t>Maximum Extreme</w:t>
            </w:r>
          </w:p>
        </w:tc>
        <w:tc>
          <w:tcPr>
            <w:tcW w:w="0" w:type="auto"/>
          </w:tcPr>
          <w:p w14:paraId="39F53CC6"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15.1473</w:t>
            </w:r>
          </w:p>
        </w:tc>
        <w:tc>
          <w:tcPr>
            <w:tcW w:w="627" w:type="dxa"/>
          </w:tcPr>
          <w:p w14:paraId="1029591D"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0.000</w:t>
            </w:r>
          </w:p>
        </w:tc>
        <w:tc>
          <w:tcPr>
            <w:tcW w:w="531" w:type="dxa"/>
          </w:tcPr>
          <w:p w14:paraId="1D4C7791"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.0775</w:t>
            </w:r>
          </w:p>
        </w:tc>
        <w:tc>
          <w:tcPr>
            <w:tcW w:w="535" w:type="dxa"/>
          </w:tcPr>
          <w:p w14:paraId="1993BAD6"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0.000</w:t>
            </w:r>
          </w:p>
        </w:tc>
        <w:tc>
          <w:tcPr>
            <w:tcW w:w="1094" w:type="dxa"/>
          </w:tcPr>
          <w:p w14:paraId="53737051"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148.5740</w:t>
            </w:r>
          </w:p>
        </w:tc>
        <w:tc>
          <w:tcPr>
            <w:tcW w:w="830" w:type="dxa"/>
          </w:tcPr>
          <w:p w14:paraId="0EA8C5B2"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0.000</w:t>
            </w:r>
          </w:p>
        </w:tc>
        <w:tc>
          <w:tcPr>
            <w:tcW w:w="3748" w:type="dxa"/>
          </w:tcPr>
          <w:p w14:paraId="7BB4F136" w14:textId="00B9AD83" w:rsidR="006C63EE" w:rsidRPr="006C63EE" w:rsidRDefault="006C63EE">
            <w:pPr>
              <w:pStyle w:val="Normal1"/>
              <w:rPr>
                <w:rFonts w:ascii="Times New Roman" w:eastAsia="Times New Roman" w:hAnsi="Times New Roman" w:cs="Times New Roman"/>
                <w:sz w:val="14"/>
                <w:szCs w:val="14"/>
              </w:rPr>
            </w:pPr>
            <w:r w:rsidRPr="006C63EE">
              <w:rPr>
                <w:rFonts w:ascii="Times New Roman" w:eastAsia="Times New Roman" w:hAnsi="Times New Roman" w:cs="Times New Roman"/>
                <w:sz w:val="14"/>
                <w:szCs w:val="14"/>
                <w:lang w:val="en"/>
              </w:rPr>
              <w:t>Most likely = 5,829, Scale = 47</w:t>
            </w:r>
          </w:p>
        </w:tc>
      </w:tr>
      <w:tr w:rsidR="006C63EE" w:rsidRPr="000E26FA" w14:paraId="03AF9D69" w14:textId="77777777" w:rsidTr="00D52D72">
        <w:tc>
          <w:tcPr>
            <w:tcW w:w="0" w:type="auto"/>
          </w:tcPr>
          <w:p w14:paraId="190FE01C" w14:textId="00A73901" w:rsidR="006C63EE" w:rsidRPr="006C63EE" w:rsidRDefault="006C63EE">
            <w:pPr>
              <w:pStyle w:val="Normal1"/>
              <w:rPr>
                <w:rFonts w:ascii="Times New Roman" w:eastAsia="Times New Roman" w:hAnsi="Times New Roman" w:cs="Times New Roman"/>
                <w:sz w:val="14"/>
                <w:szCs w:val="14"/>
              </w:rPr>
            </w:pPr>
            <w:r w:rsidRPr="006C63EE">
              <w:rPr>
                <w:rFonts w:ascii="Times New Roman" w:eastAsia="Times New Roman" w:hAnsi="Times New Roman" w:cs="Times New Roman"/>
                <w:sz w:val="14"/>
                <w:szCs w:val="14"/>
                <w:lang w:val="en"/>
              </w:rPr>
              <w:t>t Student</w:t>
            </w:r>
          </w:p>
        </w:tc>
        <w:tc>
          <w:tcPr>
            <w:tcW w:w="0" w:type="auto"/>
          </w:tcPr>
          <w:p w14:paraId="11154161"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24.0026</w:t>
            </w:r>
          </w:p>
        </w:tc>
        <w:tc>
          <w:tcPr>
            <w:tcW w:w="627" w:type="dxa"/>
          </w:tcPr>
          <w:p w14:paraId="7779EA58"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w:t>
            </w:r>
          </w:p>
        </w:tc>
        <w:tc>
          <w:tcPr>
            <w:tcW w:w="531" w:type="dxa"/>
          </w:tcPr>
          <w:p w14:paraId="1B203672"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.1062</w:t>
            </w:r>
          </w:p>
        </w:tc>
        <w:tc>
          <w:tcPr>
            <w:tcW w:w="535" w:type="dxa"/>
          </w:tcPr>
          <w:p w14:paraId="3DD56C49"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w:t>
            </w:r>
          </w:p>
        </w:tc>
        <w:tc>
          <w:tcPr>
            <w:tcW w:w="1094" w:type="dxa"/>
          </w:tcPr>
          <w:p w14:paraId="3FA80130"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443.1560</w:t>
            </w:r>
          </w:p>
        </w:tc>
        <w:tc>
          <w:tcPr>
            <w:tcW w:w="830" w:type="dxa"/>
          </w:tcPr>
          <w:p w14:paraId="2B427205"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0.000</w:t>
            </w:r>
          </w:p>
        </w:tc>
        <w:tc>
          <w:tcPr>
            <w:tcW w:w="3748" w:type="dxa"/>
          </w:tcPr>
          <w:p w14:paraId="2F1CECA7" w14:textId="7A530657" w:rsidR="006C63EE" w:rsidRPr="006C63EE" w:rsidRDefault="006C63EE">
            <w:pPr>
              <w:pStyle w:val="Normal1"/>
              <w:rPr>
                <w:rFonts w:ascii="Times New Roman" w:eastAsia="Times New Roman" w:hAnsi="Times New Roman" w:cs="Times New Roman"/>
                <w:sz w:val="14"/>
                <w:szCs w:val="14"/>
              </w:rPr>
            </w:pPr>
            <w:r w:rsidRPr="006C63EE">
              <w:rPr>
                <w:rFonts w:ascii="Times New Roman" w:eastAsia="Times New Roman" w:hAnsi="Times New Roman" w:cs="Times New Roman"/>
                <w:sz w:val="14"/>
                <w:szCs w:val="14"/>
                <w:lang w:val="en"/>
              </w:rPr>
              <w:t>Midpoint = 5,852, Scale = 19, Degrees of freedom = 1</w:t>
            </w:r>
          </w:p>
        </w:tc>
      </w:tr>
      <w:tr w:rsidR="006C63EE" w:rsidRPr="00A34299" w14:paraId="4DD0C222" w14:textId="77777777" w:rsidTr="00D52D72">
        <w:tc>
          <w:tcPr>
            <w:tcW w:w="0" w:type="auto"/>
          </w:tcPr>
          <w:p w14:paraId="0336775A" w14:textId="55240EA6" w:rsidR="006C63EE" w:rsidRPr="006C63EE" w:rsidRDefault="006C63EE">
            <w:pPr>
              <w:pStyle w:val="Normal1"/>
              <w:rPr>
                <w:rFonts w:ascii="Times New Roman" w:eastAsia="Times New Roman" w:hAnsi="Times New Roman" w:cs="Times New Roman"/>
                <w:sz w:val="14"/>
                <w:szCs w:val="14"/>
              </w:rPr>
            </w:pPr>
            <w:r w:rsidRPr="006C63EE">
              <w:rPr>
                <w:rFonts w:ascii="Times New Roman" w:eastAsia="Times New Roman" w:hAnsi="Times New Roman" w:cs="Times New Roman"/>
                <w:sz w:val="14"/>
                <w:szCs w:val="14"/>
                <w:lang w:val="en"/>
              </w:rPr>
              <w:t>Beta PERT</w:t>
            </w:r>
          </w:p>
        </w:tc>
        <w:tc>
          <w:tcPr>
            <w:tcW w:w="0" w:type="auto"/>
          </w:tcPr>
          <w:p w14:paraId="5B8D5FA1"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29.8726</w:t>
            </w:r>
          </w:p>
        </w:tc>
        <w:tc>
          <w:tcPr>
            <w:tcW w:w="627" w:type="dxa"/>
          </w:tcPr>
          <w:p w14:paraId="599A9C93"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w:t>
            </w:r>
          </w:p>
        </w:tc>
        <w:tc>
          <w:tcPr>
            <w:tcW w:w="531" w:type="dxa"/>
          </w:tcPr>
          <w:p w14:paraId="1B759244"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.0994</w:t>
            </w:r>
          </w:p>
        </w:tc>
        <w:tc>
          <w:tcPr>
            <w:tcW w:w="535" w:type="dxa"/>
          </w:tcPr>
          <w:p w14:paraId="0878EC89"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w:t>
            </w:r>
          </w:p>
        </w:tc>
        <w:tc>
          <w:tcPr>
            <w:tcW w:w="1094" w:type="dxa"/>
          </w:tcPr>
          <w:p w14:paraId="2216EF3B"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196.8300</w:t>
            </w:r>
          </w:p>
        </w:tc>
        <w:tc>
          <w:tcPr>
            <w:tcW w:w="830" w:type="dxa"/>
          </w:tcPr>
          <w:p w14:paraId="64E46B65"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0.000</w:t>
            </w:r>
          </w:p>
        </w:tc>
        <w:tc>
          <w:tcPr>
            <w:tcW w:w="3748" w:type="dxa"/>
          </w:tcPr>
          <w:p w14:paraId="29F8EE0A" w14:textId="1F9528F8" w:rsidR="006C63EE" w:rsidRPr="006C63EE" w:rsidRDefault="006C63EE">
            <w:pPr>
              <w:pStyle w:val="Normal1"/>
              <w:rPr>
                <w:rFonts w:ascii="Times New Roman" w:eastAsia="Times New Roman" w:hAnsi="Times New Roman" w:cs="Times New Roman"/>
                <w:sz w:val="14"/>
                <w:szCs w:val="14"/>
              </w:rPr>
            </w:pPr>
            <w:r w:rsidRPr="006C63EE">
              <w:rPr>
                <w:rFonts w:ascii="Times New Roman" w:eastAsia="Times New Roman" w:hAnsi="Times New Roman" w:cs="Times New Roman"/>
                <w:sz w:val="14"/>
                <w:szCs w:val="14"/>
                <w:lang w:val="en"/>
              </w:rPr>
              <w:t>Minimum = 5,680, Most likely = 5,856, Maximum = 6,007</w:t>
            </w:r>
          </w:p>
        </w:tc>
      </w:tr>
      <w:tr w:rsidR="006C63EE" w:rsidRPr="00A34299" w14:paraId="2F624E23" w14:textId="77777777" w:rsidTr="00D52D72">
        <w:tc>
          <w:tcPr>
            <w:tcW w:w="0" w:type="auto"/>
          </w:tcPr>
          <w:p w14:paraId="5CB47DA6" w14:textId="7EB83297" w:rsidR="006C63EE" w:rsidRPr="006C63EE" w:rsidRDefault="006C63EE">
            <w:pPr>
              <w:pStyle w:val="Normal1"/>
              <w:rPr>
                <w:rFonts w:ascii="Times New Roman" w:eastAsia="Times New Roman" w:hAnsi="Times New Roman" w:cs="Times New Roman"/>
                <w:sz w:val="14"/>
                <w:szCs w:val="14"/>
              </w:rPr>
            </w:pPr>
            <w:r w:rsidRPr="006C63EE">
              <w:rPr>
                <w:rFonts w:ascii="Times New Roman" w:eastAsia="Times New Roman" w:hAnsi="Times New Roman" w:cs="Times New Roman"/>
                <w:sz w:val="14"/>
                <w:szCs w:val="14"/>
                <w:lang w:val="en"/>
              </w:rPr>
              <w:t>Triangular</w:t>
            </w:r>
          </w:p>
        </w:tc>
        <w:tc>
          <w:tcPr>
            <w:tcW w:w="0" w:type="auto"/>
          </w:tcPr>
          <w:p w14:paraId="13452758"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38.8227</w:t>
            </w:r>
          </w:p>
        </w:tc>
        <w:tc>
          <w:tcPr>
            <w:tcW w:w="627" w:type="dxa"/>
          </w:tcPr>
          <w:p w14:paraId="5F030CDF"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w:t>
            </w:r>
          </w:p>
        </w:tc>
        <w:tc>
          <w:tcPr>
            <w:tcW w:w="531" w:type="dxa"/>
          </w:tcPr>
          <w:p w14:paraId="13119FCE"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.1265</w:t>
            </w:r>
          </w:p>
        </w:tc>
        <w:tc>
          <w:tcPr>
            <w:tcW w:w="535" w:type="dxa"/>
          </w:tcPr>
          <w:p w14:paraId="262C5EAE"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w:t>
            </w:r>
          </w:p>
        </w:tc>
        <w:tc>
          <w:tcPr>
            <w:tcW w:w="1094" w:type="dxa"/>
          </w:tcPr>
          <w:p w14:paraId="0F38FF92"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245.6660</w:t>
            </w:r>
          </w:p>
        </w:tc>
        <w:tc>
          <w:tcPr>
            <w:tcW w:w="830" w:type="dxa"/>
          </w:tcPr>
          <w:p w14:paraId="18B14D06"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0.000</w:t>
            </w:r>
          </w:p>
        </w:tc>
        <w:tc>
          <w:tcPr>
            <w:tcW w:w="3748" w:type="dxa"/>
          </w:tcPr>
          <w:p w14:paraId="64E48F82" w14:textId="275EB071" w:rsidR="006C63EE" w:rsidRPr="006C63EE" w:rsidRDefault="006C63EE">
            <w:pPr>
              <w:pStyle w:val="Normal1"/>
              <w:rPr>
                <w:rFonts w:ascii="Times New Roman" w:eastAsia="Times New Roman" w:hAnsi="Times New Roman" w:cs="Times New Roman"/>
                <w:sz w:val="14"/>
                <w:szCs w:val="14"/>
              </w:rPr>
            </w:pPr>
            <w:r w:rsidRPr="006C63EE">
              <w:rPr>
                <w:rFonts w:ascii="Times New Roman" w:eastAsia="Times New Roman" w:hAnsi="Times New Roman" w:cs="Times New Roman"/>
                <w:sz w:val="14"/>
                <w:szCs w:val="14"/>
                <w:lang w:val="en"/>
              </w:rPr>
              <w:t>Minimum = 5,680, Most likely = 5,856, Maximum = 6,007</w:t>
            </w:r>
          </w:p>
        </w:tc>
      </w:tr>
      <w:tr w:rsidR="006C63EE" w:rsidRPr="00A34299" w14:paraId="72EC4F7B" w14:textId="77777777" w:rsidTr="00D52D72">
        <w:tc>
          <w:tcPr>
            <w:tcW w:w="0" w:type="auto"/>
          </w:tcPr>
          <w:p w14:paraId="695C5B5F" w14:textId="0830EA11" w:rsidR="006C63EE" w:rsidRPr="006C63EE" w:rsidRDefault="006C63EE">
            <w:pPr>
              <w:pStyle w:val="Normal1"/>
              <w:rPr>
                <w:rFonts w:ascii="Times New Roman" w:eastAsia="Times New Roman" w:hAnsi="Times New Roman" w:cs="Times New Roman"/>
                <w:sz w:val="14"/>
                <w:szCs w:val="14"/>
              </w:rPr>
            </w:pPr>
            <w:r w:rsidRPr="006C63EE">
              <w:rPr>
                <w:rFonts w:ascii="Times New Roman" w:eastAsia="Times New Roman" w:hAnsi="Times New Roman" w:cs="Times New Roman"/>
                <w:sz w:val="14"/>
                <w:szCs w:val="14"/>
                <w:lang w:val="en"/>
              </w:rPr>
              <w:t>Uniform</w:t>
            </w:r>
          </w:p>
        </w:tc>
        <w:tc>
          <w:tcPr>
            <w:tcW w:w="0" w:type="auto"/>
          </w:tcPr>
          <w:p w14:paraId="172A305E"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129.7772</w:t>
            </w:r>
          </w:p>
        </w:tc>
        <w:tc>
          <w:tcPr>
            <w:tcW w:w="627" w:type="dxa"/>
          </w:tcPr>
          <w:p w14:paraId="488E4C5B"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0.000</w:t>
            </w:r>
          </w:p>
        </w:tc>
        <w:tc>
          <w:tcPr>
            <w:tcW w:w="531" w:type="dxa"/>
          </w:tcPr>
          <w:p w14:paraId="16142078"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.2385</w:t>
            </w:r>
          </w:p>
        </w:tc>
        <w:tc>
          <w:tcPr>
            <w:tcW w:w="535" w:type="dxa"/>
          </w:tcPr>
          <w:p w14:paraId="1D2E542B"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0.000</w:t>
            </w:r>
          </w:p>
        </w:tc>
        <w:tc>
          <w:tcPr>
            <w:tcW w:w="1094" w:type="dxa"/>
          </w:tcPr>
          <w:p w14:paraId="155FAE6B"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952.8600</w:t>
            </w:r>
          </w:p>
        </w:tc>
        <w:tc>
          <w:tcPr>
            <w:tcW w:w="830" w:type="dxa"/>
          </w:tcPr>
          <w:p w14:paraId="12B30C93"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0.000</w:t>
            </w:r>
          </w:p>
        </w:tc>
        <w:tc>
          <w:tcPr>
            <w:tcW w:w="3748" w:type="dxa"/>
          </w:tcPr>
          <w:p w14:paraId="79F624BD" w14:textId="01DEF5AB" w:rsidR="006C63EE" w:rsidRPr="006C63EE" w:rsidRDefault="006C63EE">
            <w:pPr>
              <w:pStyle w:val="Normal1"/>
              <w:rPr>
                <w:rFonts w:ascii="Times New Roman" w:eastAsia="Times New Roman" w:hAnsi="Times New Roman" w:cs="Times New Roman"/>
                <w:sz w:val="14"/>
                <w:szCs w:val="14"/>
              </w:rPr>
            </w:pPr>
            <w:r w:rsidRPr="006C63EE">
              <w:rPr>
                <w:rFonts w:ascii="Times New Roman" w:eastAsia="Times New Roman" w:hAnsi="Times New Roman" w:cs="Times New Roman"/>
                <w:sz w:val="14"/>
                <w:szCs w:val="14"/>
                <w:lang w:val="en"/>
              </w:rPr>
              <w:t>Minimum = 5,687, Maximum = 6,001</w:t>
            </w:r>
          </w:p>
        </w:tc>
      </w:tr>
      <w:tr w:rsidR="006C63EE" w:rsidRPr="00A34299" w14:paraId="1CCB3557" w14:textId="77777777" w:rsidTr="00D52D72">
        <w:tc>
          <w:tcPr>
            <w:tcW w:w="0" w:type="auto"/>
          </w:tcPr>
          <w:p w14:paraId="6EB22661" w14:textId="52398C1A" w:rsidR="006C63EE" w:rsidRPr="006C63EE" w:rsidRDefault="006C63EE">
            <w:pPr>
              <w:pStyle w:val="Normal1"/>
              <w:rPr>
                <w:rFonts w:ascii="Times New Roman" w:eastAsia="Times New Roman" w:hAnsi="Times New Roman" w:cs="Times New Roman"/>
                <w:sz w:val="14"/>
                <w:szCs w:val="14"/>
              </w:rPr>
            </w:pPr>
            <w:r w:rsidRPr="006C63EE">
              <w:rPr>
                <w:rFonts w:ascii="Times New Roman" w:eastAsia="Times New Roman" w:hAnsi="Times New Roman" w:cs="Times New Roman"/>
                <w:sz w:val="14"/>
                <w:szCs w:val="14"/>
                <w:lang w:val="en"/>
              </w:rPr>
              <w:t>Pareto</w:t>
            </w:r>
          </w:p>
        </w:tc>
        <w:tc>
          <w:tcPr>
            <w:tcW w:w="0" w:type="auto"/>
          </w:tcPr>
          <w:p w14:paraId="43774B74"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241.6760</w:t>
            </w:r>
          </w:p>
        </w:tc>
        <w:tc>
          <w:tcPr>
            <w:tcW w:w="627" w:type="dxa"/>
          </w:tcPr>
          <w:p w14:paraId="5296707D"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w:t>
            </w:r>
          </w:p>
        </w:tc>
        <w:tc>
          <w:tcPr>
            <w:tcW w:w="531" w:type="dxa"/>
          </w:tcPr>
          <w:p w14:paraId="706652F5"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.3771</w:t>
            </w:r>
          </w:p>
        </w:tc>
        <w:tc>
          <w:tcPr>
            <w:tcW w:w="535" w:type="dxa"/>
          </w:tcPr>
          <w:p w14:paraId="20898242"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w:t>
            </w:r>
          </w:p>
        </w:tc>
        <w:tc>
          <w:tcPr>
            <w:tcW w:w="1094" w:type="dxa"/>
          </w:tcPr>
          <w:p w14:paraId="5656DE30"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1,883.1220</w:t>
            </w:r>
          </w:p>
        </w:tc>
        <w:tc>
          <w:tcPr>
            <w:tcW w:w="830" w:type="dxa"/>
          </w:tcPr>
          <w:p w14:paraId="5D96CAD3"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0.000</w:t>
            </w:r>
          </w:p>
        </w:tc>
        <w:tc>
          <w:tcPr>
            <w:tcW w:w="3748" w:type="dxa"/>
          </w:tcPr>
          <w:p w14:paraId="7CEFF65C" w14:textId="0612061B" w:rsidR="006C63EE" w:rsidRPr="006C63EE" w:rsidRDefault="006C63EE">
            <w:pPr>
              <w:pStyle w:val="Normal1"/>
              <w:rPr>
                <w:rFonts w:ascii="Times New Roman" w:eastAsia="Times New Roman" w:hAnsi="Times New Roman" w:cs="Times New Roman"/>
                <w:sz w:val="14"/>
                <w:szCs w:val="14"/>
              </w:rPr>
            </w:pPr>
            <w:r w:rsidRPr="006C63EE">
              <w:rPr>
                <w:rFonts w:ascii="Times New Roman" w:eastAsia="Times New Roman" w:hAnsi="Times New Roman" w:cs="Times New Roman"/>
                <w:sz w:val="14"/>
                <w:szCs w:val="14"/>
                <w:lang w:val="en"/>
              </w:rPr>
              <w:t>Location = 5,687, Form = 35,06049</w:t>
            </w:r>
          </w:p>
        </w:tc>
      </w:tr>
      <w:tr w:rsidR="006C63EE" w:rsidRPr="00A34299" w14:paraId="0A97BEAD" w14:textId="77777777" w:rsidTr="00D52D72">
        <w:tc>
          <w:tcPr>
            <w:tcW w:w="0" w:type="auto"/>
          </w:tcPr>
          <w:p w14:paraId="3AC9FF48" w14:textId="6B76D82C" w:rsidR="006C63EE" w:rsidRPr="006C63EE" w:rsidRDefault="006C63EE">
            <w:pPr>
              <w:pStyle w:val="Normal1"/>
              <w:rPr>
                <w:rFonts w:ascii="Times New Roman" w:eastAsia="Times New Roman" w:hAnsi="Times New Roman" w:cs="Times New Roman"/>
                <w:sz w:val="14"/>
                <w:szCs w:val="14"/>
              </w:rPr>
            </w:pPr>
            <w:r w:rsidRPr="006C63EE">
              <w:rPr>
                <w:rFonts w:ascii="Times New Roman" w:eastAsia="Times New Roman" w:hAnsi="Times New Roman" w:cs="Times New Roman"/>
                <w:sz w:val="14"/>
                <w:szCs w:val="14"/>
                <w:lang w:val="en"/>
              </w:rPr>
              <w:t>Exponential</w:t>
            </w:r>
          </w:p>
        </w:tc>
        <w:tc>
          <w:tcPr>
            <w:tcW w:w="0" w:type="auto"/>
          </w:tcPr>
          <w:p w14:paraId="72533B3B"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451.7451</w:t>
            </w:r>
          </w:p>
        </w:tc>
        <w:tc>
          <w:tcPr>
            <w:tcW w:w="627" w:type="dxa"/>
          </w:tcPr>
          <w:p w14:paraId="7E142A9C"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0.000</w:t>
            </w:r>
          </w:p>
        </w:tc>
        <w:tc>
          <w:tcPr>
            <w:tcW w:w="531" w:type="dxa"/>
          </w:tcPr>
          <w:p w14:paraId="66B39D54"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.6221</w:t>
            </w:r>
          </w:p>
        </w:tc>
        <w:tc>
          <w:tcPr>
            <w:tcW w:w="535" w:type="dxa"/>
          </w:tcPr>
          <w:p w14:paraId="13A786B2"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0.000</w:t>
            </w:r>
          </w:p>
        </w:tc>
        <w:tc>
          <w:tcPr>
            <w:tcW w:w="1094" w:type="dxa"/>
          </w:tcPr>
          <w:p w14:paraId="1CE712B7"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28,000.0000</w:t>
            </w:r>
          </w:p>
        </w:tc>
        <w:tc>
          <w:tcPr>
            <w:tcW w:w="830" w:type="dxa"/>
          </w:tcPr>
          <w:p w14:paraId="67C5A4DC" w14:textId="77777777" w:rsidR="006C63EE" w:rsidRPr="00A34299" w:rsidRDefault="006C63EE">
            <w:pPr>
              <w:pStyle w:val="Normal1"/>
              <w:rPr>
                <w:rFonts w:ascii="Times New Roman" w:eastAsia="Times New Roman" w:hAnsi="Times New Roman" w:cs="Times New Roman"/>
                <w:sz w:val="14"/>
                <w:szCs w:val="14"/>
              </w:rPr>
            </w:pPr>
            <w:r w:rsidRPr="00A34299">
              <w:rPr>
                <w:rFonts w:ascii="Times New Roman" w:eastAsia="Times New Roman" w:hAnsi="Times New Roman" w:cs="Times New Roman"/>
                <w:sz w:val="14"/>
                <w:szCs w:val="14"/>
              </w:rPr>
              <w:t>0.000</w:t>
            </w:r>
          </w:p>
        </w:tc>
        <w:tc>
          <w:tcPr>
            <w:tcW w:w="3748" w:type="dxa"/>
          </w:tcPr>
          <w:p w14:paraId="24527679" w14:textId="78D3FE6C" w:rsidR="006C63EE" w:rsidRPr="006C63EE" w:rsidRDefault="006C63EE">
            <w:pPr>
              <w:pStyle w:val="Normal1"/>
              <w:rPr>
                <w:rFonts w:ascii="Times New Roman" w:eastAsia="Times New Roman" w:hAnsi="Times New Roman" w:cs="Times New Roman"/>
                <w:sz w:val="14"/>
                <w:szCs w:val="14"/>
              </w:rPr>
            </w:pPr>
            <w:r w:rsidRPr="006C63EE">
              <w:rPr>
                <w:rFonts w:ascii="Times New Roman" w:eastAsia="Times New Roman" w:hAnsi="Times New Roman" w:cs="Times New Roman"/>
                <w:sz w:val="14"/>
                <w:szCs w:val="14"/>
                <w:lang w:val="en"/>
              </w:rPr>
              <w:t>Rate = 0</w:t>
            </w:r>
          </w:p>
        </w:tc>
      </w:tr>
    </w:tbl>
    <w:p w14:paraId="7A7AA798" w14:textId="02B99DE3" w:rsidR="0063118D" w:rsidRPr="00A34299" w:rsidRDefault="005C4C89">
      <w:pPr>
        <w:pStyle w:val="Normal1"/>
        <w:spacing w:after="0" w:line="240" w:lineRule="auto"/>
        <w:ind w:hanging="720"/>
        <w:jc w:val="center"/>
        <w:rPr>
          <w:rFonts w:ascii="Times New Roman" w:eastAsia="Times New Roman" w:hAnsi="Times New Roman" w:cs="Times New Roman"/>
          <w:b/>
          <w:sz w:val="24"/>
          <w:szCs w:val="24"/>
        </w:rPr>
      </w:pPr>
      <w:r w:rsidRPr="00A34299">
        <w:rPr>
          <w:rFonts w:ascii="Times New Roman" w:eastAsia="Times New Roman" w:hAnsi="Times New Roman" w:cs="Times New Roman"/>
          <w:b/>
        </w:rPr>
        <w:t xml:space="preserve">Fig. 4. </w:t>
      </w:r>
      <w:r w:rsidR="00FB2942" w:rsidRPr="00A34299">
        <w:rPr>
          <w:rFonts w:ascii="Times New Roman" w:eastAsia="Times New Roman" w:hAnsi="Times New Roman" w:cs="Times New Roman"/>
          <w:b/>
        </w:rPr>
        <w:t xml:space="preserve">Copper </w:t>
      </w:r>
      <w:r w:rsidRPr="00A34299">
        <w:rPr>
          <w:rFonts w:ascii="Times New Roman" w:eastAsia="Times New Roman" w:hAnsi="Times New Roman" w:cs="Times New Roman"/>
          <w:b/>
        </w:rPr>
        <w:t>Produc</w:t>
      </w:r>
      <w:r w:rsidR="00FB2942" w:rsidRPr="00A34299">
        <w:rPr>
          <w:rFonts w:ascii="Times New Roman" w:eastAsia="Times New Roman" w:hAnsi="Times New Roman" w:cs="Times New Roman"/>
          <w:b/>
        </w:rPr>
        <w:t>tio</w:t>
      </w:r>
      <w:r w:rsidRPr="00A34299">
        <w:rPr>
          <w:rFonts w:ascii="Times New Roman" w:eastAsia="Times New Roman" w:hAnsi="Times New Roman" w:cs="Times New Roman"/>
          <w:b/>
        </w:rPr>
        <w:t xml:space="preserve">n </w:t>
      </w:r>
      <w:r w:rsidR="00FB2942" w:rsidRPr="00A34299">
        <w:rPr>
          <w:rFonts w:ascii="Times New Roman" w:eastAsia="Times New Roman" w:hAnsi="Times New Roman" w:cs="Times New Roman"/>
          <w:b/>
        </w:rPr>
        <w:t xml:space="preserve">delivered by COCHILCO, </w:t>
      </w:r>
      <w:r w:rsidRPr="00A34299">
        <w:rPr>
          <w:rFonts w:ascii="Times New Roman" w:eastAsia="Times New Roman" w:hAnsi="Times New Roman" w:cs="Times New Roman"/>
          <w:b/>
        </w:rPr>
        <w:t>2015. Source: Own elaboration</w:t>
      </w:r>
    </w:p>
    <w:p w14:paraId="2406DE92" w14:textId="10D4824E" w:rsidR="00CD3C00" w:rsidRDefault="00CD3C00">
      <w:pPr>
        <w:pBdr>
          <w:top w:val="nil"/>
          <w:left w:val="nil"/>
          <w:bottom w:val="nil"/>
          <w:right w:val="nil"/>
          <w:between w:val="nil"/>
        </w:pBdr>
        <w:spacing w:after="160" w:line="259" w:lineRule="auto"/>
        <w:rPr>
          <w:rFonts w:ascii="Calibri" w:hAnsi="Calibri" w:cs="Calibri"/>
          <w:color w:val="000000"/>
          <w:sz w:val="22"/>
          <w:szCs w:val="22"/>
          <w:lang w:val="en-US" w:eastAsia="es-ES"/>
        </w:rPr>
      </w:pPr>
      <w:r>
        <w:br w:type="page"/>
      </w:r>
    </w:p>
    <w:p w14:paraId="4397ADEC" w14:textId="77777777" w:rsidR="00C4388D" w:rsidRPr="00A34299" w:rsidRDefault="00C4388D">
      <w:pPr>
        <w:pStyle w:val="Normal1"/>
      </w:pPr>
    </w:p>
    <w:p w14:paraId="16867343" w14:textId="77777777" w:rsidR="0063118D" w:rsidRPr="00A34299" w:rsidRDefault="005C4C89" w:rsidP="000E26FA">
      <w:pPr>
        <w:pStyle w:val="Ttulo2"/>
      </w:pPr>
      <w:r w:rsidRPr="00A34299">
        <w:t>Copper ore grade</w:t>
      </w:r>
    </w:p>
    <w:p w14:paraId="3F00868A" w14:textId="77777777" w:rsidR="0063118D" w:rsidRPr="00A34299" w:rsidRDefault="0063118D">
      <w:pPr>
        <w:pStyle w:val="Normal1"/>
        <w:spacing w:after="0" w:line="240" w:lineRule="auto"/>
        <w:rPr>
          <w:rFonts w:ascii="Times New Roman" w:eastAsia="Times New Roman" w:hAnsi="Times New Roman" w:cs="Times New Roman"/>
          <w:b/>
          <w:u w:val="single"/>
        </w:rPr>
      </w:pPr>
    </w:p>
    <w:p w14:paraId="123634A0" w14:textId="630D86ED" w:rsidR="0063118D" w:rsidRPr="00A34299" w:rsidRDefault="005C4C89">
      <w:pPr>
        <w:pStyle w:val="Normal1"/>
        <w:spacing w:after="0" w:line="240" w:lineRule="auto"/>
        <w:rPr>
          <w:rFonts w:ascii="Times New Roman" w:eastAsia="Times New Roman" w:hAnsi="Times New Roman" w:cs="Times New Roman"/>
        </w:rPr>
      </w:pPr>
      <w:r w:rsidRPr="00A34299">
        <w:rPr>
          <w:rFonts w:ascii="Times New Roman" w:eastAsia="Times New Roman" w:hAnsi="Times New Roman" w:cs="Times New Roman"/>
        </w:rPr>
        <w:t xml:space="preserve">For the copper ore grade, the model considers an average copper grade of all deposits in Chile that have an inherent uncertainty generally reflected in a lognormal variable, according to (Singer, D. 2013) </w:t>
      </w:r>
      <w:r w:rsidR="00FB2942" w:rsidRPr="00A34299">
        <w:rPr>
          <w:rFonts w:ascii="Times New Roman" w:eastAsia="Times New Roman" w:hAnsi="Times New Roman" w:cs="Times New Roman"/>
        </w:rPr>
        <w:t>among others</w:t>
      </w:r>
      <w:r w:rsidRPr="00A34299">
        <w:rPr>
          <w:rFonts w:ascii="Times New Roman" w:eastAsia="Times New Roman" w:hAnsi="Times New Roman" w:cs="Times New Roman"/>
        </w:rPr>
        <w:t xml:space="preserve">. As a result, the average for the country copper ore grade fits a normal distribution, according to the Central Limit Theorem. </w:t>
      </w:r>
    </w:p>
    <w:p w14:paraId="448DA575" w14:textId="77777777" w:rsidR="0063118D" w:rsidRPr="00A34299" w:rsidRDefault="0063118D">
      <w:pPr>
        <w:pStyle w:val="Normal1"/>
        <w:spacing w:after="0" w:line="240" w:lineRule="auto"/>
        <w:rPr>
          <w:rFonts w:ascii="Times New Roman" w:eastAsia="Times New Roman" w:hAnsi="Times New Roman" w:cs="Times New Roman"/>
        </w:rPr>
      </w:pPr>
    </w:p>
    <w:p w14:paraId="09115059" w14:textId="77777777" w:rsidR="0063118D" w:rsidRPr="00A34299" w:rsidRDefault="005C4C89">
      <w:pPr>
        <w:pStyle w:val="Normal1"/>
        <w:spacing w:after="0" w:line="240" w:lineRule="auto"/>
        <w:rPr>
          <w:rFonts w:ascii="Times New Roman" w:eastAsia="Times New Roman" w:hAnsi="Times New Roman" w:cs="Times New Roman"/>
        </w:rPr>
      </w:pPr>
      <w:r w:rsidRPr="00A34299">
        <w:rPr>
          <w:rFonts w:ascii="Times New Roman" w:eastAsia="Times New Roman" w:hAnsi="Times New Roman" w:cs="Times New Roman"/>
        </w:rPr>
        <w:t xml:space="preserve">In the context of the MAPS-Chile project, scenarios are projected for copper ore grade for sulfides and oxides at the national level. It has been assumed that the most probable scenario will correspond to the average of the probability distribution for each year. </w:t>
      </w:r>
    </w:p>
    <w:p w14:paraId="78442DCF" w14:textId="77777777" w:rsidR="0063118D" w:rsidRPr="00A34299" w:rsidRDefault="0063118D">
      <w:pPr>
        <w:pStyle w:val="Normal1"/>
        <w:spacing w:after="0" w:line="240" w:lineRule="auto"/>
        <w:rPr>
          <w:rFonts w:ascii="Times New Roman" w:eastAsia="Times New Roman" w:hAnsi="Times New Roman" w:cs="Times New Roman"/>
        </w:rPr>
      </w:pPr>
    </w:p>
    <w:p w14:paraId="6A9E6957" w14:textId="77777777" w:rsidR="0063118D" w:rsidRPr="00A34299" w:rsidRDefault="005C4C89">
      <w:pPr>
        <w:pStyle w:val="Normal1"/>
        <w:spacing w:after="0" w:line="240" w:lineRule="auto"/>
        <w:rPr>
          <w:rFonts w:ascii="Times New Roman" w:eastAsia="Times New Roman" w:hAnsi="Times New Roman" w:cs="Times New Roman"/>
        </w:rPr>
      </w:pPr>
      <w:r w:rsidRPr="00A34299">
        <w:rPr>
          <w:rFonts w:ascii="Times New Roman" w:eastAsia="Times New Roman" w:hAnsi="Times New Roman" w:cs="Times New Roman"/>
        </w:rPr>
        <w:t>To define the Standard Deviation parameter required for the distribution, Chebyshev's theorem</w:t>
      </w:r>
      <w:r w:rsidRPr="00A34299">
        <w:rPr>
          <w:rFonts w:ascii="Times New Roman" w:eastAsia="Times New Roman" w:hAnsi="Times New Roman" w:cs="Times New Roman"/>
          <w:vertAlign w:val="superscript"/>
        </w:rPr>
        <w:footnoteReference w:id="1"/>
      </w:r>
      <w:r w:rsidRPr="00A34299">
        <w:rPr>
          <w:rFonts w:ascii="Times New Roman" w:eastAsia="Times New Roman" w:hAnsi="Times New Roman" w:cs="Times New Roman"/>
        </w:rPr>
        <w:t xml:space="preserve"> is used. In 95% of the cases, the standard deviation is within the maximum and minimum range defined by the scenarios (</w:t>
      </w:r>
      <w:proofErr w:type="spellStart"/>
      <w:r w:rsidRPr="00A34299">
        <w:rPr>
          <w:rFonts w:ascii="Times New Roman" w:eastAsia="Times New Roman" w:hAnsi="Times New Roman" w:cs="Times New Roman"/>
        </w:rPr>
        <w:t>Depool</w:t>
      </w:r>
      <w:proofErr w:type="spellEnd"/>
      <w:r w:rsidRPr="00A34299">
        <w:rPr>
          <w:rFonts w:ascii="Times New Roman" w:eastAsia="Times New Roman" w:hAnsi="Times New Roman" w:cs="Times New Roman"/>
        </w:rPr>
        <w:t xml:space="preserve"> </w:t>
      </w:r>
      <w:proofErr w:type="spellStart"/>
      <w:r w:rsidRPr="00A34299">
        <w:rPr>
          <w:rFonts w:ascii="Times New Roman" w:eastAsia="Times New Roman" w:hAnsi="Times New Roman" w:cs="Times New Roman"/>
        </w:rPr>
        <w:t>Rivero</w:t>
      </w:r>
      <w:proofErr w:type="spellEnd"/>
      <w:r w:rsidRPr="00A34299">
        <w:rPr>
          <w:rFonts w:ascii="Times New Roman" w:eastAsia="Times New Roman" w:hAnsi="Times New Roman" w:cs="Times New Roman"/>
        </w:rPr>
        <w:t xml:space="preserve"> and </w:t>
      </w:r>
      <w:proofErr w:type="spellStart"/>
      <w:r w:rsidRPr="00A34299">
        <w:rPr>
          <w:rFonts w:ascii="Times New Roman" w:eastAsia="Times New Roman" w:hAnsi="Times New Roman" w:cs="Times New Roman"/>
        </w:rPr>
        <w:t>Monasterio</w:t>
      </w:r>
      <w:proofErr w:type="spellEnd"/>
      <w:r w:rsidRPr="00A34299">
        <w:rPr>
          <w:rFonts w:ascii="Times New Roman" w:eastAsia="Times New Roman" w:hAnsi="Times New Roman" w:cs="Times New Roman"/>
        </w:rPr>
        <w:t>, 2013). In this way, the following Chebyshev’s inequality for k can be obtained (</w:t>
      </w:r>
      <w:r w:rsidRPr="00A34299">
        <w:rPr>
          <w:rFonts w:ascii="Times New Roman" w:eastAsia="Times New Roman" w:hAnsi="Times New Roman" w:cs="Times New Roman"/>
          <w:i/>
        </w:rPr>
        <w:t>Ec. 1</w:t>
      </w:r>
      <w:r w:rsidRPr="00A34299">
        <w:rPr>
          <w:rFonts w:ascii="Times New Roman" w:eastAsia="Times New Roman" w:hAnsi="Times New Roman" w:cs="Times New Roman"/>
        </w:rPr>
        <w:t>).</w:t>
      </w:r>
    </w:p>
    <w:p w14:paraId="35F8D318" w14:textId="77777777" w:rsidR="00107BF8" w:rsidRPr="00A34299" w:rsidRDefault="00107BF8">
      <w:pPr>
        <w:pStyle w:val="Normal1"/>
        <w:spacing w:after="0" w:line="240" w:lineRule="auto"/>
        <w:rPr>
          <w:rFonts w:ascii="Times New Roman" w:eastAsia="Times New Roman" w:hAnsi="Times New Roman" w:cs="Times New Roman"/>
        </w:rPr>
      </w:pPr>
    </w:p>
    <w:tbl>
      <w:tblPr>
        <w:tblW w:w="9073" w:type="dxa"/>
        <w:tblCellMar>
          <w:left w:w="70" w:type="dxa"/>
          <w:right w:w="70" w:type="dxa"/>
        </w:tblCellMar>
        <w:tblLook w:val="0000" w:firstRow="0" w:lastRow="0" w:firstColumn="0" w:lastColumn="0" w:noHBand="0" w:noVBand="0"/>
      </w:tblPr>
      <w:tblGrid>
        <w:gridCol w:w="7650"/>
        <w:gridCol w:w="1423"/>
      </w:tblGrid>
      <w:tr w:rsidR="00107BF8" w:rsidRPr="00A34299" w14:paraId="20C21E40" w14:textId="77777777" w:rsidTr="00E3235C">
        <w:tc>
          <w:tcPr>
            <w:tcW w:w="7650" w:type="dxa"/>
            <w:vAlign w:val="center"/>
          </w:tcPr>
          <w:p w14:paraId="59D639F8" w14:textId="77777777" w:rsidR="00107BF8" w:rsidRPr="00A34299" w:rsidRDefault="00107BF8" w:rsidP="00E3235C">
            <w:pPr>
              <w:jc w:val="center"/>
              <w:rPr>
                <w:lang w:val="en-US"/>
              </w:rPr>
            </w:pPr>
            <m:oMathPara>
              <m:oMath>
                <m:r>
                  <w:rPr>
                    <w:rFonts w:ascii="Cambria Math" w:hAnsi="Cambria Math"/>
                    <w:lang w:val="en-US"/>
                  </w:rPr>
                  <m:t>0.95=1-1/</m:t>
                </m:r>
                <m:sSup>
                  <m:sSupPr>
                    <m:ctrlPr>
                      <w:rPr>
                        <w:rFonts w:ascii="Cambria Math" w:hAnsi="Cambria Math"/>
                        <w:i/>
                        <w:lang w:val="en-US"/>
                      </w:rPr>
                    </m:ctrlPr>
                  </m:sSupPr>
                  <m:e>
                    <m:r>
                      <w:rPr>
                        <w:rFonts w:ascii="Cambria Math" w:hAnsi="Cambria Math"/>
                        <w:lang w:val="en-US"/>
                      </w:rPr>
                      <m:t>k</m:t>
                    </m:r>
                  </m:e>
                  <m:sup>
                    <m:r>
                      <w:rPr>
                        <w:rFonts w:ascii="Cambria Math" w:hAnsi="Cambria Math"/>
                        <w:lang w:val="en-US"/>
                      </w:rPr>
                      <m:t>2</m:t>
                    </m:r>
                  </m:sup>
                </m:sSup>
              </m:oMath>
            </m:oMathPara>
          </w:p>
        </w:tc>
        <w:tc>
          <w:tcPr>
            <w:tcW w:w="1423" w:type="dxa"/>
            <w:vAlign w:val="center"/>
          </w:tcPr>
          <w:p w14:paraId="0A7AB6C3" w14:textId="77777777" w:rsidR="00107BF8" w:rsidRPr="00A34299" w:rsidRDefault="00107BF8" w:rsidP="00E3235C">
            <w:pPr>
              <w:rPr>
                <w:i/>
                <w:lang w:val="en-US"/>
              </w:rPr>
            </w:pPr>
            <w:bookmarkStart w:id="4" w:name="_Ref490216721"/>
            <w:r w:rsidRPr="00A34299">
              <w:rPr>
                <w:i/>
                <w:lang w:val="en-US"/>
              </w:rPr>
              <w:t xml:space="preserve">Ec. </w:t>
            </w:r>
            <w:r w:rsidRPr="00A34299">
              <w:rPr>
                <w:i/>
                <w:lang w:val="en-US"/>
              </w:rPr>
              <w:fldChar w:fldCharType="begin"/>
            </w:r>
            <w:r w:rsidRPr="00A34299">
              <w:rPr>
                <w:i/>
                <w:lang w:val="en-US"/>
              </w:rPr>
              <w:instrText xml:space="preserve"> SEQ Tabla \* ARABIC </w:instrText>
            </w:r>
            <w:r w:rsidRPr="00A34299">
              <w:rPr>
                <w:i/>
                <w:lang w:val="en-US"/>
              </w:rPr>
              <w:fldChar w:fldCharType="separate"/>
            </w:r>
            <w:r w:rsidRPr="00A34299">
              <w:rPr>
                <w:i/>
                <w:lang w:val="en-US"/>
              </w:rPr>
              <w:t>1</w:t>
            </w:r>
            <w:r w:rsidRPr="00A34299">
              <w:rPr>
                <w:i/>
                <w:lang w:val="en-US"/>
              </w:rPr>
              <w:fldChar w:fldCharType="end"/>
            </w:r>
            <w:bookmarkEnd w:id="4"/>
          </w:p>
        </w:tc>
      </w:tr>
    </w:tbl>
    <w:p w14:paraId="520F34B2" w14:textId="77777777" w:rsidR="00107BF8" w:rsidRPr="00A34299" w:rsidRDefault="00107BF8" w:rsidP="00107BF8">
      <w:pPr>
        <w:rPr>
          <w:rStyle w:val="hps"/>
          <w:lang w:val="en-US"/>
        </w:rPr>
      </w:pPr>
    </w:p>
    <w:p w14:paraId="2C657A64" w14:textId="77777777" w:rsidR="00107BF8" w:rsidRPr="00A34299" w:rsidRDefault="00107BF8" w:rsidP="00107BF8">
      <w:pPr>
        <w:rPr>
          <w:rStyle w:val="hps"/>
          <w:lang w:val="en-US"/>
        </w:rPr>
      </w:pPr>
      <w:r w:rsidRPr="00A34299">
        <w:rPr>
          <w:rStyle w:val="hps"/>
          <w:lang w:val="en-US"/>
        </w:rPr>
        <w:t xml:space="preserve">From the value of k, the standard deviation can be obtained from </w:t>
      </w:r>
      <w:r w:rsidRPr="00A34299">
        <w:rPr>
          <w:rStyle w:val="hps"/>
          <w:lang w:val="en-US"/>
        </w:rPr>
        <w:fldChar w:fldCharType="begin"/>
      </w:r>
      <w:r w:rsidRPr="00A34299">
        <w:rPr>
          <w:rStyle w:val="hps"/>
          <w:lang w:val="en-US"/>
        </w:rPr>
        <w:instrText xml:space="preserve"> REF _Ref490216750 \h  \* MERGEFORMAT </w:instrText>
      </w:r>
      <w:r w:rsidRPr="00A34299">
        <w:rPr>
          <w:rStyle w:val="hps"/>
          <w:lang w:val="en-US"/>
        </w:rPr>
      </w:r>
      <w:r w:rsidRPr="00A34299">
        <w:rPr>
          <w:rStyle w:val="hps"/>
          <w:lang w:val="en-US"/>
        </w:rPr>
        <w:fldChar w:fldCharType="separate"/>
      </w:r>
      <w:r w:rsidRPr="00A34299">
        <w:rPr>
          <w:i/>
          <w:lang w:val="en-US"/>
        </w:rPr>
        <w:t>Ec. 2</w:t>
      </w:r>
      <w:r w:rsidRPr="00A34299">
        <w:rPr>
          <w:rStyle w:val="hps"/>
          <w:lang w:val="en-US"/>
        </w:rPr>
        <w:fldChar w:fldCharType="end"/>
      </w:r>
      <w:r w:rsidRPr="00A34299">
        <w:rPr>
          <w:rStyle w:val="hps"/>
          <w:lang w:val="en-US"/>
        </w:rPr>
        <w:t>.</w:t>
      </w:r>
    </w:p>
    <w:tbl>
      <w:tblPr>
        <w:tblW w:w="9073" w:type="dxa"/>
        <w:tblCellMar>
          <w:left w:w="70" w:type="dxa"/>
          <w:right w:w="70" w:type="dxa"/>
        </w:tblCellMar>
        <w:tblLook w:val="0000" w:firstRow="0" w:lastRow="0" w:firstColumn="0" w:lastColumn="0" w:noHBand="0" w:noVBand="0"/>
      </w:tblPr>
      <w:tblGrid>
        <w:gridCol w:w="7650"/>
        <w:gridCol w:w="1423"/>
      </w:tblGrid>
      <w:tr w:rsidR="00107BF8" w:rsidRPr="00A34299" w14:paraId="7EE2831A" w14:textId="77777777" w:rsidTr="00E3235C">
        <w:tc>
          <w:tcPr>
            <w:tcW w:w="7650" w:type="dxa"/>
            <w:vAlign w:val="center"/>
          </w:tcPr>
          <w:p w14:paraId="4C150D1E" w14:textId="77777777" w:rsidR="00107BF8" w:rsidRPr="00A34299" w:rsidRDefault="00107BF8" w:rsidP="00E3235C">
            <w:pPr>
              <w:jc w:val="center"/>
              <w:rPr>
                <w:lang w:val="en-US"/>
              </w:rPr>
            </w:pPr>
            <m:oMath>
              <m:r>
                <w:rPr>
                  <w:rStyle w:val="hps"/>
                  <w:rFonts w:ascii="Cambria Math" w:hAnsi="Cambria Math"/>
                  <w:lang w:val="en-US"/>
                </w:rPr>
                <m:t>C</m:t>
              </m:r>
              <m:sSub>
                <m:sSubPr>
                  <m:ctrlPr>
                    <w:rPr>
                      <w:rStyle w:val="hps"/>
                      <w:rFonts w:ascii="Cambria Math" w:hAnsi="Cambria Math"/>
                      <w:i/>
                      <w:lang w:val="en-US"/>
                    </w:rPr>
                  </m:ctrlPr>
                </m:sSubPr>
                <m:e>
                  <m:r>
                    <w:rPr>
                      <w:rStyle w:val="hps"/>
                      <w:rFonts w:ascii="Cambria Math" w:hAnsi="Cambria Math"/>
                      <w:lang w:val="en-US"/>
                    </w:rPr>
                    <m:t>u</m:t>
                  </m:r>
                </m:e>
                <m:sub>
                  <m:r>
                    <w:rPr>
                      <w:rStyle w:val="hps"/>
                      <w:rFonts w:ascii="Cambria Math" w:hAnsi="Cambria Math"/>
                      <w:lang w:val="en-US"/>
                    </w:rPr>
                    <m:t>ore grade</m:t>
                  </m:r>
                  <m:func>
                    <m:funcPr>
                      <m:ctrlPr>
                        <w:rPr>
                          <w:rStyle w:val="hps"/>
                          <w:rFonts w:ascii="Cambria Math" w:hAnsi="Cambria Math"/>
                          <w:i/>
                          <w:lang w:val="en-US"/>
                        </w:rPr>
                      </m:ctrlPr>
                    </m:funcPr>
                    <m:fName>
                      <m:r>
                        <m:rPr>
                          <m:sty m:val="p"/>
                        </m:rPr>
                        <w:rPr>
                          <w:rStyle w:val="hps"/>
                          <w:rFonts w:ascii="Cambria Math" w:hAnsi="Cambria Math"/>
                          <w:lang w:val="en-US"/>
                        </w:rPr>
                        <m:t>max</m:t>
                      </m:r>
                    </m:fName>
                    <m:e>
                      <m:r>
                        <w:rPr>
                          <w:rStyle w:val="hps"/>
                          <w:rFonts w:ascii="Cambria Math" w:hAnsi="Cambria Math"/>
                          <w:lang w:val="en-US"/>
                        </w:rPr>
                        <m:t>or min</m:t>
                      </m:r>
                    </m:e>
                  </m:func>
                </m:sub>
              </m:sSub>
              <m:r>
                <w:rPr>
                  <w:rStyle w:val="hps"/>
                  <w:rFonts w:ascii="Cambria Math" w:hAnsi="Cambria Math"/>
                  <w:lang w:val="en-US"/>
                </w:rPr>
                <m:t>= μ-k*σ</m:t>
              </m:r>
            </m:oMath>
            <w:r w:rsidRPr="00A34299">
              <w:rPr>
                <w:rStyle w:val="hps"/>
                <w:lang w:val="en-US"/>
              </w:rPr>
              <w:tab/>
            </w:r>
          </w:p>
        </w:tc>
        <w:tc>
          <w:tcPr>
            <w:tcW w:w="1423" w:type="dxa"/>
            <w:vAlign w:val="center"/>
          </w:tcPr>
          <w:p w14:paraId="5EA519FA" w14:textId="77777777" w:rsidR="00107BF8" w:rsidRPr="00A34299" w:rsidRDefault="00107BF8" w:rsidP="00E3235C">
            <w:pPr>
              <w:rPr>
                <w:i/>
                <w:lang w:val="en-US"/>
              </w:rPr>
            </w:pPr>
            <w:bookmarkStart w:id="5" w:name="_Ref490216750"/>
            <w:r w:rsidRPr="00A34299">
              <w:rPr>
                <w:i/>
                <w:lang w:val="en-US"/>
              </w:rPr>
              <w:t xml:space="preserve">Ec. </w:t>
            </w:r>
            <w:r w:rsidRPr="00A34299">
              <w:rPr>
                <w:i/>
                <w:lang w:val="en-US"/>
              </w:rPr>
              <w:fldChar w:fldCharType="begin"/>
            </w:r>
            <w:r w:rsidRPr="00A34299">
              <w:rPr>
                <w:i/>
                <w:lang w:val="en-US"/>
              </w:rPr>
              <w:instrText xml:space="preserve"> SEQ Tabla \* ARABIC </w:instrText>
            </w:r>
            <w:r w:rsidRPr="00A34299">
              <w:rPr>
                <w:i/>
                <w:lang w:val="en-US"/>
              </w:rPr>
              <w:fldChar w:fldCharType="separate"/>
            </w:r>
            <w:r w:rsidRPr="00A34299">
              <w:rPr>
                <w:i/>
                <w:lang w:val="en-US"/>
              </w:rPr>
              <w:t>2</w:t>
            </w:r>
            <w:r w:rsidRPr="00A34299">
              <w:rPr>
                <w:i/>
                <w:lang w:val="en-US"/>
              </w:rPr>
              <w:fldChar w:fldCharType="end"/>
            </w:r>
            <w:bookmarkEnd w:id="5"/>
          </w:p>
        </w:tc>
      </w:tr>
    </w:tbl>
    <w:p w14:paraId="52CC833E" w14:textId="77777777" w:rsidR="00107BF8" w:rsidRPr="00A34299" w:rsidRDefault="00107BF8" w:rsidP="00107BF8">
      <w:pPr>
        <w:rPr>
          <w:lang w:val="en-US"/>
        </w:rPr>
      </w:pPr>
    </w:p>
    <w:p w14:paraId="0098809A" w14:textId="77777777" w:rsidR="0063118D" w:rsidRPr="00A34299" w:rsidRDefault="005C4C89">
      <w:pPr>
        <w:pStyle w:val="Normal1"/>
        <w:spacing w:after="0" w:line="240" w:lineRule="auto"/>
        <w:rPr>
          <w:rFonts w:ascii="Times New Roman" w:eastAsia="Times New Roman" w:hAnsi="Times New Roman" w:cs="Times New Roman"/>
        </w:rPr>
      </w:pPr>
      <w:r w:rsidRPr="00A34299">
        <w:rPr>
          <w:rFonts w:ascii="Times New Roman" w:eastAsia="Times New Roman" w:hAnsi="Times New Roman" w:cs="Times New Roman"/>
        </w:rPr>
        <w:t xml:space="preserve">Using the average value of the projected copper ore-grade (for sulfides and oxides) and the standard deviation in each year, the normal probability distribution can be obtained for this variable. In </w:t>
      </w:r>
      <w:r w:rsidRPr="00A34299">
        <w:rPr>
          <w:rFonts w:ascii="Times New Roman" w:eastAsia="Times New Roman" w:hAnsi="Times New Roman" w:cs="Times New Roman"/>
          <w:i/>
        </w:rPr>
        <w:t>Fig. 5</w:t>
      </w:r>
      <w:r w:rsidRPr="00A34299">
        <w:rPr>
          <w:rFonts w:ascii="Times New Roman" w:eastAsia="Times New Roman" w:hAnsi="Times New Roman" w:cs="Times New Roman"/>
        </w:rPr>
        <w:t xml:space="preserve"> we show the probability distributions for 2015 of the sulfides, as an example.</w:t>
      </w:r>
    </w:p>
    <w:p w14:paraId="758A3F7A" w14:textId="77777777" w:rsidR="0063118D" w:rsidRPr="00A34299" w:rsidRDefault="0063118D">
      <w:pPr>
        <w:pStyle w:val="Normal1"/>
        <w:spacing w:after="0" w:line="240" w:lineRule="auto"/>
        <w:rPr>
          <w:rFonts w:ascii="Times New Roman" w:eastAsia="Times New Roman" w:hAnsi="Times New Roman" w:cs="Times New Roman"/>
        </w:rPr>
      </w:pPr>
      <w:bookmarkStart w:id="6" w:name="_tyjcwt" w:colFirst="0" w:colLast="0"/>
      <w:bookmarkEnd w:id="6"/>
    </w:p>
    <w:p w14:paraId="53B2199D" w14:textId="77777777" w:rsidR="0063118D" w:rsidRPr="00A34299" w:rsidRDefault="005C4C89">
      <w:pPr>
        <w:pStyle w:val="Normal1"/>
        <w:jc w:val="center"/>
      </w:pPr>
      <w:bookmarkStart w:id="7" w:name="_3dy6vkm" w:colFirst="0" w:colLast="0"/>
      <w:bookmarkEnd w:id="7"/>
      <w:r w:rsidRPr="00A34299">
        <w:rPr>
          <w:noProof/>
          <w:lang w:val="es-ES_tradnl" w:eastAsia="es-ES_tradnl"/>
        </w:rPr>
        <w:lastRenderedPageBreak/>
        <w:drawing>
          <wp:inline distT="0" distB="0" distL="0" distR="0" wp14:anchorId="5841C174" wp14:editId="6DA76843">
            <wp:extent cx="4673792" cy="2647847"/>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2"/>
                    <a:srcRect/>
                    <a:stretch>
                      <a:fillRect/>
                    </a:stretch>
                  </pic:blipFill>
                  <pic:spPr>
                    <a:xfrm>
                      <a:off x="0" y="0"/>
                      <a:ext cx="4673792" cy="2647847"/>
                    </a:xfrm>
                    <a:prstGeom prst="rect">
                      <a:avLst/>
                    </a:prstGeom>
                    <a:ln/>
                  </pic:spPr>
                </pic:pic>
              </a:graphicData>
            </a:graphic>
          </wp:inline>
        </w:drawing>
      </w:r>
    </w:p>
    <w:p w14:paraId="728D8FCC" w14:textId="77777777" w:rsidR="0063118D" w:rsidRPr="00A34299" w:rsidRDefault="005C4C89">
      <w:pPr>
        <w:pStyle w:val="Normal1"/>
        <w:spacing w:after="0" w:line="240" w:lineRule="auto"/>
        <w:jc w:val="center"/>
        <w:rPr>
          <w:rFonts w:ascii="Times New Roman" w:eastAsia="Times New Roman" w:hAnsi="Times New Roman" w:cs="Times New Roman"/>
        </w:rPr>
      </w:pPr>
      <w:bookmarkStart w:id="8" w:name="_1t3h5sf" w:colFirst="0" w:colLast="0"/>
      <w:bookmarkEnd w:id="8"/>
      <w:r w:rsidRPr="00A34299">
        <w:rPr>
          <w:rFonts w:ascii="Times New Roman" w:eastAsia="Times New Roman" w:hAnsi="Times New Roman" w:cs="Times New Roman"/>
          <w:b/>
        </w:rPr>
        <w:t>Fig. 5. Copper ore grade (Sulfides) year 2015: Normal Distribution. Source: Own elaboration</w:t>
      </w:r>
    </w:p>
    <w:p w14:paraId="3BD2774D" w14:textId="77777777" w:rsidR="0063118D" w:rsidRPr="00A34299" w:rsidRDefault="0063118D">
      <w:pPr>
        <w:pStyle w:val="Normal1"/>
        <w:spacing w:after="0" w:line="240" w:lineRule="auto"/>
        <w:ind w:hanging="720"/>
        <w:rPr>
          <w:rFonts w:ascii="Times New Roman" w:eastAsia="Times New Roman" w:hAnsi="Times New Roman" w:cs="Times New Roman"/>
        </w:rPr>
      </w:pPr>
    </w:p>
    <w:sectPr w:rsidR="0063118D" w:rsidRPr="00A3429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8E686A" w14:textId="77777777" w:rsidR="00B14A7B" w:rsidRDefault="00B14A7B">
      <w:r>
        <w:separator/>
      </w:r>
    </w:p>
  </w:endnote>
  <w:endnote w:type="continuationSeparator" w:id="0">
    <w:p w14:paraId="6BE43B27" w14:textId="77777777" w:rsidR="00B14A7B" w:rsidRDefault="00B1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ＭＳ ゴシック">
    <w:charset w:val="80"/>
    <w:family w:val="auto"/>
    <w:pitch w:val="variable"/>
    <w:sig w:usb0="E00002FF" w:usb1="6AC7FDFB" w:usb2="08000012" w:usb3="00000000" w:csb0="0002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FE1038" w14:textId="77777777" w:rsidR="00B14A7B" w:rsidRDefault="00B14A7B">
      <w:r>
        <w:separator/>
      </w:r>
    </w:p>
  </w:footnote>
  <w:footnote w:type="continuationSeparator" w:id="0">
    <w:p w14:paraId="374CFE21" w14:textId="77777777" w:rsidR="00B14A7B" w:rsidRDefault="00B14A7B">
      <w:r>
        <w:continuationSeparator/>
      </w:r>
    </w:p>
  </w:footnote>
  <w:footnote w:id="1">
    <w:p w14:paraId="13B121CA" w14:textId="77777777" w:rsidR="00FB2942" w:rsidRDefault="00FB2942">
      <w:pPr>
        <w:pStyle w:val="Normal1"/>
        <w:spacing w:after="0" w:line="360" w:lineRule="auto"/>
        <w:jc w:val="both"/>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For normal distributions, about 68% of results will fall between +1 and -1 standard deviations from the mean. About 95% will fall between +2 and -2 standard deviations. Chebyshev’s Theorem allows you to use this idea for any distribution, even if that distribution isn’t normal. The theorem states that for a population or sample, the proportion of observations is no less than (1 – (1 / k</w:t>
      </w:r>
      <w:proofErr w:type="gramStart"/>
      <w:r>
        <w:rPr>
          <w:rFonts w:ascii="Times New Roman" w:eastAsia="Times New Roman" w:hAnsi="Times New Roman" w:cs="Times New Roman"/>
          <w:sz w:val="18"/>
          <w:szCs w:val="18"/>
        </w:rPr>
        <w:t>2 )</w:t>
      </w:r>
      <w:proofErr w:type="gramEnd"/>
      <w:r>
        <w:rPr>
          <w:rFonts w:ascii="Times New Roman" w:eastAsia="Times New Roman" w:hAnsi="Times New Roman" w:cs="Times New Roman"/>
          <w:sz w:val="18"/>
          <w:szCs w:val="18"/>
        </w:rPr>
        <w:t>), as long as the z score’s absolute value is less than or equal to k. You can only use Chebyshev’s Theorem to get results for standard deviations more than 1. It cannot be used to find results for smaller values like 0.1 or 0.9. Technically, you could use it and get some kind of a result, but those results would not be valid.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64A3A"/>
    <w:multiLevelType w:val="multilevel"/>
    <w:tmpl w:val="3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3118D"/>
    <w:rsid w:val="00011315"/>
    <w:rsid w:val="000E26FA"/>
    <w:rsid w:val="00107BF8"/>
    <w:rsid w:val="001C3036"/>
    <w:rsid w:val="005C4C89"/>
    <w:rsid w:val="0063118D"/>
    <w:rsid w:val="006C63EE"/>
    <w:rsid w:val="00860BFA"/>
    <w:rsid w:val="008F0A1E"/>
    <w:rsid w:val="00A34299"/>
    <w:rsid w:val="00AB0703"/>
    <w:rsid w:val="00AC5650"/>
    <w:rsid w:val="00B14A7B"/>
    <w:rsid w:val="00C4388D"/>
    <w:rsid w:val="00CA0A72"/>
    <w:rsid w:val="00CD3C00"/>
    <w:rsid w:val="00CE172B"/>
    <w:rsid w:val="00D52D72"/>
    <w:rsid w:val="00DF1157"/>
    <w:rsid w:val="00EE3664"/>
    <w:rsid w:val="00F548B9"/>
    <w:rsid w:val="00FB2942"/>
    <w:rsid w:val="00FD6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B7B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s-E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C63EE"/>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hAnsi="Times New Roman" w:cs="Times New Roman"/>
      <w:color w:val="auto"/>
      <w:sz w:val="24"/>
      <w:szCs w:val="24"/>
      <w:lang w:val="es-ES_tradnl" w:eastAsia="es-ES_tradnl"/>
    </w:rPr>
  </w:style>
  <w:style w:type="paragraph" w:styleId="Ttulo1">
    <w:name w:val="heading 1"/>
    <w:basedOn w:val="Normal1"/>
    <w:next w:val="Normal1"/>
    <w:rsid w:val="000E26FA"/>
    <w:pPr>
      <w:keepNext/>
      <w:keepLines/>
      <w:numPr>
        <w:numId w:val="1"/>
      </w:numPr>
      <w:spacing w:before="240" w:after="240" w:line="276" w:lineRule="auto"/>
      <w:outlineLvl w:val="0"/>
    </w:pPr>
    <w:rPr>
      <w:rFonts w:ascii="Times New Roman" w:hAnsi="Times New Roman"/>
      <w:b/>
      <w:sz w:val="24"/>
      <w:szCs w:val="28"/>
    </w:rPr>
  </w:style>
  <w:style w:type="paragraph" w:styleId="Ttulo2">
    <w:name w:val="heading 2"/>
    <w:basedOn w:val="Normal1"/>
    <w:next w:val="Normal1"/>
    <w:rsid w:val="000E26FA"/>
    <w:pPr>
      <w:keepNext/>
      <w:keepLines/>
      <w:numPr>
        <w:ilvl w:val="1"/>
        <w:numId w:val="1"/>
      </w:numPr>
      <w:spacing w:before="240" w:after="240" w:line="240" w:lineRule="auto"/>
      <w:outlineLvl w:val="1"/>
    </w:pPr>
    <w:rPr>
      <w:rFonts w:ascii="Times New Roman" w:hAnsi="Times New Roman"/>
      <w:b/>
      <w:i/>
      <w:sz w:val="24"/>
      <w:szCs w:val="26"/>
    </w:rPr>
  </w:style>
  <w:style w:type="paragraph" w:styleId="Ttulo3">
    <w:name w:val="heading 3"/>
    <w:basedOn w:val="Normal1"/>
    <w:next w:val="Normal1"/>
    <w:pPr>
      <w:keepNext/>
      <w:keepLines/>
      <w:numPr>
        <w:ilvl w:val="2"/>
        <w:numId w:val="1"/>
      </w:numPr>
      <w:spacing w:before="240" w:after="240" w:line="240" w:lineRule="auto"/>
      <w:outlineLvl w:val="2"/>
    </w:pPr>
    <w:rPr>
      <w:b/>
      <w:sz w:val="24"/>
      <w:szCs w:val="24"/>
    </w:rPr>
  </w:style>
  <w:style w:type="paragraph" w:styleId="Ttulo4">
    <w:name w:val="heading 4"/>
    <w:basedOn w:val="Normal1"/>
    <w:next w:val="Normal1"/>
    <w:pPr>
      <w:keepNext/>
      <w:keepLines/>
      <w:numPr>
        <w:ilvl w:val="3"/>
        <w:numId w:val="1"/>
      </w:numPr>
      <w:spacing w:before="200" w:after="0" w:line="240" w:lineRule="auto"/>
      <w:jc w:val="both"/>
      <w:outlineLvl w:val="3"/>
    </w:pPr>
    <w:rPr>
      <w:b/>
      <w:i/>
      <w:color w:val="5B9BD5"/>
    </w:rPr>
  </w:style>
  <w:style w:type="paragraph" w:styleId="Ttulo5">
    <w:name w:val="heading 5"/>
    <w:basedOn w:val="Normal1"/>
    <w:next w:val="Normal1"/>
    <w:pPr>
      <w:keepNext/>
      <w:keepLines/>
      <w:numPr>
        <w:ilvl w:val="4"/>
        <w:numId w:val="1"/>
      </w:numPr>
      <w:spacing w:before="200" w:after="0" w:line="240" w:lineRule="auto"/>
      <w:jc w:val="both"/>
      <w:outlineLvl w:val="4"/>
    </w:pPr>
    <w:rPr>
      <w:color w:val="1E4D78"/>
    </w:rPr>
  </w:style>
  <w:style w:type="paragraph" w:styleId="Ttulo6">
    <w:name w:val="heading 6"/>
    <w:basedOn w:val="Normal1"/>
    <w:next w:val="Normal1"/>
    <w:pPr>
      <w:keepNext/>
      <w:keepLines/>
      <w:numPr>
        <w:ilvl w:val="5"/>
        <w:numId w:val="1"/>
      </w:numPr>
      <w:spacing w:before="200" w:after="0" w:line="240" w:lineRule="auto"/>
      <w:jc w:val="both"/>
      <w:outlineLvl w:val="5"/>
    </w:pPr>
    <w:rPr>
      <w:i/>
      <w:color w:val="1E4D78"/>
    </w:rPr>
  </w:style>
  <w:style w:type="paragraph" w:styleId="Ttulo7">
    <w:name w:val="heading 7"/>
    <w:basedOn w:val="Normal"/>
    <w:next w:val="Normal"/>
    <w:link w:val="Ttulo7Car"/>
    <w:uiPriority w:val="9"/>
    <w:semiHidden/>
    <w:unhideWhenUsed/>
    <w:qFormat/>
    <w:rsid w:val="000E26FA"/>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0E26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0E26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Puesto">
    <w:name w:val="Title"/>
    <w:basedOn w:val="Normal1"/>
    <w:next w:val="Normal1"/>
    <w:pPr>
      <w:keepNext/>
      <w:keepLines/>
      <w:spacing w:before="480" w:after="120"/>
    </w:pPr>
    <w:rPr>
      <w:b/>
      <w:sz w:val="72"/>
      <w:szCs w:val="72"/>
    </w:rPr>
  </w:style>
  <w:style w:type="paragraph" w:styleId="Subttulo">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70" w:type="dxa"/>
        <w:bottom w:w="0" w:type="dxa"/>
        <w:right w:w="70" w:type="dxa"/>
      </w:tblCellMar>
    </w:tblPr>
  </w:style>
  <w:style w:type="table" w:customStyle="1" w:styleId="a3">
    <w:basedOn w:val="TableNormal"/>
    <w:tblPr>
      <w:tblStyleRowBandSize w:val="1"/>
      <w:tblStyleColBandSize w:val="1"/>
      <w:tblCellMar>
        <w:top w:w="0" w:type="dxa"/>
        <w:left w:w="70" w:type="dxa"/>
        <w:bottom w:w="0" w:type="dxa"/>
        <w:right w:w="70" w:type="dxa"/>
      </w:tblCellMar>
    </w:tblPr>
  </w:style>
  <w:style w:type="paragraph" w:styleId="Textocomentario">
    <w:name w:val="annotation text"/>
    <w:basedOn w:val="Normal"/>
    <w:link w:val="TextocomentarioCar"/>
    <w:uiPriority w:val="99"/>
    <w:semiHidden/>
    <w:unhideWhenUsed/>
    <w:pPr>
      <w:pBdr>
        <w:top w:val="nil"/>
        <w:left w:val="nil"/>
        <w:bottom w:val="nil"/>
        <w:right w:val="nil"/>
        <w:between w:val="nil"/>
      </w:pBdr>
      <w:spacing w:after="160"/>
    </w:pPr>
    <w:rPr>
      <w:rFonts w:ascii="Calibri" w:hAnsi="Calibri" w:cs="Calibri"/>
      <w:color w:val="000000"/>
      <w:lang w:val="en-US" w:eastAsia="es-ES"/>
    </w:rPr>
  </w:style>
  <w:style w:type="character" w:customStyle="1" w:styleId="TextocomentarioCar">
    <w:name w:val="Texto comentario Car"/>
    <w:basedOn w:val="Fuentedeprrafopredeter"/>
    <w:link w:val="Textocomentario"/>
    <w:uiPriority w:val="99"/>
    <w:semiHidden/>
    <w:rPr>
      <w:sz w:val="24"/>
      <w:szCs w:val="24"/>
    </w:rPr>
  </w:style>
  <w:style w:type="character" w:styleId="Refdecomentario">
    <w:name w:val="annotation reference"/>
    <w:basedOn w:val="Fuentedeprrafopredeter"/>
    <w:uiPriority w:val="99"/>
    <w:semiHidden/>
    <w:unhideWhenUsed/>
    <w:rPr>
      <w:sz w:val="18"/>
      <w:szCs w:val="18"/>
    </w:rPr>
  </w:style>
  <w:style w:type="paragraph" w:styleId="Textodeglobo">
    <w:name w:val="Balloon Text"/>
    <w:basedOn w:val="Normal"/>
    <w:link w:val="TextodegloboCar"/>
    <w:uiPriority w:val="99"/>
    <w:semiHidden/>
    <w:unhideWhenUsed/>
    <w:rsid w:val="00CA0A72"/>
    <w:pPr>
      <w:pBdr>
        <w:top w:val="nil"/>
        <w:left w:val="nil"/>
        <w:bottom w:val="nil"/>
        <w:right w:val="nil"/>
        <w:between w:val="nil"/>
      </w:pBdr>
    </w:pPr>
    <w:rPr>
      <w:rFonts w:ascii="Lucida Grande" w:hAnsi="Lucida Grande" w:cs="Calibri"/>
      <w:color w:val="000000"/>
      <w:sz w:val="18"/>
      <w:szCs w:val="18"/>
      <w:lang w:val="en-US" w:eastAsia="es-ES"/>
    </w:rPr>
  </w:style>
  <w:style w:type="character" w:customStyle="1" w:styleId="TextodegloboCar">
    <w:name w:val="Texto de globo Car"/>
    <w:basedOn w:val="Fuentedeprrafopredeter"/>
    <w:link w:val="Textodeglobo"/>
    <w:uiPriority w:val="99"/>
    <w:semiHidden/>
    <w:rsid w:val="00CA0A72"/>
    <w:rPr>
      <w:rFonts w:ascii="Lucida Grande" w:hAnsi="Lucida Grande"/>
      <w:sz w:val="18"/>
      <w:szCs w:val="18"/>
    </w:rPr>
  </w:style>
  <w:style w:type="paragraph" w:styleId="Asuntodelcomentario">
    <w:name w:val="annotation subject"/>
    <w:basedOn w:val="Textocomentario"/>
    <w:next w:val="Textocomentario"/>
    <w:link w:val="AsuntodelcomentarioCar"/>
    <w:uiPriority w:val="99"/>
    <w:semiHidden/>
    <w:unhideWhenUsed/>
    <w:rsid w:val="005C4C89"/>
    <w:rPr>
      <w:b/>
      <w:bCs/>
      <w:sz w:val="20"/>
      <w:szCs w:val="20"/>
    </w:rPr>
  </w:style>
  <w:style w:type="character" w:customStyle="1" w:styleId="AsuntodelcomentarioCar">
    <w:name w:val="Asunto del comentario Car"/>
    <w:basedOn w:val="TextocomentarioCar"/>
    <w:link w:val="Asuntodelcomentario"/>
    <w:uiPriority w:val="99"/>
    <w:semiHidden/>
    <w:rsid w:val="005C4C89"/>
    <w:rPr>
      <w:b/>
      <w:bCs/>
      <w:sz w:val="20"/>
      <w:szCs w:val="20"/>
    </w:rPr>
  </w:style>
  <w:style w:type="character" w:customStyle="1" w:styleId="hps">
    <w:name w:val="hps"/>
    <w:basedOn w:val="Fuentedeprrafopredeter"/>
    <w:rsid w:val="00107BF8"/>
    <w:rPr>
      <w:rFonts w:cs="Times New Roman"/>
    </w:rPr>
  </w:style>
  <w:style w:type="paragraph" w:styleId="Sinespaciado">
    <w:name w:val="No Spacing"/>
    <w:uiPriority w:val="1"/>
    <w:qFormat/>
    <w:rsid w:val="00EE3664"/>
    <w:pPr>
      <w:spacing w:after="0" w:line="240" w:lineRule="auto"/>
    </w:pPr>
  </w:style>
  <w:style w:type="table" w:styleId="Tablaconcuadrcula">
    <w:name w:val="Table Grid"/>
    <w:basedOn w:val="Tablanormal"/>
    <w:uiPriority w:val="59"/>
    <w:rsid w:val="006C63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ar">
    <w:name w:val="Título 7 Car"/>
    <w:basedOn w:val="Fuentedeprrafopredeter"/>
    <w:link w:val="Ttulo7"/>
    <w:uiPriority w:val="9"/>
    <w:semiHidden/>
    <w:rsid w:val="000E26FA"/>
    <w:rPr>
      <w:rFonts w:asciiTheme="majorHAnsi" w:eastAsiaTheme="majorEastAsia" w:hAnsiTheme="majorHAnsi" w:cstheme="majorBidi"/>
      <w:i/>
      <w:iCs/>
      <w:color w:val="243F60" w:themeColor="accent1" w:themeShade="7F"/>
      <w:sz w:val="24"/>
      <w:szCs w:val="24"/>
      <w:lang w:val="es-ES_tradnl" w:eastAsia="es-ES_tradnl"/>
    </w:rPr>
  </w:style>
  <w:style w:type="character" w:customStyle="1" w:styleId="Ttulo8Car">
    <w:name w:val="Título 8 Car"/>
    <w:basedOn w:val="Fuentedeprrafopredeter"/>
    <w:link w:val="Ttulo8"/>
    <w:uiPriority w:val="9"/>
    <w:semiHidden/>
    <w:rsid w:val="000E26FA"/>
    <w:rPr>
      <w:rFonts w:asciiTheme="majorHAnsi" w:eastAsiaTheme="majorEastAsia" w:hAnsiTheme="majorHAnsi" w:cstheme="majorBidi"/>
      <w:color w:val="272727" w:themeColor="text1" w:themeTint="D8"/>
      <w:sz w:val="21"/>
      <w:szCs w:val="21"/>
      <w:lang w:val="es-ES_tradnl" w:eastAsia="es-ES_tradnl"/>
    </w:rPr>
  </w:style>
  <w:style w:type="character" w:customStyle="1" w:styleId="Ttulo9Car">
    <w:name w:val="Título 9 Car"/>
    <w:basedOn w:val="Fuentedeprrafopredeter"/>
    <w:link w:val="Ttulo9"/>
    <w:uiPriority w:val="9"/>
    <w:semiHidden/>
    <w:rsid w:val="000E26FA"/>
    <w:rPr>
      <w:rFonts w:asciiTheme="majorHAnsi" w:eastAsiaTheme="majorEastAsia" w:hAnsiTheme="majorHAnsi" w:cstheme="majorBidi"/>
      <w:i/>
      <w:iCs/>
      <w:color w:val="272727" w:themeColor="text1" w:themeTint="D8"/>
      <w:sz w:val="21"/>
      <w:szCs w:val="21"/>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786194">
      <w:bodyDiv w:val="1"/>
      <w:marLeft w:val="0"/>
      <w:marRight w:val="0"/>
      <w:marTop w:val="0"/>
      <w:marBottom w:val="0"/>
      <w:divBdr>
        <w:top w:val="none" w:sz="0" w:space="0" w:color="auto"/>
        <w:left w:val="none" w:sz="0" w:space="0" w:color="auto"/>
        <w:bottom w:val="none" w:sz="0" w:space="0" w:color="auto"/>
        <w:right w:val="none" w:sz="0" w:space="0" w:color="auto"/>
      </w:divBdr>
    </w:div>
    <w:div w:id="206374520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emf"/><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1179</Words>
  <Characters>6488</Characters>
  <Application>Microsoft Macintosh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Greenstein&amp;Letelier</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Author</cp:lastModifiedBy>
  <cp:revision>2</cp:revision>
  <dcterms:created xsi:type="dcterms:W3CDTF">2018-04-06T21:08:00Z</dcterms:created>
  <dcterms:modified xsi:type="dcterms:W3CDTF">2018-04-06T21:08:00Z</dcterms:modified>
</cp:coreProperties>
</file>