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69" w:rsidRDefault="007E5669" w:rsidP="007E5669">
      <w:pPr>
        <w:pStyle w:val="Tytu"/>
      </w:pPr>
      <w:bookmarkStart w:id="0" w:name="_GoBack"/>
      <w:bookmarkEnd w:id="0"/>
      <w:r w:rsidRPr="007E5669">
        <w:t>Acute MDMA and nicotine co-administration: behavioral effects and oxidative stress processes in mice</w:t>
      </w:r>
    </w:p>
    <w:p w:rsidR="007E5669" w:rsidRDefault="007E5669" w:rsidP="007E5669">
      <w:pPr>
        <w:spacing w:before="480" w:after="480"/>
        <w:ind w:firstLine="425"/>
        <w:jc w:val="center"/>
      </w:pPr>
      <w:r>
        <w:t>Supplementary data</w:t>
      </w:r>
    </w:p>
    <w:p w:rsidR="007E5669" w:rsidRDefault="007E5669" w:rsidP="007E5669">
      <w:pPr>
        <w:spacing w:after="240" w:line="240" w:lineRule="auto"/>
        <w:ind w:firstLine="425"/>
        <w:jc w:val="center"/>
        <w:rPr>
          <w:lang w:val="pl-PL"/>
        </w:rPr>
      </w:pPr>
      <w:r w:rsidRPr="007E5669">
        <w:rPr>
          <w:lang w:val="pl-PL"/>
        </w:rPr>
        <w:t>Barbara Budzynska</w:t>
      </w:r>
      <w:r w:rsidRPr="007E5669">
        <w:rPr>
          <w:vertAlign w:val="superscript"/>
          <w:lang w:val="pl-PL"/>
        </w:rPr>
        <w:t>1</w:t>
      </w:r>
      <w:r w:rsidRPr="007E5669">
        <w:rPr>
          <w:lang w:val="pl-PL"/>
        </w:rPr>
        <w:t>*, Artur Wnorowski</w:t>
      </w:r>
      <w:r w:rsidRPr="007E5669">
        <w:rPr>
          <w:vertAlign w:val="superscript"/>
          <w:lang w:val="pl-PL"/>
        </w:rPr>
        <w:t>2</w:t>
      </w:r>
      <w:r w:rsidRPr="007E5669">
        <w:rPr>
          <w:lang w:val="pl-PL"/>
        </w:rPr>
        <w:t>, Katarzyna Kaszubska</w:t>
      </w:r>
      <w:r w:rsidRPr="007E5669">
        <w:rPr>
          <w:vertAlign w:val="superscript"/>
          <w:lang w:val="pl-PL"/>
        </w:rPr>
        <w:t>1</w:t>
      </w:r>
      <w:r w:rsidRPr="007E5669">
        <w:rPr>
          <w:lang w:val="pl-PL"/>
        </w:rPr>
        <w:t xml:space="preserve">, </w:t>
      </w:r>
      <w:proofErr w:type="spellStart"/>
      <w:r w:rsidRPr="007E5669">
        <w:rPr>
          <w:lang w:val="pl-PL"/>
        </w:rPr>
        <w:t>Grazyna</w:t>
      </w:r>
      <w:proofErr w:type="spellEnd"/>
      <w:r w:rsidRPr="007E5669">
        <w:rPr>
          <w:lang w:val="pl-PL"/>
        </w:rPr>
        <w:t xml:space="preserve"> Biala</w:t>
      </w:r>
      <w:r w:rsidRPr="007E5669">
        <w:rPr>
          <w:vertAlign w:val="superscript"/>
          <w:lang w:val="pl-PL"/>
        </w:rPr>
        <w:t>1</w:t>
      </w:r>
      <w:r w:rsidRPr="007E5669">
        <w:rPr>
          <w:lang w:val="pl-PL"/>
        </w:rPr>
        <w:t xml:space="preserve">, </w:t>
      </w:r>
    </w:p>
    <w:p w:rsidR="007E5669" w:rsidRPr="007E5669" w:rsidRDefault="007E5669" w:rsidP="007E5669">
      <w:pPr>
        <w:spacing w:after="240" w:line="240" w:lineRule="auto"/>
        <w:ind w:firstLine="425"/>
        <w:jc w:val="center"/>
        <w:rPr>
          <w:vertAlign w:val="superscript"/>
          <w:lang w:val="pl-PL"/>
        </w:rPr>
      </w:pPr>
      <w:r w:rsidRPr="007E5669">
        <w:rPr>
          <w:lang w:val="pl-PL"/>
        </w:rPr>
        <w:t>Marta Kruk-Słomka</w:t>
      </w:r>
      <w:r w:rsidRPr="007E5669">
        <w:rPr>
          <w:vertAlign w:val="superscript"/>
          <w:lang w:val="pl-PL"/>
        </w:rPr>
        <w:t>1</w:t>
      </w:r>
      <w:r w:rsidRPr="007E5669">
        <w:rPr>
          <w:lang w:val="pl-PL"/>
        </w:rPr>
        <w:t>, Jacek Kurzepa</w:t>
      </w:r>
      <w:r w:rsidRPr="007E5669">
        <w:rPr>
          <w:vertAlign w:val="superscript"/>
          <w:lang w:val="pl-PL"/>
        </w:rPr>
        <w:t>3</w:t>
      </w:r>
      <w:r w:rsidRPr="007E5669">
        <w:rPr>
          <w:lang w:val="pl-PL"/>
        </w:rPr>
        <w:t xml:space="preserve"> and Anna Boguszewska-Czubara</w:t>
      </w:r>
      <w:r w:rsidRPr="007E5669">
        <w:rPr>
          <w:vertAlign w:val="superscript"/>
          <w:lang w:val="pl-PL"/>
        </w:rPr>
        <w:t>3</w:t>
      </w:r>
    </w:p>
    <w:p w:rsidR="007E5669" w:rsidRPr="007E5669" w:rsidRDefault="007E5669" w:rsidP="007E5669">
      <w:pPr>
        <w:spacing w:line="240" w:lineRule="auto"/>
        <w:ind w:firstLine="0"/>
        <w:jc w:val="left"/>
      </w:pPr>
      <w:r w:rsidRPr="007E5669">
        <w:rPr>
          <w:vertAlign w:val="superscript"/>
        </w:rPr>
        <w:t>1</w:t>
      </w:r>
      <w:r w:rsidRPr="007E5669">
        <w:t xml:space="preserve"> Department of Pharmacology and Pharmacodynamics, Medical University of Lublin, Lublin, Poland</w:t>
      </w:r>
    </w:p>
    <w:p w:rsidR="007E5669" w:rsidRPr="007E5669" w:rsidRDefault="007E5669" w:rsidP="007E5669">
      <w:pPr>
        <w:spacing w:line="240" w:lineRule="auto"/>
        <w:ind w:firstLine="0"/>
        <w:jc w:val="left"/>
      </w:pPr>
      <w:r w:rsidRPr="007E5669">
        <w:rPr>
          <w:vertAlign w:val="superscript"/>
        </w:rPr>
        <w:t>2</w:t>
      </w:r>
      <w:r w:rsidRPr="007E5669">
        <w:t xml:space="preserve"> Department of Biopharmacy, Medical University of Lublin, Lublin, Poland</w:t>
      </w:r>
    </w:p>
    <w:p w:rsidR="007E5669" w:rsidRPr="007E5669" w:rsidRDefault="007E5669" w:rsidP="007E5669">
      <w:pPr>
        <w:spacing w:after="240" w:line="240" w:lineRule="auto"/>
        <w:ind w:firstLine="0"/>
        <w:jc w:val="left"/>
      </w:pPr>
      <w:r w:rsidRPr="007E5669">
        <w:rPr>
          <w:vertAlign w:val="superscript"/>
        </w:rPr>
        <w:t>3</w:t>
      </w:r>
      <w:r w:rsidRPr="007E5669">
        <w:t xml:space="preserve"> Department of Medical Chemistry, Medical University of Lublin, Lublin, Poland</w:t>
      </w:r>
    </w:p>
    <w:p w:rsidR="007E5669" w:rsidRPr="007E5669" w:rsidRDefault="007E5669" w:rsidP="007E5669">
      <w:pPr>
        <w:pStyle w:val="Nagwek1"/>
        <w:rPr>
          <w:lang w:val="en-US"/>
        </w:rPr>
      </w:pPr>
      <w:r w:rsidRPr="007E5669">
        <w:rPr>
          <w:lang w:val="en-US"/>
        </w:rPr>
        <w:t>Materials and methods</w:t>
      </w:r>
    </w:p>
    <w:p w:rsidR="00B65C5B" w:rsidRPr="007E5669" w:rsidRDefault="00B65C5B" w:rsidP="007E5669">
      <w:pPr>
        <w:pStyle w:val="Nagwek2"/>
      </w:pPr>
      <w:r w:rsidRPr="007E5669">
        <w:t>Chemicals</w:t>
      </w:r>
    </w:p>
    <w:p w:rsidR="00B65C5B" w:rsidRPr="009F4997" w:rsidRDefault="00B65C5B" w:rsidP="00B65C5B">
      <w:pPr>
        <w:spacing w:line="240" w:lineRule="auto"/>
      </w:pPr>
      <w:r w:rsidRPr="009F4997">
        <w:t xml:space="preserve">Antibodies raised against α7 </w:t>
      </w:r>
      <w:proofErr w:type="spellStart"/>
      <w:r w:rsidRPr="009F4997">
        <w:t>nAChR</w:t>
      </w:r>
      <w:proofErr w:type="spellEnd"/>
      <w:r w:rsidRPr="009F4997">
        <w:t xml:space="preserve"> (ab23832) and β-actin (ab6276) were obtained from </w:t>
      </w:r>
      <w:proofErr w:type="spellStart"/>
      <w:r w:rsidRPr="009F4997">
        <w:t>Abcam</w:t>
      </w:r>
      <w:proofErr w:type="spellEnd"/>
      <w:r w:rsidRPr="009F4997">
        <w:t xml:space="preserve"> (Cambridge, UK). Horseradish peroxidase (HRP)-conjugated secondary antibodies were bought from Santa Cruz Biotechnology (Dallas, TX, USA). </w:t>
      </w:r>
    </w:p>
    <w:p w:rsidR="00A343A3" w:rsidRPr="009F4997" w:rsidRDefault="00A343A3" w:rsidP="007E5669">
      <w:pPr>
        <w:pStyle w:val="Nagwek2"/>
      </w:pPr>
      <w:r w:rsidRPr="009F4997">
        <w:t>Immunoblotting</w:t>
      </w:r>
    </w:p>
    <w:p w:rsidR="00A343A3" w:rsidRPr="009F4997" w:rsidRDefault="00A343A3" w:rsidP="00A343A3">
      <w:pPr>
        <w:spacing w:line="240" w:lineRule="auto"/>
        <w:ind w:firstLine="425"/>
      </w:pPr>
      <w:r w:rsidRPr="009F4997">
        <w:t>The animals administrated with nicotine (0.05 mg/kg), MDMA (1 mg/kg), combination of nicotine and MDMA or with vehicle were decapitated, and the whole brain from each animal was carefully taken out and rinsed in isotonic saline so</w:t>
      </w:r>
      <w:r w:rsidR="00676579" w:rsidRPr="009F4997">
        <w:t>lution to remove residual blood</w:t>
      </w:r>
      <w:r w:rsidRPr="009F4997">
        <w:t>. The prefrontal cortexes and the hippocampi were rapidly dissected and frozen at -80°C.</w:t>
      </w:r>
    </w:p>
    <w:p w:rsidR="00A343A3" w:rsidRPr="009F4997" w:rsidRDefault="00A343A3" w:rsidP="00A343A3">
      <w:pPr>
        <w:spacing w:line="240" w:lineRule="auto"/>
      </w:pPr>
      <w:r w:rsidRPr="009F4997">
        <w:t xml:space="preserve">Prefrontal cortexes and hippocampal samples were lysed in Cell Lysis Buffer supplemented with 1 mM PMSF as well as protease and phosphatase inhibitor cocktail. The BCA assay was employed to measure the protein concentration of each lysate. Equivalent amount of proteins </w:t>
      </w:r>
      <w:r w:rsidR="00676579" w:rsidRPr="009F4997">
        <w:t>was</w:t>
      </w:r>
      <w:r w:rsidRPr="009F4997">
        <w:t xml:space="preserve"> then loaded on polyacrylamide gels, separated by polyacrylamide gel electrophoresis under reducing conditions, and transferred onto PVDF membranes. After blocking the membranes with 3% milk in </w:t>
      </w:r>
      <w:proofErr w:type="spellStart"/>
      <w:r w:rsidRPr="009F4997">
        <w:t>Tris</w:t>
      </w:r>
      <w:proofErr w:type="spellEnd"/>
      <w:r w:rsidRPr="009F4997">
        <w:t>-buffered saline/0.1% Tween-20, the blots were incubated with the anti-α7 </w:t>
      </w:r>
      <w:proofErr w:type="spellStart"/>
      <w:r w:rsidRPr="009F4997">
        <w:t>nAChR</w:t>
      </w:r>
      <w:proofErr w:type="spellEnd"/>
      <w:r w:rsidRPr="009F4997">
        <w:t xml:space="preserve"> or anti-β-actin primary antibody, followed by incubation with a HRP-conjugated secondary antibody. The immunoreactive protein bands were visualized by chemiluminescence, and quantified by the means of volume densitometry with Fiji image processing package (</w:t>
      </w:r>
      <w:proofErr w:type="spellStart"/>
      <w:r w:rsidRPr="009F4997">
        <w:t>Schindelin</w:t>
      </w:r>
      <w:proofErr w:type="spellEnd"/>
      <w:r w:rsidRPr="009F4997">
        <w:t xml:space="preserve"> et al., 2012) using β-actin as loading control.</w:t>
      </w:r>
    </w:p>
    <w:p w:rsidR="00676579" w:rsidRPr="009F4997" w:rsidRDefault="00676579" w:rsidP="007E5669">
      <w:pPr>
        <w:pStyle w:val="Nagwek1"/>
      </w:pPr>
      <w:r w:rsidRPr="009F4997">
        <w:t>Results</w:t>
      </w:r>
    </w:p>
    <w:p w:rsidR="00676579" w:rsidRPr="007E5669" w:rsidRDefault="00676579" w:rsidP="007E5669">
      <w:pPr>
        <w:pStyle w:val="Nagwek2"/>
      </w:pPr>
      <w:r w:rsidRPr="007E5669">
        <w:t>Expression of α7 </w:t>
      </w:r>
      <w:proofErr w:type="spellStart"/>
      <w:r w:rsidRPr="007E5669">
        <w:t>nAChR</w:t>
      </w:r>
      <w:proofErr w:type="spellEnd"/>
      <w:r w:rsidRPr="007E5669">
        <w:t xml:space="preserve"> in prefrontal cortex and hippocampus upon MDMA and nicotine treatment</w:t>
      </w:r>
    </w:p>
    <w:p w:rsidR="00676579" w:rsidRPr="009F4997" w:rsidRDefault="00676579" w:rsidP="00676579">
      <w:pPr>
        <w:spacing w:line="240" w:lineRule="auto"/>
      </w:pPr>
      <w:proofErr w:type="spellStart"/>
      <w:r w:rsidRPr="009F4997">
        <w:t>Homomeric</w:t>
      </w:r>
      <w:proofErr w:type="spellEnd"/>
      <w:r w:rsidRPr="009F4997">
        <w:t xml:space="preserve"> α7 </w:t>
      </w:r>
      <w:proofErr w:type="spellStart"/>
      <w:r w:rsidRPr="009F4997">
        <w:t>nAChR</w:t>
      </w:r>
      <w:proofErr w:type="spellEnd"/>
      <w:r w:rsidRPr="009F4997">
        <w:t xml:space="preserve"> is involved in the generation of MDMA-dependent neurotoxicity. In order to evaluate whether the MDMA can affect the expression of this receptor we monitored the expression levels of α7 </w:t>
      </w:r>
      <w:proofErr w:type="spellStart"/>
      <w:r w:rsidRPr="009F4997">
        <w:t>nAChR</w:t>
      </w:r>
      <w:proofErr w:type="spellEnd"/>
      <w:r w:rsidRPr="009F4997">
        <w:t xml:space="preserve"> in </w:t>
      </w:r>
      <w:bookmarkStart w:id="1" w:name="OLE_LINK1"/>
      <w:r w:rsidRPr="009F4997">
        <w:t xml:space="preserve">prefrontal cortex and hippocampus </w:t>
      </w:r>
      <w:bookmarkEnd w:id="1"/>
      <w:r w:rsidRPr="009F4997">
        <w:t xml:space="preserve">of mice treated with MDMA alone or in combination with nicotine. Expression of the receptor was measured by western blotting using previously validated anti-α7 </w:t>
      </w:r>
      <w:proofErr w:type="spellStart"/>
      <w:r w:rsidRPr="009F4997">
        <w:t>nAChR</w:t>
      </w:r>
      <w:proofErr w:type="spellEnd"/>
      <w:r w:rsidRPr="009F4997">
        <w:t xml:space="preserve"> antibody (</w:t>
      </w:r>
      <w:proofErr w:type="spellStart"/>
      <w:r w:rsidRPr="009F4997">
        <w:t>Mielke</w:t>
      </w:r>
      <w:proofErr w:type="spellEnd"/>
      <w:r w:rsidRPr="009F4997">
        <w:t xml:space="preserve"> and </w:t>
      </w:r>
      <w:proofErr w:type="spellStart"/>
      <w:r w:rsidRPr="009F4997">
        <w:t>Mealing</w:t>
      </w:r>
      <w:proofErr w:type="spellEnd"/>
      <w:r w:rsidRPr="009F4997">
        <w:t xml:space="preserve">, </w:t>
      </w:r>
      <w:r w:rsidRPr="009F4997">
        <w:lastRenderedPageBreak/>
        <w:t xml:space="preserve">2009). We detected no significant changes in the expression level of α7 </w:t>
      </w:r>
      <w:proofErr w:type="spellStart"/>
      <w:r w:rsidRPr="009F4997">
        <w:t>nAChR</w:t>
      </w:r>
      <w:proofErr w:type="spellEnd"/>
      <w:r w:rsidRPr="009F4997">
        <w:t xml:space="preserve"> in prefrontal cortex nor in hippocampus of tested animals (Fig. 1).</w:t>
      </w:r>
    </w:p>
    <w:p w:rsidR="00E907BC" w:rsidRPr="009F4997" w:rsidRDefault="00E907BC" w:rsidP="007E5669">
      <w:pPr>
        <w:pStyle w:val="Nagwek1"/>
      </w:pPr>
      <w:r w:rsidRPr="009F4997">
        <w:t>Reference</w:t>
      </w:r>
    </w:p>
    <w:p w:rsidR="00E907BC" w:rsidRPr="009F4997" w:rsidRDefault="00E907BC" w:rsidP="00E907BC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360"/>
      </w:pPr>
      <w:proofErr w:type="spellStart"/>
      <w:r w:rsidRPr="009F4997">
        <w:t>Schindelin</w:t>
      </w:r>
      <w:proofErr w:type="spellEnd"/>
      <w:r w:rsidRPr="009F4997">
        <w:t xml:space="preserve">, J., </w:t>
      </w:r>
      <w:proofErr w:type="spellStart"/>
      <w:r w:rsidRPr="009F4997">
        <w:t>Arganda</w:t>
      </w:r>
      <w:proofErr w:type="spellEnd"/>
      <w:r w:rsidRPr="009F4997">
        <w:t xml:space="preserve">-Carreras, I., </w:t>
      </w:r>
      <w:proofErr w:type="spellStart"/>
      <w:r w:rsidRPr="009F4997">
        <w:t>Frise</w:t>
      </w:r>
      <w:proofErr w:type="spellEnd"/>
      <w:r w:rsidRPr="009F4997">
        <w:t xml:space="preserve">, E., </w:t>
      </w:r>
      <w:proofErr w:type="spellStart"/>
      <w:r w:rsidRPr="009F4997">
        <w:t>Kaynig</w:t>
      </w:r>
      <w:proofErr w:type="spellEnd"/>
      <w:r w:rsidRPr="009F4997">
        <w:t xml:space="preserve">, V., </w:t>
      </w:r>
      <w:proofErr w:type="spellStart"/>
      <w:r w:rsidRPr="009F4997">
        <w:t>Longair</w:t>
      </w:r>
      <w:proofErr w:type="spellEnd"/>
      <w:r w:rsidRPr="009F4997">
        <w:t xml:space="preserve">, M., </w:t>
      </w:r>
      <w:proofErr w:type="spellStart"/>
      <w:r w:rsidRPr="009F4997">
        <w:t>Pietzsch</w:t>
      </w:r>
      <w:proofErr w:type="spellEnd"/>
      <w:r w:rsidRPr="009F4997">
        <w:t>, T., et al. (2012).</w:t>
      </w:r>
      <w:r w:rsidRPr="009F4997">
        <w:rPr>
          <w:rStyle w:val="highlight2"/>
        </w:rPr>
        <w:t xml:space="preserve"> Fiji</w:t>
      </w:r>
      <w:r w:rsidRPr="009F4997">
        <w:t xml:space="preserve">: an </w:t>
      </w:r>
      <w:r w:rsidRPr="009F4997">
        <w:rPr>
          <w:rStyle w:val="highlight2"/>
        </w:rPr>
        <w:t>open-source</w:t>
      </w:r>
      <w:r w:rsidRPr="009F4997">
        <w:t xml:space="preserve"> </w:t>
      </w:r>
      <w:r w:rsidRPr="009F4997">
        <w:rPr>
          <w:rStyle w:val="highlight2"/>
        </w:rPr>
        <w:t>platform</w:t>
      </w:r>
      <w:r w:rsidRPr="009F4997">
        <w:t xml:space="preserve"> for </w:t>
      </w:r>
      <w:r w:rsidRPr="009F4997">
        <w:rPr>
          <w:rStyle w:val="highlight2"/>
        </w:rPr>
        <w:t>biological-image</w:t>
      </w:r>
      <w:r w:rsidRPr="009F4997">
        <w:t xml:space="preserve"> </w:t>
      </w:r>
      <w:r w:rsidRPr="009F4997">
        <w:rPr>
          <w:rStyle w:val="highlight2"/>
        </w:rPr>
        <w:t>analysis</w:t>
      </w:r>
      <w:r w:rsidRPr="009F4997">
        <w:t>. Nat. Methods. 9, 676-682.</w:t>
      </w:r>
    </w:p>
    <w:p w:rsidR="00E907BC" w:rsidRPr="009F4997" w:rsidRDefault="00E907BC" w:rsidP="00E907BC">
      <w:pPr>
        <w:pStyle w:val="ListParagraph1"/>
        <w:numPr>
          <w:ilvl w:val="0"/>
          <w:numId w:val="2"/>
        </w:numPr>
        <w:shd w:val="clear" w:color="auto" w:fill="FFFFFF"/>
        <w:ind w:left="360"/>
        <w:jc w:val="both"/>
        <w:rPr>
          <w:rStyle w:val="cit-comment"/>
          <w:rFonts w:ascii="Times New Roman" w:hAnsi="Times New Roman"/>
        </w:rPr>
      </w:pPr>
      <w:proofErr w:type="spellStart"/>
      <w:r w:rsidRPr="009F4997">
        <w:rPr>
          <w:rStyle w:val="cit-comment"/>
          <w:rFonts w:ascii="Times New Roman" w:hAnsi="Times New Roman"/>
        </w:rPr>
        <w:t>Mielke</w:t>
      </w:r>
      <w:proofErr w:type="spellEnd"/>
      <w:r w:rsidRPr="009F4997">
        <w:rPr>
          <w:rStyle w:val="cit-comment"/>
          <w:rFonts w:ascii="Times New Roman" w:hAnsi="Times New Roman"/>
        </w:rPr>
        <w:t xml:space="preserve">, J.G., </w:t>
      </w:r>
      <w:proofErr w:type="spellStart"/>
      <w:r w:rsidRPr="009F4997">
        <w:rPr>
          <w:rStyle w:val="cit-comment"/>
          <w:rFonts w:ascii="Times New Roman" w:hAnsi="Times New Roman"/>
        </w:rPr>
        <w:t>Mealing</w:t>
      </w:r>
      <w:proofErr w:type="spellEnd"/>
      <w:r w:rsidRPr="009F4997">
        <w:rPr>
          <w:rStyle w:val="cit-comment"/>
          <w:rFonts w:ascii="Times New Roman" w:hAnsi="Times New Roman"/>
        </w:rPr>
        <w:t xml:space="preserve">, G.A. (2009). Cellular distribution of the nicotinic acetylcholine receptor alpha7 subunit in rat hippocampus. </w:t>
      </w:r>
      <w:proofErr w:type="spellStart"/>
      <w:r w:rsidRPr="009F4997">
        <w:rPr>
          <w:rStyle w:val="cit-comment"/>
          <w:rFonts w:ascii="Times New Roman" w:hAnsi="Times New Roman"/>
        </w:rPr>
        <w:t>Neurosci</w:t>
      </w:r>
      <w:proofErr w:type="spellEnd"/>
      <w:r w:rsidRPr="009F4997">
        <w:rPr>
          <w:rStyle w:val="cit-comment"/>
          <w:rFonts w:ascii="Times New Roman" w:hAnsi="Times New Roman"/>
        </w:rPr>
        <w:t>. Res.</w:t>
      </w:r>
      <w:r w:rsidRPr="009F4997">
        <w:t xml:space="preserve"> </w:t>
      </w:r>
      <w:r w:rsidRPr="009F4997">
        <w:rPr>
          <w:rStyle w:val="cit-comment"/>
          <w:rFonts w:ascii="Times New Roman" w:hAnsi="Times New Roman"/>
        </w:rPr>
        <w:t>65, 296-306.</w:t>
      </w:r>
    </w:p>
    <w:p w:rsidR="00C97B22" w:rsidRDefault="007E5669" w:rsidP="007E5669">
      <w:pPr>
        <w:spacing w:line="240" w:lineRule="auto"/>
      </w:pPr>
      <w:r w:rsidRPr="009F4997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57F032B" wp14:editId="04A97067">
            <wp:simplePos x="0" y="0"/>
            <wp:positionH relativeFrom="margin">
              <wp:posOffset>565785</wp:posOffset>
            </wp:positionH>
            <wp:positionV relativeFrom="margin">
              <wp:posOffset>1733550</wp:posOffset>
            </wp:positionV>
            <wp:extent cx="4619625" cy="4600575"/>
            <wp:effectExtent l="0" t="0" r="9525" b="9525"/>
            <wp:wrapSquare wrapText="bothSides"/>
            <wp:docPr id="1" name="Obraz 1" descr="C:\Users\barbarabudzynska\Desktop\Nowy folder\Figure 4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budzynska\Desktop\Nowy folder\Figure 4b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t="7945" r="9888" b="35626"/>
                    <a:stretch/>
                  </pic:blipFill>
                  <pic:spPr bwMode="auto">
                    <a:xfrm>
                      <a:off x="0" y="0"/>
                      <a:ext cx="46196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997">
        <w:rPr>
          <w:b/>
        </w:rPr>
        <w:t xml:space="preserve">Figure 1. </w:t>
      </w:r>
      <w:r w:rsidRPr="009F4997">
        <w:t xml:space="preserve">Expression of α7 </w:t>
      </w:r>
      <w:proofErr w:type="spellStart"/>
      <w:r w:rsidRPr="009F4997">
        <w:t>nAChR</w:t>
      </w:r>
      <w:proofErr w:type="spellEnd"/>
      <w:r w:rsidRPr="009F4997">
        <w:t xml:space="preserve"> in response to MDMA and nicotine.</w:t>
      </w:r>
      <w:r w:rsidRPr="009F4997">
        <w:rPr>
          <w:b/>
        </w:rPr>
        <w:t xml:space="preserve"> </w:t>
      </w:r>
      <w:r w:rsidRPr="009F4997">
        <w:t xml:space="preserve">Mice were treated with vehicle, nicotine (0.05 mg/kg), MDMA (1 mg/kg) or the combination of nicotine (0.05 mg/kg) and MDMA (1 mg/kg). The prefrontal cortex and the hippocampus were collected from each animal 30 min post treatment and lysed. Obtained lysates were </w:t>
      </w:r>
      <w:proofErr w:type="spellStart"/>
      <w:r w:rsidRPr="009F4997">
        <w:t>electrophoretically</w:t>
      </w:r>
      <w:proofErr w:type="spellEnd"/>
      <w:r w:rsidRPr="009F4997">
        <w:t xml:space="preserve"> separated and blotted using high specificity antibodies recognizing murine α7 </w:t>
      </w:r>
      <w:proofErr w:type="spellStart"/>
      <w:r w:rsidRPr="009F4997">
        <w:t>nAChR</w:t>
      </w:r>
      <w:proofErr w:type="spellEnd"/>
      <w:r w:rsidRPr="009F4997">
        <w:t xml:space="preserve">. β-actin was used as a loading control. (A) Representative blots. (B) Densitometric quantification of immunoreactive bands. Values on the graph represent means ± SD from 8 samples per treatment group. Two-way ANOVA followed by Tukey's post-hoc test revealed no statistically significant differences in mean expression levels of α7 </w:t>
      </w:r>
      <w:proofErr w:type="spellStart"/>
      <w:r w:rsidRPr="009F4997">
        <w:t>nAChR</w:t>
      </w:r>
      <w:proofErr w:type="spellEnd"/>
      <w:r w:rsidRPr="009F4997">
        <w:t xml:space="preserve"> across treatment groups in the prefrontal cortex nor in the hippocampus.</w:t>
      </w:r>
    </w:p>
    <w:sectPr w:rsidR="00C9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7B7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1144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6D145FDA"/>
    <w:multiLevelType w:val="hybridMultilevel"/>
    <w:tmpl w:val="E62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A3"/>
    <w:rsid w:val="005D21B1"/>
    <w:rsid w:val="00676579"/>
    <w:rsid w:val="007E5669"/>
    <w:rsid w:val="008D4123"/>
    <w:rsid w:val="009F4997"/>
    <w:rsid w:val="00A343A3"/>
    <w:rsid w:val="00B508DB"/>
    <w:rsid w:val="00B65C5B"/>
    <w:rsid w:val="00C97B22"/>
    <w:rsid w:val="00D12836"/>
    <w:rsid w:val="00E9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B6351-89DB-429C-B69C-7D89C905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3A3"/>
    <w:pPr>
      <w:spacing w:after="0" w:line="480" w:lineRule="auto"/>
      <w:ind w:firstLine="426"/>
      <w:jc w:val="both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669"/>
    <w:pPr>
      <w:keepNext/>
      <w:numPr>
        <w:numId w:val="1"/>
      </w:numPr>
      <w:spacing w:before="200" w:after="100" w:line="240" w:lineRule="auto"/>
      <w:ind w:left="431" w:hanging="431"/>
      <w:outlineLvl w:val="0"/>
    </w:pPr>
    <w:rPr>
      <w:b/>
      <w:bCs/>
      <w:kern w:val="32"/>
      <w:sz w:val="28"/>
      <w:szCs w:val="32"/>
      <w:lang w:val="pl-PL"/>
    </w:rPr>
  </w:style>
  <w:style w:type="paragraph" w:styleId="Nagwek2">
    <w:name w:val="heading 2"/>
    <w:basedOn w:val="Normalny"/>
    <w:link w:val="Nagwek2Znak"/>
    <w:qFormat/>
    <w:rsid w:val="007E5669"/>
    <w:pPr>
      <w:numPr>
        <w:ilvl w:val="1"/>
        <w:numId w:val="1"/>
      </w:numPr>
      <w:spacing w:before="160" w:after="80" w:line="240" w:lineRule="auto"/>
      <w:ind w:left="578" w:hanging="578"/>
      <w:outlineLvl w:val="1"/>
    </w:pPr>
    <w:rPr>
      <w:b/>
      <w:bCs/>
      <w:szCs w:val="36"/>
    </w:rPr>
  </w:style>
  <w:style w:type="paragraph" w:styleId="Nagwek3">
    <w:name w:val="heading 3"/>
    <w:basedOn w:val="Normalny"/>
    <w:next w:val="Normalny"/>
    <w:link w:val="Nagwek3Znak"/>
    <w:qFormat/>
    <w:rsid w:val="00A343A3"/>
    <w:pPr>
      <w:keepNext/>
      <w:numPr>
        <w:ilvl w:val="2"/>
        <w:numId w:val="1"/>
      </w:numPr>
      <w:spacing w:before="240" w:after="120"/>
      <w:outlineLvl w:val="2"/>
    </w:pPr>
    <w:rPr>
      <w:rFonts w:cs="Arial"/>
      <w:bCs/>
      <w:i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343A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343A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A343A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A343A3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A343A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pl-PL"/>
    </w:rPr>
  </w:style>
  <w:style w:type="paragraph" w:styleId="Nagwek9">
    <w:name w:val="heading 9"/>
    <w:basedOn w:val="Normalny"/>
    <w:next w:val="Normalny"/>
    <w:link w:val="Nagwek9Znak"/>
    <w:qFormat/>
    <w:rsid w:val="00A343A3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5669"/>
    <w:rPr>
      <w:rFonts w:ascii="Times New Roman" w:eastAsia="Batang" w:hAnsi="Times New Roman" w:cs="Times New Roman"/>
      <w:b/>
      <w:bCs/>
      <w:kern w:val="32"/>
      <w:sz w:val="28"/>
      <w:szCs w:val="32"/>
      <w:lang w:eastAsia="ko-KR"/>
    </w:rPr>
  </w:style>
  <w:style w:type="character" w:customStyle="1" w:styleId="Nagwek2Znak">
    <w:name w:val="Nagłówek 2 Znak"/>
    <w:basedOn w:val="Domylnaczcionkaakapitu"/>
    <w:link w:val="Nagwek2"/>
    <w:rsid w:val="007E5669"/>
    <w:rPr>
      <w:rFonts w:ascii="Times New Roman" w:eastAsia="Batang" w:hAnsi="Times New Roman" w:cs="Times New Roman"/>
      <w:b/>
      <w:bCs/>
      <w:sz w:val="24"/>
      <w:szCs w:val="36"/>
      <w:lang w:val="en-US" w:eastAsia="ko-KR"/>
    </w:rPr>
  </w:style>
  <w:style w:type="character" w:customStyle="1" w:styleId="Nagwek3Znak">
    <w:name w:val="Nagłówek 3 Znak"/>
    <w:basedOn w:val="Domylnaczcionkaakapitu"/>
    <w:link w:val="Nagwek3"/>
    <w:rsid w:val="00A343A3"/>
    <w:rPr>
      <w:rFonts w:ascii="Times New Roman" w:eastAsia="Batang" w:hAnsi="Times New Roman" w:cs="Arial"/>
      <w:bCs/>
      <w:i/>
      <w:sz w:val="24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A343A3"/>
    <w:rPr>
      <w:rFonts w:ascii="Times New Roman" w:eastAsia="Batang" w:hAnsi="Times New Roman" w:cs="Times New Roman"/>
      <w:b/>
      <w:bCs/>
      <w:sz w:val="28"/>
      <w:szCs w:val="28"/>
      <w:lang w:val="en-US" w:eastAsia="ko-KR"/>
    </w:rPr>
  </w:style>
  <w:style w:type="character" w:customStyle="1" w:styleId="Nagwek5Znak">
    <w:name w:val="Nagłówek 5 Znak"/>
    <w:basedOn w:val="Domylnaczcionkaakapitu"/>
    <w:link w:val="Nagwek5"/>
    <w:rsid w:val="00A343A3"/>
    <w:rPr>
      <w:rFonts w:ascii="Calibri" w:eastAsia="Batang" w:hAnsi="Calibri" w:cs="Times New Roman"/>
      <w:b/>
      <w:bCs/>
      <w:i/>
      <w:iCs/>
      <w:sz w:val="26"/>
      <w:szCs w:val="26"/>
      <w:lang w:eastAsia="ko-KR"/>
    </w:rPr>
  </w:style>
  <w:style w:type="character" w:customStyle="1" w:styleId="Nagwek6Znak">
    <w:name w:val="Nagłówek 6 Znak"/>
    <w:basedOn w:val="Domylnaczcionkaakapitu"/>
    <w:link w:val="Nagwek6"/>
    <w:rsid w:val="00A343A3"/>
    <w:rPr>
      <w:rFonts w:ascii="Calibri" w:eastAsia="Batang" w:hAnsi="Calibri" w:cs="Times New Roman"/>
      <w:b/>
      <w:bCs/>
      <w:lang w:eastAsia="ko-KR"/>
    </w:rPr>
  </w:style>
  <w:style w:type="character" w:customStyle="1" w:styleId="Nagwek7Znak">
    <w:name w:val="Nagłówek 7 Znak"/>
    <w:basedOn w:val="Domylnaczcionkaakapitu"/>
    <w:link w:val="Nagwek7"/>
    <w:rsid w:val="00A343A3"/>
    <w:rPr>
      <w:rFonts w:ascii="Calibri" w:eastAsia="Batang" w:hAnsi="Calibri" w:cs="Times New Roman"/>
      <w:sz w:val="24"/>
      <w:szCs w:val="24"/>
      <w:lang w:eastAsia="ko-KR"/>
    </w:rPr>
  </w:style>
  <w:style w:type="character" w:customStyle="1" w:styleId="Nagwek8Znak">
    <w:name w:val="Nagłówek 8 Znak"/>
    <w:basedOn w:val="Domylnaczcionkaakapitu"/>
    <w:link w:val="Nagwek8"/>
    <w:rsid w:val="00A343A3"/>
    <w:rPr>
      <w:rFonts w:ascii="Calibri" w:eastAsia="Batang" w:hAnsi="Calibri" w:cs="Times New Roman"/>
      <w:i/>
      <w:iCs/>
      <w:sz w:val="24"/>
      <w:szCs w:val="24"/>
      <w:lang w:eastAsia="ko-KR"/>
    </w:rPr>
  </w:style>
  <w:style w:type="character" w:customStyle="1" w:styleId="Nagwek9Znak">
    <w:name w:val="Nagłówek 9 Znak"/>
    <w:basedOn w:val="Domylnaczcionkaakapitu"/>
    <w:link w:val="Nagwek9"/>
    <w:rsid w:val="00A343A3"/>
    <w:rPr>
      <w:rFonts w:ascii="Calibri Light" w:eastAsia="Batang" w:hAnsi="Calibri Light" w:cs="Times New Roman"/>
      <w:lang w:eastAsia="ko-KR"/>
    </w:rPr>
  </w:style>
  <w:style w:type="character" w:customStyle="1" w:styleId="highlight2">
    <w:name w:val="highlight2"/>
    <w:uiPriority w:val="99"/>
    <w:rsid w:val="00E907BC"/>
  </w:style>
  <w:style w:type="paragraph" w:styleId="Akapitzlist">
    <w:name w:val="List Paragraph"/>
    <w:basedOn w:val="Normalny"/>
    <w:uiPriority w:val="34"/>
    <w:qFormat/>
    <w:rsid w:val="00E907BC"/>
    <w:pPr>
      <w:ind w:left="708"/>
    </w:pPr>
  </w:style>
  <w:style w:type="paragraph" w:customStyle="1" w:styleId="ListParagraph1">
    <w:name w:val="List Paragraph1"/>
    <w:basedOn w:val="Normalny"/>
    <w:uiPriority w:val="99"/>
    <w:rsid w:val="00E907BC"/>
    <w:pPr>
      <w:spacing w:line="240" w:lineRule="auto"/>
      <w:ind w:left="720" w:firstLine="0"/>
      <w:contextualSpacing/>
      <w:jc w:val="left"/>
    </w:pPr>
    <w:rPr>
      <w:rFonts w:ascii="Calibri" w:hAnsi="Calibri"/>
      <w:lang w:eastAsia="en-US"/>
    </w:rPr>
  </w:style>
  <w:style w:type="character" w:customStyle="1" w:styleId="cit-comment">
    <w:name w:val="cit-comment"/>
    <w:uiPriority w:val="99"/>
    <w:rsid w:val="00E907BC"/>
  </w:style>
  <w:style w:type="paragraph" w:styleId="Tytu">
    <w:name w:val="Title"/>
    <w:basedOn w:val="Normalny"/>
    <w:next w:val="Normalny"/>
    <w:link w:val="TytuZnak"/>
    <w:uiPriority w:val="10"/>
    <w:qFormat/>
    <w:rsid w:val="007E5669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5669"/>
    <w:rPr>
      <w:rFonts w:ascii="Times New Roman" w:eastAsiaTheme="majorEastAsia" w:hAnsi="Times New Roman" w:cstheme="majorBidi"/>
      <w:spacing w:val="-10"/>
      <w:kern w:val="28"/>
      <w:sz w:val="40"/>
      <w:szCs w:val="5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barbarabudzynska</dc:creator>
  <cp:keywords/>
  <dc:description/>
  <cp:lastModifiedBy>barbarabudzynska</cp:lastModifiedBy>
  <cp:revision>2</cp:revision>
  <dcterms:created xsi:type="dcterms:W3CDTF">2018-07-12T06:50:00Z</dcterms:created>
  <dcterms:modified xsi:type="dcterms:W3CDTF">2018-07-12T06:50:00Z</dcterms:modified>
</cp:coreProperties>
</file>