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B4" w:rsidRPr="00A85C5A" w:rsidRDefault="00997AB4" w:rsidP="00997AB4">
      <w:pPr>
        <w:overflowPunct w:val="0"/>
        <w:autoSpaceDE w:val="0"/>
        <w:autoSpaceDN w:val="0"/>
        <w:adjustRightInd w:val="0"/>
        <w:spacing w:line="240" w:lineRule="auto"/>
        <w:jc w:val="center"/>
        <w:textAlignment w:val="baseline"/>
        <w:rPr>
          <w:lang w:eastAsia="en-US"/>
        </w:rPr>
      </w:pPr>
      <w:bookmarkStart w:id="0" w:name="_GoBack"/>
      <w:bookmarkEnd w:id="0"/>
      <w:r w:rsidRPr="00A85C5A">
        <w:rPr>
          <w:b/>
          <w:bCs/>
          <w:shd w:val="clear" w:color="auto" w:fill="FFFFFF"/>
          <w:lang w:eastAsia="en-US"/>
        </w:rPr>
        <w:t>Supporting Information for</w:t>
      </w:r>
    </w:p>
    <w:p w:rsidR="00997AB4" w:rsidRPr="00A85C5A" w:rsidRDefault="00997AB4" w:rsidP="00997AB4">
      <w:pPr>
        <w:overflowPunct w:val="0"/>
        <w:autoSpaceDE w:val="0"/>
        <w:autoSpaceDN w:val="0"/>
        <w:adjustRightInd w:val="0"/>
        <w:spacing w:line="360" w:lineRule="auto"/>
        <w:contextualSpacing/>
        <w:jc w:val="both"/>
        <w:textAlignment w:val="baseline"/>
        <w:rPr>
          <w:b/>
          <w:bCs/>
          <w:lang w:eastAsia="en-US"/>
        </w:rPr>
      </w:pPr>
    </w:p>
    <w:p w:rsidR="00F30A46" w:rsidRPr="00A85C5A" w:rsidRDefault="00F30A46" w:rsidP="00F30A46">
      <w:pPr>
        <w:pStyle w:val="Authornames"/>
        <w:jc w:val="center"/>
        <w:rPr>
          <w:b/>
          <w:bCs/>
          <w:szCs w:val="28"/>
        </w:rPr>
      </w:pPr>
      <w:r w:rsidRPr="00A85C5A">
        <w:rPr>
          <w:b/>
          <w:bCs/>
          <w:szCs w:val="28"/>
        </w:rPr>
        <w:t>Density Functional Theory</w:t>
      </w:r>
      <w:r w:rsidRPr="00A85C5A">
        <w:rPr>
          <w:rFonts w:eastAsia="MS Mincho"/>
          <w:b/>
          <w:i/>
          <w:iCs/>
          <w:kern w:val="24"/>
          <w:lang w:eastAsia="en-US"/>
        </w:rPr>
        <w:t xml:space="preserve"> </w:t>
      </w:r>
      <w:r w:rsidRPr="00A85C5A">
        <w:rPr>
          <w:rFonts w:eastAsia="MS Mincho"/>
          <w:b/>
          <w:kern w:val="24"/>
          <w:lang w:eastAsia="en-US"/>
        </w:rPr>
        <w:t>Molecular Modelling</w:t>
      </w:r>
      <w:r w:rsidRPr="00A85C5A">
        <w:rPr>
          <w:b/>
          <w:bCs/>
          <w:szCs w:val="28"/>
        </w:rPr>
        <w:t xml:space="preserve">, DNA interactions, Antioxidant, Antimicrobial, Anticancer and Biothermodynamic Studies of Bioactive Water Soluble Mixed Ligand Complexes </w:t>
      </w:r>
    </w:p>
    <w:p w:rsidR="00031728" w:rsidRPr="00A85C5A" w:rsidRDefault="00031728" w:rsidP="00031728">
      <w:pPr>
        <w:spacing w:line="240" w:lineRule="auto"/>
        <w:rPr>
          <w:sz w:val="28"/>
          <w:szCs w:val="28"/>
        </w:rPr>
      </w:pPr>
    </w:p>
    <w:p w:rsidR="00031728" w:rsidRPr="00A85C5A" w:rsidRDefault="00031728" w:rsidP="00031728">
      <w:pPr>
        <w:spacing w:line="240" w:lineRule="auto"/>
        <w:rPr>
          <w:sz w:val="28"/>
          <w:szCs w:val="28"/>
        </w:rPr>
      </w:pPr>
    </w:p>
    <w:p w:rsidR="00031728" w:rsidRPr="00A85C5A" w:rsidRDefault="00031728" w:rsidP="00031728">
      <w:pPr>
        <w:spacing w:line="240" w:lineRule="auto"/>
        <w:rPr>
          <w:sz w:val="28"/>
          <w:szCs w:val="28"/>
        </w:rPr>
      </w:pPr>
      <w:r w:rsidRPr="00A85C5A">
        <w:rPr>
          <w:sz w:val="28"/>
          <w:szCs w:val="28"/>
        </w:rPr>
        <w:t>Karunganathan Sakthikumar</w:t>
      </w:r>
      <w:r w:rsidRPr="00A85C5A">
        <w:rPr>
          <w:sz w:val="28"/>
          <w:szCs w:val="28"/>
          <w:vertAlign w:val="superscript"/>
        </w:rPr>
        <w:t>a</w:t>
      </w:r>
      <w:r w:rsidRPr="00A85C5A">
        <w:rPr>
          <w:sz w:val="28"/>
          <w:szCs w:val="28"/>
        </w:rPr>
        <w:t>, Jeyaraj Dhaveethu Raja</w:t>
      </w:r>
      <w:r w:rsidRPr="00A85C5A">
        <w:rPr>
          <w:sz w:val="28"/>
          <w:szCs w:val="28"/>
          <w:vertAlign w:val="superscript"/>
        </w:rPr>
        <w:t>a</w:t>
      </w:r>
      <w:r w:rsidRPr="00A85C5A">
        <w:rPr>
          <w:sz w:val="28"/>
          <w:szCs w:val="28"/>
        </w:rPr>
        <w:t xml:space="preserve">*, </w:t>
      </w:r>
      <w:r w:rsidRPr="00A85C5A">
        <w:rPr>
          <w:sz w:val="28"/>
          <w:szCs w:val="28"/>
          <w:lang w:val="en-IN"/>
        </w:rPr>
        <w:t>Rajadurai Vijay Solomon</w:t>
      </w:r>
      <w:r w:rsidRPr="00A85C5A">
        <w:rPr>
          <w:sz w:val="28"/>
          <w:szCs w:val="28"/>
          <w:vertAlign w:val="superscript"/>
        </w:rPr>
        <w:t>b</w:t>
      </w:r>
      <w:r w:rsidRPr="00A85C5A">
        <w:rPr>
          <w:sz w:val="28"/>
          <w:szCs w:val="28"/>
          <w:lang w:val="en-IN"/>
        </w:rPr>
        <w:t xml:space="preserve"> </w:t>
      </w:r>
      <w:r w:rsidRPr="00A85C5A">
        <w:rPr>
          <w:sz w:val="28"/>
          <w:szCs w:val="28"/>
        </w:rPr>
        <w:t>&amp;</w:t>
      </w:r>
      <w:r w:rsidRPr="00A85C5A">
        <w:rPr>
          <w:sz w:val="28"/>
          <w:szCs w:val="28"/>
          <w:lang w:val="en-IN"/>
        </w:rPr>
        <w:t xml:space="preserve"> </w:t>
      </w:r>
      <w:r w:rsidRPr="00A85C5A">
        <w:rPr>
          <w:sz w:val="28"/>
          <w:szCs w:val="28"/>
        </w:rPr>
        <w:t>Murugesan Sankarganesh</w:t>
      </w:r>
      <w:r w:rsidRPr="00A85C5A">
        <w:rPr>
          <w:sz w:val="28"/>
          <w:szCs w:val="28"/>
          <w:vertAlign w:val="superscript"/>
        </w:rPr>
        <w:t>a</w:t>
      </w:r>
      <w:r w:rsidRPr="00A85C5A">
        <w:rPr>
          <w:sz w:val="28"/>
          <w:szCs w:val="28"/>
        </w:rPr>
        <w:t xml:space="preserve"> </w:t>
      </w:r>
    </w:p>
    <w:p w:rsidR="00031728" w:rsidRPr="00A85C5A" w:rsidRDefault="00031728" w:rsidP="00031728">
      <w:pPr>
        <w:pStyle w:val="AuthorsStyle"/>
        <w:spacing w:line="240" w:lineRule="auto"/>
        <w:jc w:val="left"/>
        <w:rPr>
          <w:caps w:val="0"/>
          <w:sz w:val="28"/>
          <w:szCs w:val="28"/>
          <w:lang w:val="en-US"/>
        </w:rPr>
      </w:pPr>
      <w:r w:rsidRPr="00A85C5A">
        <w:rPr>
          <w:caps w:val="0"/>
          <w:sz w:val="28"/>
          <w:szCs w:val="28"/>
          <w:lang w:val="en-US"/>
        </w:rPr>
        <w:t xml:space="preserve"> </w:t>
      </w:r>
    </w:p>
    <w:p w:rsidR="00031728" w:rsidRPr="00A85C5A" w:rsidRDefault="00031728" w:rsidP="00031728">
      <w:pPr>
        <w:pStyle w:val="AuthorsStyle"/>
        <w:spacing w:line="360" w:lineRule="auto"/>
        <w:rPr>
          <w:lang w:val="en-US"/>
        </w:rPr>
      </w:pPr>
    </w:p>
    <w:p w:rsidR="00031728" w:rsidRPr="00A85C5A" w:rsidRDefault="00031728" w:rsidP="00031728">
      <w:pPr>
        <w:spacing w:line="240" w:lineRule="auto"/>
        <w:rPr>
          <w:i/>
          <w:iCs/>
        </w:rPr>
      </w:pPr>
      <w:r w:rsidRPr="00A85C5A">
        <w:rPr>
          <w:i/>
          <w:iCs/>
          <w:vertAlign w:val="superscript"/>
        </w:rPr>
        <w:t>a</w:t>
      </w:r>
      <w:r w:rsidRPr="00A85C5A">
        <w:rPr>
          <w:i/>
          <w:iCs/>
          <w:lang w:eastAsia="en-IN"/>
        </w:rPr>
        <w:t>Chemistry Research Centre</w:t>
      </w:r>
      <w:r w:rsidRPr="00A85C5A">
        <w:rPr>
          <w:i/>
          <w:iCs/>
        </w:rPr>
        <w:t>, Mohamed Sathak Engineering College, Kilakarai</w:t>
      </w:r>
      <w:r w:rsidRPr="00A85C5A">
        <w:rPr>
          <w:i/>
          <w:iCs/>
          <w:lang w:bidi="ta-IN"/>
        </w:rPr>
        <w:t xml:space="preserve">, </w:t>
      </w:r>
      <w:r w:rsidRPr="00A85C5A">
        <w:rPr>
          <w:i/>
          <w:iCs/>
        </w:rPr>
        <w:t>Ramanathapuram 623 806, Tamilnadu, India</w:t>
      </w:r>
    </w:p>
    <w:p w:rsidR="00031728" w:rsidRPr="00A85C5A" w:rsidRDefault="00031728" w:rsidP="00031728">
      <w:pPr>
        <w:spacing w:line="240" w:lineRule="auto"/>
        <w:rPr>
          <w:i/>
          <w:iCs/>
        </w:rPr>
      </w:pPr>
    </w:p>
    <w:p w:rsidR="00031728" w:rsidRPr="00A85C5A" w:rsidRDefault="00031728" w:rsidP="00031728">
      <w:pPr>
        <w:spacing w:line="240" w:lineRule="auto"/>
        <w:rPr>
          <w:i/>
          <w:iCs/>
        </w:rPr>
      </w:pPr>
      <w:r w:rsidRPr="00A85C5A">
        <w:rPr>
          <w:i/>
          <w:iCs/>
          <w:vertAlign w:val="superscript"/>
        </w:rPr>
        <w:t>b</w:t>
      </w:r>
      <w:r w:rsidRPr="00A85C5A">
        <w:rPr>
          <w:i/>
          <w:iCs/>
        </w:rPr>
        <w:t xml:space="preserve">Department of Chemistry, Madras Christian College (Autonomous), </w:t>
      </w:r>
    </w:p>
    <w:p w:rsidR="00031728" w:rsidRPr="00A85C5A" w:rsidRDefault="00031728" w:rsidP="00031728">
      <w:pPr>
        <w:spacing w:line="240" w:lineRule="auto"/>
        <w:rPr>
          <w:i/>
          <w:iCs/>
        </w:rPr>
      </w:pPr>
      <w:r w:rsidRPr="00A85C5A">
        <w:rPr>
          <w:i/>
          <w:iCs/>
        </w:rPr>
        <w:t>Tambaram East, Chennai 600 059, Tamil Nadu, India</w:t>
      </w:r>
    </w:p>
    <w:p w:rsidR="00031728" w:rsidRPr="00A85C5A" w:rsidRDefault="00031728" w:rsidP="00031728">
      <w:pPr>
        <w:pStyle w:val="MiscellaneousStyle"/>
        <w:spacing w:line="240" w:lineRule="auto"/>
        <w:rPr>
          <w:b/>
          <w:bCs/>
          <w:szCs w:val="24"/>
        </w:rPr>
      </w:pPr>
    </w:p>
    <w:p w:rsidR="00031728" w:rsidRPr="00A85C5A" w:rsidRDefault="00031728" w:rsidP="00031728">
      <w:pPr>
        <w:pStyle w:val="MiscellaneousStyle"/>
        <w:spacing w:line="240" w:lineRule="auto"/>
        <w:rPr>
          <w:b/>
          <w:bCs/>
          <w:szCs w:val="24"/>
        </w:rPr>
      </w:pPr>
    </w:p>
    <w:p w:rsidR="00031728" w:rsidRPr="00A85C5A" w:rsidRDefault="00031728" w:rsidP="00031728">
      <w:pPr>
        <w:pStyle w:val="MiscellaneousStyle"/>
        <w:spacing w:line="240" w:lineRule="auto"/>
        <w:jc w:val="center"/>
        <w:rPr>
          <w:lang w:val="en-US"/>
        </w:rPr>
      </w:pPr>
      <w:r w:rsidRPr="00A85C5A">
        <w:rPr>
          <w:b/>
          <w:bCs/>
          <w:szCs w:val="24"/>
        </w:rPr>
        <w:t>*</w:t>
      </w:r>
      <w:r w:rsidRPr="00A85C5A">
        <w:rPr>
          <w:i/>
          <w:iCs/>
          <w:szCs w:val="24"/>
        </w:rPr>
        <w:t xml:space="preserve">Correspondence should be addressed to Jeyaraj Dhaveethu Raja; </w:t>
      </w:r>
      <w:hyperlink r:id="rId8" w:history="1">
        <w:r w:rsidRPr="00A85C5A">
          <w:rPr>
            <w:rStyle w:val="Hyperlink"/>
            <w:i/>
            <w:iCs/>
            <w:color w:val="auto"/>
            <w:szCs w:val="24"/>
          </w:rPr>
          <w:t>jdrajapriya@gmail.com</w:t>
        </w:r>
      </w:hyperlink>
    </w:p>
    <w:p w:rsidR="00031728" w:rsidRPr="00A85C5A" w:rsidRDefault="00031728" w:rsidP="00031728">
      <w:pPr>
        <w:pStyle w:val="MiscellaneousStyle"/>
        <w:spacing w:line="240" w:lineRule="auto"/>
        <w:rPr>
          <w:lang w:val="en-US"/>
        </w:rPr>
      </w:pPr>
    </w:p>
    <w:p w:rsidR="00031728" w:rsidRPr="00A85C5A" w:rsidRDefault="00031728" w:rsidP="00031728">
      <w:pPr>
        <w:spacing w:line="360" w:lineRule="auto"/>
        <w:rPr>
          <w:b/>
          <w:bCs/>
        </w:rPr>
      </w:pPr>
    </w:p>
    <w:p w:rsidR="00031728" w:rsidRPr="00A85C5A" w:rsidRDefault="00031728" w:rsidP="00031728">
      <w:pPr>
        <w:spacing w:line="360" w:lineRule="auto"/>
        <w:rPr>
          <w:b/>
          <w:bCs/>
        </w:rPr>
      </w:pPr>
    </w:p>
    <w:p w:rsidR="00031728" w:rsidRPr="00A85C5A" w:rsidRDefault="00031728" w:rsidP="00031728">
      <w:pPr>
        <w:spacing w:line="360" w:lineRule="auto"/>
      </w:pPr>
      <w:r w:rsidRPr="00A85C5A">
        <w:rPr>
          <w:b/>
          <w:bCs/>
        </w:rPr>
        <w:t>*</w:t>
      </w:r>
      <w:r w:rsidRPr="00A85C5A">
        <w:t xml:space="preserve">Corresponding author: </w:t>
      </w:r>
    </w:p>
    <w:p w:rsidR="00031728" w:rsidRPr="00A85C5A" w:rsidRDefault="00031728" w:rsidP="00031728">
      <w:pPr>
        <w:spacing w:line="360" w:lineRule="auto"/>
      </w:pPr>
    </w:p>
    <w:p w:rsidR="00031728" w:rsidRPr="00A85C5A" w:rsidRDefault="00031728" w:rsidP="00031728">
      <w:pPr>
        <w:pStyle w:val="Affiliation"/>
        <w:spacing w:before="0" w:line="480" w:lineRule="auto"/>
        <w:rPr>
          <w:b/>
          <w:bCs/>
          <w:lang w:val="en-US"/>
        </w:rPr>
      </w:pPr>
      <w:r w:rsidRPr="00A85C5A">
        <w:rPr>
          <w:b/>
          <w:bCs/>
          <w:lang w:val="en-US"/>
        </w:rPr>
        <w:t>Dr. J. Dhaveethu Raja,</w:t>
      </w:r>
    </w:p>
    <w:p w:rsidR="00031728" w:rsidRPr="00A85C5A" w:rsidRDefault="00031728" w:rsidP="00031728">
      <w:pPr>
        <w:pStyle w:val="Affiliation"/>
        <w:spacing w:before="0" w:line="480" w:lineRule="auto"/>
        <w:rPr>
          <w:lang w:val="en-US"/>
        </w:rPr>
      </w:pPr>
      <w:r w:rsidRPr="00A85C5A">
        <w:rPr>
          <w:lang w:val="en-US"/>
        </w:rPr>
        <w:t>Associate Professor &amp; Head, Chemistry Research centre,</w:t>
      </w:r>
    </w:p>
    <w:p w:rsidR="00031728" w:rsidRPr="00A85C5A" w:rsidRDefault="00031728" w:rsidP="00031728">
      <w:pPr>
        <w:pStyle w:val="Affiliation"/>
        <w:spacing w:before="0" w:line="480" w:lineRule="auto"/>
        <w:rPr>
          <w:lang w:val="en-US"/>
        </w:rPr>
      </w:pPr>
      <w:r w:rsidRPr="00A85C5A">
        <w:rPr>
          <w:lang w:val="en-US"/>
        </w:rPr>
        <w:t xml:space="preserve">Mohamed Sathak Engineering College, </w:t>
      </w:r>
    </w:p>
    <w:p w:rsidR="00031728" w:rsidRPr="00A85C5A" w:rsidRDefault="00031728" w:rsidP="00031728">
      <w:pPr>
        <w:pStyle w:val="Affiliation"/>
        <w:spacing w:before="0" w:line="480" w:lineRule="auto"/>
        <w:rPr>
          <w:lang w:val="en-US"/>
        </w:rPr>
      </w:pPr>
      <w:r w:rsidRPr="00A85C5A">
        <w:rPr>
          <w:lang w:val="en-US"/>
        </w:rPr>
        <w:t xml:space="preserve">Kilakarai-623 806, Ramanathapuram-District, </w:t>
      </w:r>
    </w:p>
    <w:p w:rsidR="00031728" w:rsidRPr="00A85C5A" w:rsidRDefault="00031728" w:rsidP="00031728">
      <w:pPr>
        <w:pStyle w:val="Affiliation"/>
        <w:spacing w:before="0" w:line="480" w:lineRule="auto"/>
        <w:rPr>
          <w:lang w:val="en-US"/>
        </w:rPr>
      </w:pPr>
      <w:r w:rsidRPr="00A85C5A">
        <w:rPr>
          <w:lang w:val="en-US"/>
        </w:rPr>
        <w:t xml:space="preserve">Tamil Nadu, India.   Email: </w:t>
      </w:r>
      <w:hyperlink r:id="rId9" w:history="1">
        <w:r w:rsidRPr="00A85C5A">
          <w:rPr>
            <w:rStyle w:val="Hyperlink"/>
            <w:color w:val="auto"/>
            <w:lang w:val="en-US"/>
          </w:rPr>
          <w:t>jdrajapriya@gmail.com</w:t>
        </w:r>
      </w:hyperlink>
    </w:p>
    <w:p w:rsidR="00031728" w:rsidRPr="00A85C5A" w:rsidRDefault="00031728" w:rsidP="00031728">
      <w:pPr>
        <w:pStyle w:val="Affiliation"/>
        <w:spacing w:before="0" w:line="480" w:lineRule="auto"/>
        <w:rPr>
          <w:lang w:val="en-US"/>
        </w:rPr>
      </w:pPr>
      <w:r w:rsidRPr="00A85C5A">
        <w:rPr>
          <w:lang w:val="en-US"/>
        </w:rPr>
        <w:t xml:space="preserve"> Phone: +91 94876 82202; +91 90925 61924</w:t>
      </w:r>
    </w:p>
    <w:p w:rsidR="00031728" w:rsidRPr="00A85C5A" w:rsidRDefault="00031728" w:rsidP="00031728">
      <w:pPr>
        <w:overflowPunct w:val="0"/>
        <w:autoSpaceDE w:val="0"/>
        <w:autoSpaceDN w:val="0"/>
        <w:adjustRightInd w:val="0"/>
        <w:jc w:val="both"/>
        <w:textAlignment w:val="baseline"/>
        <w:rPr>
          <w:bCs/>
          <w:lang w:eastAsia="en-US"/>
        </w:rPr>
      </w:pPr>
    </w:p>
    <w:p w:rsidR="000D6F59" w:rsidRPr="00A85C5A" w:rsidRDefault="000D6F59" w:rsidP="00031728">
      <w:pPr>
        <w:overflowPunct w:val="0"/>
        <w:autoSpaceDE w:val="0"/>
        <w:autoSpaceDN w:val="0"/>
        <w:adjustRightInd w:val="0"/>
        <w:jc w:val="both"/>
        <w:textAlignment w:val="baseline"/>
        <w:rPr>
          <w:bCs/>
          <w:lang w:eastAsia="en-US"/>
        </w:rPr>
      </w:pPr>
    </w:p>
    <w:p w:rsidR="00F30A46" w:rsidRPr="00A85C5A" w:rsidRDefault="00F30A46" w:rsidP="000D6F59">
      <w:pPr>
        <w:pStyle w:val="Displayedequation"/>
        <w:spacing w:before="0" w:after="0"/>
        <w:jc w:val="both"/>
        <w:rPr>
          <w:b/>
          <w:bCs/>
          <w:i/>
          <w:lang w:val="en-US"/>
        </w:rPr>
      </w:pPr>
    </w:p>
    <w:p w:rsidR="000D6F59" w:rsidRPr="00A85C5A" w:rsidRDefault="000D6F59" w:rsidP="000D6F59">
      <w:pPr>
        <w:overflowPunct w:val="0"/>
        <w:autoSpaceDE w:val="0"/>
        <w:autoSpaceDN w:val="0"/>
        <w:adjustRightInd w:val="0"/>
        <w:contextualSpacing/>
        <w:jc w:val="both"/>
        <w:textAlignment w:val="baseline"/>
        <w:rPr>
          <w:b/>
          <w:bCs/>
          <w:i/>
          <w:iCs/>
          <w:lang w:val="en-IN" w:eastAsia="en-US" w:bidi="ta-IN"/>
        </w:rPr>
      </w:pPr>
    </w:p>
    <w:p w:rsidR="000D6F59" w:rsidRPr="00A85C5A" w:rsidRDefault="000D6F59" w:rsidP="000D6F59">
      <w:pPr>
        <w:overflowPunct w:val="0"/>
        <w:autoSpaceDE w:val="0"/>
        <w:autoSpaceDN w:val="0"/>
        <w:adjustRightInd w:val="0"/>
        <w:contextualSpacing/>
        <w:jc w:val="both"/>
        <w:textAlignment w:val="baseline"/>
        <w:rPr>
          <w:b/>
          <w:bCs/>
          <w:i/>
          <w:iCs/>
          <w:lang w:val="en-IN" w:eastAsia="en-US" w:bidi="ta-IN"/>
        </w:rPr>
      </w:pPr>
      <w:r w:rsidRPr="00A85C5A">
        <w:rPr>
          <w:b/>
          <w:bCs/>
          <w:i/>
          <w:iCs/>
          <w:lang w:val="en-IN" w:eastAsia="en-US" w:bidi="ta-IN"/>
        </w:rPr>
        <w:t>Synthesis of mixed ligand complexes (1-5)</w:t>
      </w:r>
    </w:p>
    <w:p w:rsidR="000D6F59" w:rsidRPr="00A85C5A" w:rsidRDefault="000D6F59" w:rsidP="000D6F59">
      <w:pPr>
        <w:overflowPunct w:val="0"/>
        <w:autoSpaceDE w:val="0"/>
        <w:autoSpaceDN w:val="0"/>
        <w:adjustRightInd w:val="0"/>
        <w:contextualSpacing/>
        <w:jc w:val="both"/>
        <w:textAlignment w:val="baseline"/>
        <w:rPr>
          <w:rFonts w:eastAsia="AdvTimes"/>
          <w:lang w:eastAsia="en-US"/>
        </w:rPr>
      </w:pPr>
      <w:r w:rsidRPr="00A85C5A">
        <w:rPr>
          <w:lang w:eastAsia="en-US"/>
        </w:rPr>
        <w:t xml:space="preserve">A solution of 2-(2-Morpholinoethylimino)methyl) phenol Schiff base </w:t>
      </w:r>
      <w:r w:rsidR="003A115C" w:rsidRPr="00A85C5A">
        <w:rPr>
          <w:lang w:eastAsia="en-US"/>
        </w:rPr>
        <w:t xml:space="preserve">ligand </w:t>
      </w:r>
      <w:r w:rsidRPr="00A85C5A">
        <w:rPr>
          <w:lang w:eastAsia="en-US"/>
        </w:rPr>
        <w:t>(</w:t>
      </w:r>
      <w:r w:rsidRPr="00A85C5A">
        <w:rPr>
          <w:b/>
          <w:bCs/>
          <w:lang w:eastAsia="en-US"/>
        </w:rPr>
        <w:t>LH</w:t>
      </w:r>
      <w:r w:rsidRPr="00A85C5A">
        <w:rPr>
          <w:lang w:eastAsia="en-US"/>
        </w:rPr>
        <w:t>) (</w:t>
      </w:r>
      <w:r w:rsidRPr="00A85C5A">
        <w:rPr>
          <w:rFonts w:eastAsia="Time-Roman"/>
          <w:lang w:eastAsia="en-US"/>
        </w:rPr>
        <w:t>Primary ligand</w:t>
      </w:r>
      <w:r w:rsidRPr="00A85C5A">
        <w:rPr>
          <w:lang w:eastAsia="en-US"/>
        </w:rPr>
        <w:t>) (0.001 M) in methanol (40 mL) was added slowly to a solution of Metal(II) acetate (0.001 M) [</w:t>
      </w:r>
      <w:r w:rsidRPr="00A85C5A">
        <w:rPr>
          <w:rFonts w:eastAsia="AdvTimes"/>
          <w:lang w:eastAsia="en-IN"/>
        </w:rPr>
        <w:t>Cu</w:t>
      </w:r>
      <w:r w:rsidRPr="00A85C5A">
        <w:rPr>
          <w:vertAlign w:val="superscript"/>
          <w:lang w:eastAsia="en-US"/>
        </w:rPr>
        <w:t>II</w:t>
      </w:r>
      <w:r w:rsidRPr="00A85C5A">
        <w:rPr>
          <w:rFonts w:eastAsia="AdvTimes"/>
          <w:lang w:eastAsia="en-IN"/>
        </w:rPr>
        <w:t>(OAc)</w:t>
      </w:r>
      <w:r w:rsidRPr="00A85C5A">
        <w:rPr>
          <w:rFonts w:eastAsia="AdvTimes"/>
          <w:vertAlign w:val="subscript"/>
          <w:lang w:eastAsia="en-IN"/>
        </w:rPr>
        <w:t>2</w:t>
      </w:r>
      <w:r w:rsidRPr="00A85C5A">
        <w:rPr>
          <w:rFonts w:eastAsia="AdvTimes"/>
          <w:lang w:eastAsia="en-IN"/>
        </w:rPr>
        <w:t>.H</w:t>
      </w:r>
      <w:r w:rsidRPr="00A85C5A">
        <w:rPr>
          <w:rFonts w:eastAsia="AdvTimes"/>
          <w:vertAlign w:val="subscript"/>
          <w:lang w:eastAsia="en-IN"/>
        </w:rPr>
        <w:t>2</w:t>
      </w:r>
      <w:r w:rsidRPr="00A85C5A">
        <w:rPr>
          <w:rFonts w:eastAsia="AdvTimes"/>
          <w:lang w:eastAsia="en-IN"/>
        </w:rPr>
        <w:t>O, Co</w:t>
      </w:r>
      <w:r w:rsidRPr="00A85C5A">
        <w:rPr>
          <w:vertAlign w:val="superscript"/>
          <w:lang w:eastAsia="en-US"/>
        </w:rPr>
        <w:t>II</w:t>
      </w:r>
      <w:r w:rsidRPr="00A85C5A">
        <w:rPr>
          <w:rFonts w:eastAsia="AdvTimes"/>
          <w:lang w:eastAsia="en-IN"/>
        </w:rPr>
        <w:t>(OAc)</w:t>
      </w:r>
      <w:r w:rsidRPr="00A85C5A">
        <w:rPr>
          <w:rFonts w:eastAsia="AdvTimes"/>
          <w:vertAlign w:val="subscript"/>
          <w:lang w:eastAsia="en-IN"/>
        </w:rPr>
        <w:t>2</w:t>
      </w:r>
      <w:r w:rsidRPr="00A85C5A">
        <w:rPr>
          <w:rFonts w:eastAsia="AdvTimes"/>
          <w:lang w:eastAsia="en-IN"/>
        </w:rPr>
        <w:t>.4H</w:t>
      </w:r>
      <w:r w:rsidRPr="00A85C5A">
        <w:rPr>
          <w:rFonts w:eastAsia="AdvTimes"/>
          <w:vertAlign w:val="subscript"/>
          <w:lang w:eastAsia="en-IN"/>
        </w:rPr>
        <w:t>2</w:t>
      </w:r>
      <w:r w:rsidRPr="00A85C5A">
        <w:rPr>
          <w:rFonts w:eastAsia="AdvTimes"/>
          <w:lang w:eastAsia="en-IN"/>
        </w:rPr>
        <w:t xml:space="preserve">O, </w:t>
      </w:r>
      <w:r w:rsidRPr="00A85C5A">
        <w:rPr>
          <w:lang w:eastAsia="en-US"/>
        </w:rPr>
        <w:t>Mn</w:t>
      </w:r>
      <w:r w:rsidRPr="00A85C5A">
        <w:rPr>
          <w:vertAlign w:val="superscript"/>
          <w:lang w:eastAsia="en-US"/>
        </w:rPr>
        <w:t>II</w:t>
      </w:r>
      <w:r w:rsidRPr="00A85C5A">
        <w:rPr>
          <w:rFonts w:eastAsia="AdvTimes"/>
          <w:lang w:eastAsia="en-IN"/>
        </w:rPr>
        <w:t>(OAc)</w:t>
      </w:r>
      <w:r w:rsidRPr="00A85C5A">
        <w:rPr>
          <w:rFonts w:eastAsia="AdvTimes"/>
          <w:vertAlign w:val="subscript"/>
          <w:lang w:eastAsia="en-IN"/>
        </w:rPr>
        <w:t>2</w:t>
      </w:r>
      <w:r w:rsidRPr="00A85C5A">
        <w:rPr>
          <w:rFonts w:eastAsia="AdvTimes"/>
          <w:lang w:eastAsia="en-IN"/>
        </w:rPr>
        <w:t>.4H</w:t>
      </w:r>
      <w:r w:rsidRPr="00A85C5A">
        <w:rPr>
          <w:rFonts w:eastAsia="AdvTimes"/>
          <w:vertAlign w:val="subscript"/>
          <w:lang w:eastAsia="en-IN"/>
        </w:rPr>
        <w:t>2</w:t>
      </w:r>
      <w:r w:rsidRPr="00A85C5A">
        <w:rPr>
          <w:rFonts w:eastAsia="AdvTimes"/>
          <w:lang w:eastAsia="en-IN"/>
        </w:rPr>
        <w:t>O, Ni</w:t>
      </w:r>
      <w:r w:rsidRPr="00A85C5A">
        <w:rPr>
          <w:vertAlign w:val="superscript"/>
          <w:lang w:eastAsia="en-US"/>
        </w:rPr>
        <w:t>II</w:t>
      </w:r>
      <w:r w:rsidRPr="00A85C5A">
        <w:rPr>
          <w:rFonts w:eastAsia="AdvTimes"/>
          <w:lang w:eastAsia="en-IN"/>
        </w:rPr>
        <w:t>(OAc)</w:t>
      </w:r>
      <w:r w:rsidRPr="00A85C5A">
        <w:rPr>
          <w:rFonts w:eastAsia="AdvTimes"/>
          <w:vertAlign w:val="subscript"/>
          <w:lang w:eastAsia="en-IN"/>
        </w:rPr>
        <w:t>2</w:t>
      </w:r>
      <w:r w:rsidRPr="00A85C5A">
        <w:rPr>
          <w:rFonts w:eastAsia="AdvTimes"/>
          <w:lang w:eastAsia="en-IN"/>
        </w:rPr>
        <w:t>.4H</w:t>
      </w:r>
      <w:r w:rsidRPr="00A85C5A">
        <w:rPr>
          <w:rFonts w:eastAsia="AdvTimes"/>
          <w:vertAlign w:val="subscript"/>
          <w:lang w:eastAsia="en-IN"/>
        </w:rPr>
        <w:t>2</w:t>
      </w:r>
      <w:r w:rsidRPr="00A85C5A">
        <w:rPr>
          <w:rFonts w:eastAsia="AdvTimes"/>
          <w:lang w:eastAsia="en-IN"/>
        </w:rPr>
        <w:t>O and  Zn</w:t>
      </w:r>
      <w:r w:rsidRPr="00A85C5A">
        <w:rPr>
          <w:vertAlign w:val="superscript"/>
          <w:lang w:eastAsia="en-US"/>
        </w:rPr>
        <w:t>II</w:t>
      </w:r>
      <w:r w:rsidRPr="00A85C5A">
        <w:rPr>
          <w:lang w:eastAsia="en-US"/>
        </w:rPr>
        <w:t>(</w:t>
      </w:r>
      <w:r w:rsidRPr="00A85C5A">
        <w:rPr>
          <w:rFonts w:eastAsia="AdvTimes"/>
          <w:lang w:eastAsia="en-IN"/>
        </w:rPr>
        <w:t>OAc)</w:t>
      </w:r>
      <w:r w:rsidRPr="00A85C5A">
        <w:rPr>
          <w:rFonts w:eastAsia="AdvTimes"/>
          <w:vertAlign w:val="subscript"/>
          <w:lang w:eastAsia="en-IN"/>
        </w:rPr>
        <w:t>2</w:t>
      </w:r>
      <w:r w:rsidRPr="00A85C5A">
        <w:rPr>
          <w:lang w:eastAsia="en-IN"/>
        </w:rPr>
        <w:t>.</w:t>
      </w:r>
      <w:r w:rsidRPr="00A85C5A">
        <w:rPr>
          <w:rFonts w:eastAsia="AdvTimes"/>
          <w:lang w:eastAsia="en-IN"/>
        </w:rPr>
        <w:t>2H</w:t>
      </w:r>
      <w:r w:rsidRPr="00A85C5A">
        <w:rPr>
          <w:rFonts w:eastAsia="AdvTimes"/>
          <w:vertAlign w:val="subscript"/>
          <w:lang w:eastAsia="en-IN"/>
        </w:rPr>
        <w:t>2</w:t>
      </w:r>
      <w:r w:rsidRPr="00A85C5A">
        <w:rPr>
          <w:rFonts w:eastAsia="AdvTimes"/>
          <w:lang w:eastAsia="en-IN"/>
        </w:rPr>
        <w:t xml:space="preserve">O] </w:t>
      </w:r>
      <w:r w:rsidRPr="00A85C5A">
        <w:rPr>
          <w:lang w:eastAsia="en-US"/>
        </w:rPr>
        <w:t>in 30 m</w:t>
      </w:r>
      <w:r w:rsidR="003E7332" w:rsidRPr="00A85C5A">
        <w:rPr>
          <w:lang w:eastAsia="en-US"/>
        </w:rPr>
        <w:t>L</w:t>
      </w:r>
      <w:r w:rsidRPr="00A85C5A">
        <w:rPr>
          <w:lang w:eastAsia="en-US"/>
        </w:rPr>
        <w:t xml:space="preserve"> of </w:t>
      </w:r>
      <w:r w:rsidRPr="00A85C5A">
        <w:rPr>
          <w:rFonts w:eastAsia="AdvTimes"/>
          <w:lang w:eastAsia="en-IN"/>
        </w:rPr>
        <w:t>absolute</w:t>
      </w:r>
      <w:r w:rsidRPr="00A85C5A">
        <w:rPr>
          <w:lang w:eastAsia="en-US"/>
        </w:rPr>
        <w:t xml:space="preserve"> methanol and</w:t>
      </w:r>
      <w:r w:rsidRPr="00A85C5A">
        <w:rPr>
          <w:rFonts w:eastAsia="AdvTimes"/>
          <w:lang w:eastAsia="en-IN"/>
        </w:rPr>
        <w:t xml:space="preserve"> the resulting  mixture was stirred </w:t>
      </w:r>
      <w:r w:rsidRPr="00A85C5A">
        <w:rPr>
          <w:lang w:eastAsia="en-US"/>
        </w:rPr>
        <w:t xml:space="preserve">for 30 minutes and the hot mixture of solution was slowly added into methanolic solution of 1,10-phenanthroline </w:t>
      </w:r>
      <w:r w:rsidRPr="00A85C5A">
        <w:rPr>
          <w:rFonts w:eastAsia="Time-Roman"/>
          <w:lang w:eastAsia="en-US"/>
        </w:rPr>
        <w:t>as secondary ligand</w:t>
      </w:r>
      <w:r w:rsidRPr="00A85C5A">
        <w:rPr>
          <w:lang w:eastAsia="en-US"/>
        </w:rPr>
        <w:t xml:space="preserve"> (0.001 M). The obtaining mixture was refluxed for 3 hours</w:t>
      </w:r>
      <w:r w:rsidRPr="00A85C5A">
        <w:rPr>
          <w:rFonts w:eastAsia="AdvTimes"/>
          <w:lang w:eastAsia="en-IN"/>
        </w:rPr>
        <w:t xml:space="preserve">. </w:t>
      </w:r>
      <w:r w:rsidRPr="00A85C5A">
        <w:rPr>
          <w:lang w:eastAsia="en-US"/>
        </w:rPr>
        <w:t xml:space="preserve">The solid product so formed was separated by filtration and purified by </w:t>
      </w:r>
      <w:r w:rsidRPr="00A85C5A">
        <w:rPr>
          <w:rFonts w:eastAsia="AdvTimes"/>
          <w:lang w:eastAsia="en-IN"/>
        </w:rPr>
        <w:t xml:space="preserve">recrystallization using methanol and petroleum ether. </w:t>
      </w:r>
      <w:r w:rsidRPr="00A85C5A">
        <w:rPr>
          <w:lang w:eastAsia="en-US"/>
        </w:rPr>
        <w:t xml:space="preserve">Trace of water and solvents were recovered by keeping in vacuum desiccators </w:t>
      </w:r>
      <w:r w:rsidRPr="00A85C5A">
        <w:rPr>
          <w:rFonts w:eastAsia="AdvTimes"/>
          <w:lang w:eastAsia="en-IN"/>
        </w:rPr>
        <w:t>over anhydrous CaCl</w:t>
      </w:r>
      <w:r w:rsidRPr="00A85C5A">
        <w:rPr>
          <w:rFonts w:eastAsia="AdvTimes"/>
          <w:vertAlign w:val="subscript"/>
          <w:lang w:eastAsia="en-IN"/>
        </w:rPr>
        <w:t>2</w:t>
      </w:r>
      <w:r w:rsidRPr="00A85C5A">
        <w:rPr>
          <w:lang w:eastAsia="en-IN"/>
        </w:rPr>
        <w:t xml:space="preserve">. The </w:t>
      </w:r>
      <w:r w:rsidRPr="00A85C5A">
        <w:rPr>
          <w:rFonts w:eastAsia="AdvTimes"/>
          <w:lang w:eastAsia="en-US"/>
        </w:rPr>
        <w:t xml:space="preserve">preparation </w:t>
      </w:r>
      <w:r w:rsidRPr="00A85C5A">
        <w:rPr>
          <w:lang w:eastAsia="en-IN"/>
        </w:rPr>
        <w:t>of mixed ligand complexes (</w:t>
      </w:r>
      <w:r w:rsidRPr="00A85C5A">
        <w:rPr>
          <w:b/>
          <w:bCs/>
          <w:lang w:eastAsia="en-IN"/>
        </w:rPr>
        <w:t>1-5</w:t>
      </w:r>
      <w:r w:rsidRPr="00A85C5A">
        <w:rPr>
          <w:lang w:eastAsia="en-IN"/>
        </w:rPr>
        <w:t xml:space="preserve">) was followed by the similar </w:t>
      </w:r>
      <w:r w:rsidRPr="00A85C5A">
        <w:rPr>
          <w:rFonts w:eastAsia="AdvTimes"/>
          <w:lang w:eastAsia="en-US"/>
        </w:rPr>
        <w:t>method</w:t>
      </w:r>
      <w:r w:rsidR="00EC3D99" w:rsidRPr="00A85C5A">
        <w:rPr>
          <w:rFonts w:eastAsia="AdvTimes"/>
          <w:lang w:eastAsia="en-US"/>
        </w:rPr>
        <w:t>s</w:t>
      </w:r>
      <w:r w:rsidRPr="00A85C5A">
        <w:rPr>
          <w:rFonts w:eastAsia="AdvTimes"/>
          <w:lang w:eastAsia="en-US"/>
        </w:rPr>
        <w:t xml:space="preserve"> and the yield </w:t>
      </w:r>
      <w:r w:rsidR="00EC3D99" w:rsidRPr="00A85C5A">
        <w:rPr>
          <w:rFonts w:eastAsia="AdvTimes"/>
          <w:lang w:eastAsia="en-US"/>
        </w:rPr>
        <w:t xml:space="preserve">was found to be 71.06 – 83.23 %. The observed </w:t>
      </w:r>
      <w:r w:rsidR="00EC3D99" w:rsidRPr="00A85C5A">
        <w:rPr>
          <w:bCs/>
          <w:lang w:eastAsia="en-US"/>
        </w:rPr>
        <w:t xml:space="preserve">molar conductivity values </w:t>
      </w:r>
      <w:r w:rsidR="00EC3D99" w:rsidRPr="00A85C5A">
        <w:rPr>
          <w:rFonts w:eastAsia="AdvTimes"/>
          <w:lang w:eastAsia="en-US"/>
        </w:rPr>
        <w:t>of complexes (</w:t>
      </w:r>
      <w:r w:rsidR="00EC3D99" w:rsidRPr="00A85C5A">
        <w:rPr>
          <w:rFonts w:eastAsia="AdvTimes"/>
          <w:b/>
          <w:bCs/>
          <w:lang w:eastAsia="en-US"/>
        </w:rPr>
        <w:t>1-5</w:t>
      </w:r>
      <w:r w:rsidR="00EC3D99" w:rsidRPr="00A85C5A">
        <w:rPr>
          <w:rFonts w:eastAsia="AdvTimes"/>
          <w:lang w:eastAsia="en-US"/>
        </w:rPr>
        <w:t xml:space="preserve">) were in </w:t>
      </w:r>
      <w:r w:rsidR="00EC3D99" w:rsidRPr="00A85C5A">
        <w:rPr>
          <w:bCs/>
          <w:lang w:eastAsia="en-US"/>
        </w:rPr>
        <w:t xml:space="preserve">the range from 32.71 </w:t>
      </w:r>
      <w:r w:rsidR="00EC3D99" w:rsidRPr="00A85C5A">
        <w:rPr>
          <w:lang w:eastAsia="en-US"/>
        </w:rPr>
        <w:t xml:space="preserve">to </w:t>
      </w:r>
      <w:r w:rsidR="00EC3D99" w:rsidRPr="00A85C5A">
        <w:rPr>
          <w:bCs/>
          <w:lang w:eastAsia="en-US"/>
        </w:rPr>
        <w:t>38.74 ohm</w:t>
      </w:r>
      <w:r w:rsidR="00EC3D99" w:rsidRPr="00A85C5A">
        <w:rPr>
          <w:bCs/>
          <w:vertAlign w:val="superscript"/>
          <w:lang w:eastAsia="en-US"/>
        </w:rPr>
        <w:t>-1</w:t>
      </w:r>
      <w:r w:rsidR="00EC3D99" w:rsidRPr="00A85C5A">
        <w:rPr>
          <w:bCs/>
          <w:lang w:eastAsia="en-US"/>
        </w:rPr>
        <w:t xml:space="preserve"> cm</w:t>
      </w:r>
      <w:r w:rsidR="00EC3D99" w:rsidRPr="00A85C5A">
        <w:rPr>
          <w:bCs/>
          <w:vertAlign w:val="superscript"/>
          <w:lang w:eastAsia="en-US"/>
        </w:rPr>
        <w:t>2</w:t>
      </w:r>
      <w:r w:rsidR="00EC3D99" w:rsidRPr="00A85C5A">
        <w:rPr>
          <w:bCs/>
          <w:lang w:eastAsia="en-US"/>
        </w:rPr>
        <w:t xml:space="preserve"> mol</w:t>
      </w:r>
      <w:r w:rsidR="00EC3D99" w:rsidRPr="00A85C5A">
        <w:rPr>
          <w:bCs/>
          <w:vertAlign w:val="superscript"/>
          <w:lang w:eastAsia="en-US"/>
        </w:rPr>
        <w:t>-1</w:t>
      </w:r>
      <w:r w:rsidR="00EC3D99" w:rsidRPr="00A85C5A">
        <w:rPr>
          <w:rFonts w:eastAsia="AdvTimes"/>
          <w:lang w:eastAsia="en-US"/>
        </w:rPr>
        <w:t xml:space="preserve"> which </w:t>
      </w:r>
      <w:r w:rsidR="00F30A46" w:rsidRPr="00A85C5A">
        <w:rPr>
          <w:lang w:eastAsia="en-US"/>
        </w:rPr>
        <w:t>shows</w:t>
      </w:r>
      <w:r w:rsidR="00EC3D99" w:rsidRPr="00A85C5A">
        <w:rPr>
          <w:lang w:eastAsia="en-US"/>
        </w:rPr>
        <w:t xml:space="preserve"> that they are non electrolytic nature due to lack of dissociation </w:t>
      </w:r>
      <w:r w:rsidRPr="00A85C5A">
        <w:rPr>
          <w:rFonts w:eastAsia="AdvTimes"/>
          <w:lang w:eastAsia="en-IN"/>
        </w:rPr>
        <w:t xml:space="preserve">and various </w:t>
      </w:r>
      <w:r w:rsidRPr="00A85C5A">
        <w:rPr>
          <w:bCs/>
          <w:lang w:val="en-AU" w:eastAsia="en-US"/>
        </w:rPr>
        <w:t>analytical and physical data of schiff base ligand (</w:t>
      </w:r>
      <w:r w:rsidRPr="00A85C5A">
        <w:rPr>
          <w:b/>
          <w:lang w:val="en-AU" w:eastAsia="en-US"/>
        </w:rPr>
        <w:t>LH</w:t>
      </w:r>
      <w:r w:rsidRPr="00A85C5A">
        <w:rPr>
          <w:bCs/>
          <w:lang w:val="en-AU" w:eastAsia="en-US"/>
        </w:rPr>
        <w:t>) and its complexes (</w:t>
      </w:r>
      <w:r w:rsidRPr="00A85C5A">
        <w:rPr>
          <w:b/>
          <w:lang w:val="en-AU" w:eastAsia="en-US"/>
        </w:rPr>
        <w:t>1-5</w:t>
      </w:r>
      <w:r w:rsidRPr="00A85C5A">
        <w:rPr>
          <w:bCs/>
          <w:lang w:val="en-AU" w:eastAsia="en-US"/>
        </w:rPr>
        <w:t xml:space="preserve">) were listed below in the following order. </w:t>
      </w:r>
    </w:p>
    <w:p w:rsidR="000D6F59" w:rsidRPr="00A85C5A" w:rsidRDefault="000D6F59" w:rsidP="000D6F59">
      <w:pPr>
        <w:overflowPunct w:val="0"/>
        <w:autoSpaceDE w:val="0"/>
        <w:autoSpaceDN w:val="0"/>
        <w:adjustRightInd w:val="0"/>
        <w:spacing w:line="360" w:lineRule="auto"/>
        <w:contextualSpacing/>
        <w:jc w:val="both"/>
        <w:textAlignment w:val="baseline"/>
        <w:rPr>
          <w:b/>
          <w:bCs/>
          <w:lang w:val="en-IN" w:eastAsia="en-US" w:bidi="ta-IN"/>
        </w:rPr>
      </w:pPr>
    </w:p>
    <w:p w:rsidR="000D6F59" w:rsidRPr="00A85C5A" w:rsidRDefault="000D6F59" w:rsidP="000D6F59">
      <w:pPr>
        <w:overflowPunct w:val="0"/>
        <w:autoSpaceDE w:val="0"/>
        <w:autoSpaceDN w:val="0"/>
        <w:adjustRightInd w:val="0"/>
        <w:jc w:val="both"/>
        <w:textAlignment w:val="baseline"/>
        <w:rPr>
          <w:rFonts w:eastAsia="AdvTimes"/>
          <w:b/>
          <w:bCs/>
          <w:lang w:eastAsia="en-IN"/>
        </w:rPr>
      </w:pPr>
      <w:r w:rsidRPr="00A85C5A">
        <w:rPr>
          <w:b/>
          <w:bCs/>
          <w:i/>
          <w:iCs/>
          <w:lang w:eastAsia="en-US"/>
        </w:rPr>
        <w:t>2-(2-Morpholinoethylimino)methyl)phenol</w:t>
      </w:r>
      <w:r w:rsidRPr="00A85C5A">
        <w:rPr>
          <w:rFonts w:eastAsia="AdvTimes"/>
          <w:b/>
          <w:bCs/>
          <w:i/>
          <w:iCs/>
          <w:lang w:eastAsia="en-IN"/>
        </w:rPr>
        <w:t xml:space="preserve"> Ligand (LH)</w:t>
      </w:r>
      <w:r w:rsidRPr="00A85C5A">
        <w:rPr>
          <w:rFonts w:eastAsia="AdvTimes"/>
          <w:b/>
          <w:bCs/>
          <w:lang w:eastAsia="en-IN"/>
        </w:rPr>
        <w:t xml:space="preserve"> </w:t>
      </w:r>
    </w:p>
    <w:p w:rsidR="000D6F59" w:rsidRPr="00A85C5A" w:rsidRDefault="000D6F59" w:rsidP="000D6F59">
      <w:pPr>
        <w:overflowPunct w:val="0"/>
        <w:autoSpaceDE w:val="0"/>
        <w:autoSpaceDN w:val="0"/>
        <w:adjustRightInd w:val="0"/>
        <w:jc w:val="both"/>
        <w:textAlignment w:val="baseline"/>
        <w:rPr>
          <w:rFonts w:eastAsia="AdvTimes"/>
          <w:bCs/>
          <w:lang w:eastAsia="en-IN"/>
        </w:rPr>
      </w:pPr>
      <w:r w:rsidRPr="00A85C5A">
        <w:rPr>
          <w:rFonts w:eastAsia="AdvTimes"/>
          <w:bCs/>
          <w:lang w:eastAsia="en-IN"/>
        </w:rPr>
        <w:t xml:space="preserve">Yield 87.48 %, yellow liquid. FT-IR spectrum, KBr, </w:t>
      </w:r>
      <w:r w:rsidRPr="00A85C5A">
        <w:rPr>
          <w:lang w:eastAsia="en-US"/>
        </w:rPr>
        <w:t>ν</w:t>
      </w:r>
      <w:r w:rsidRPr="00A85C5A">
        <w:rPr>
          <w:rFonts w:eastAsia="AdvTimes"/>
          <w:bCs/>
          <w:lang w:eastAsia="en-IN"/>
        </w:rPr>
        <w:t>, cm</w:t>
      </w:r>
      <w:r w:rsidRPr="00A85C5A">
        <w:rPr>
          <w:rFonts w:eastAsia="AdvTimes"/>
          <w:bCs/>
          <w:vertAlign w:val="superscript"/>
          <w:lang w:eastAsia="en-IN"/>
        </w:rPr>
        <w:t>-1</w:t>
      </w:r>
      <w:r w:rsidRPr="00A85C5A">
        <w:rPr>
          <w:rFonts w:eastAsia="AdvTimes"/>
          <w:bCs/>
          <w:lang w:eastAsia="en-IN"/>
        </w:rPr>
        <w:t xml:space="preserve">: </w:t>
      </w:r>
      <w:r w:rsidRPr="00A85C5A">
        <w:rPr>
          <w:rFonts w:eastAsia="AdvTimes"/>
          <w:lang w:eastAsia="en-IN"/>
        </w:rPr>
        <w:t xml:space="preserve">1635 </w:t>
      </w:r>
      <w:r w:rsidRPr="00A85C5A">
        <w:rPr>
          <w:lang w:eastAsia="en-US"/>
        </w:rPr>
        <w:t>(H-C=N-)</w:t>
      </w:r>
      <w:r w:rsidRPr="00A85C5A">
        <w:rPr>
          <w:rFonts w:eastAsia="AdvTimes"/>
          <w:lang w:eastAsia="en-IN"/>
        </w:rPr>
        <w:t>,</w:t>
      </w:r>
      <w:r w:rsidRPr="00A85C5A">
        <w:rPr>
          <w:lang w:val="en-IN" w:eastAsia="en-US" w:bidi="ta-IN"/>
        </w:rPr>
        <w:t xml:space="preserve"> </w:t>
      </w:r>
      <w:r w:rsidRPr="00A85C5A">
        <w:rPr>
          <w:rFonts w:eastAsia="AdvTimes"/>
          <w:lang w:eastAsia="en-IN"/>
        </w:rPr>
        <w:t>1278 (C-O</w:t>
      </w:r>
      <w:r w:rsidRPr="00A85C5A">
        <w:rPr>
          <w:rFonts w:eastAsia="AdvTimes"/>
          <w:vertAlign w:val="subscript"/>
          <w:lang w:eastAsia="en-IN"/>
        </w:rPr>
        <w:t>Ar</w:t>
      </w:r>
      <w:r w:rsidRPr="00A85C5A">
        <w:rPr>
          <w:rFonts w:eastAsia="AdvTimes"/>
          <w:lang w:eastAsia="en-IN"/>
        </w:rPr>
        <w:t>), 1197, 1114 (C-O), 1342 (C-N-C), 3056 (C-H</w:t>
      </w:r>
      <w:r w:rsidRPr="00A85C5A">
        <w:rPr>
          <w:rFonts w:eastAsia="AdvTimes"/>
          <w:vertAlign w:val="subscript"/>
          <w:lang w:eastAsia="en-IN"/>
        </w:rPr>
        <w:t>Ar</w:t>
      </w:r>
      <w:r w:rsidRPr="00A85C5A">
        <w:rPr>
          <w:rFonts w:eastAsia="AdvTimes"/>
          <w:lang w:eastAsia="en-IN"/>
        </w:rPr>
        <w:t xml:space="preserve">), 2949 (C-H), 2854 (H-C=N-), </w:t>
      </w:r>
      <w:r w:rsidRPr="00A85C5A">
        <w:rPr>
          <w:rFonts w:eastAsia="AdvTimes"/>
          <w:lang w:val="pt-BR" w:eastAsia="en-US"/>
        </w:rPr>
        <w:t>3676</w:t>
      </w:r>
      <w:r w:rsidRPr="00A85C5A">
        <w:rPr>
          <w:rFonts w:eastAsia="AdvTimes"/>
          <w:lang w:eastAsia="en-IN"/>
        </w:rPr>
        <w:t xml:space="preserve"> (-OH</w:t>
      </w:r>
      <w:r w:rsidRPr="00A85C5A">
        <w:rPr>
          <w:rFonts w:eastAsia="AdvTimes"/>
          <w:vertAlign w:val="subscript"/>
          <w:lang w:eastAsia="en-IN"/>
        </w:rPr>
        <w:t>Ar</w:t>
      </w:r>
      <w:r w:rsidRPr="00A85C5A">
        <w:rPr>
          <w:rFonts w:eastAsia="AdvTimes"/>
          <w:lang w:eastAsia="en-IN"/>
        </w:rPr>
        <w:t>)</w:t>
      </w:r>
      <w:r w:rsidRPr="00A85C5A">
        <w:rPr>
          <w:rFonts w:eastAsia="AdvTimes"/>
          <w:bCs/>
          <w:lang w:eastAsia="en-IN"/>
        </w:rPr>
        <w:t xml:space="preserve">. </w:t>
      </w:r>
      <w:r w:rsidRPr="00A85C5A">
        <w:rPr>
          <w:rFonts w:eastAsia="AdvTimes"/>
          <w:bCs/>
          <w:vertAlign w:val="superscript"/>
          <w:lang w:eastAsia="en-IN"/>
        </w:rPr>
        <w:t>1</w:t>
      </w:r>
      <w:r w:rsidRPr="00A85C5A">
        <w:rPr>
          <w:rFonts w:eastAsia="AdvTimes"/>
          <w:bCs/>
          <w:lang w:eastAsia="en-IN"/>
        </w:rPr>
        <w:t>H NMR spectrum (300 MHz, CDCl</w:t>
      </w:r>
      <w:r w:rsidRPr="00A85C5A">
        <w:rPr>
          <w:rFonts w:eastAsia="AdvTimes"/>
          <w:bCs/>
          <w:vertAlign w:val="subscript"/>
          <w:lang w:eastAsia="en-IN"/>
        </w:rPr>
        <w:t>3</w:t>
      </w:r>
      <w:r w:rsidRPr="00A85C5A">
        <w:rPr>
          <w:rFonts w:eastAsia="AdvTimes"/>
          <w:bCs/>
          <w:lang w:eastAsia="en-IN"/>
        </w:rPr>
        <w:t xml:space="preserve">, δ / ppm): 13.52 (1H, s, </w:t>
      </w:r>
      <w:r w:rsidRPr="00A85C5A">
        <w:rPr>
          <w:rFonts w:eastAsia="AdvTimes"/>
          <w:lang w:eastAsia="en-IN"/>
        </w:rPr>
        <w:t>(-OH</w:t>
      </w:r>
      <w:r w:rsidRPr="00A85C5A">
        <w:rPr>
          <w:rFonts w:eastAsia="AdvTimes"/>
          <w:vertAlign w:val="subscript"/>
          <w:lang w:eastAsia="en-IN"/>
        </w:rPr>
        <w:t>Ar</w:t>
      </w:r>
      <w:r w:rsidRPr="00A85C5A">
        <w:rPr>
          <w:rFonts w:eastAsia="AdvTimes"/>
          <w:bCs/>
          <w:lang w:eastAsia="en-IN"/>
        </w:rPr>
        <w:t xml:space="preserve">), 6.84 - 7.32 (4H, m, </w:t>
      </w:r>
      <w:r w:rsidRPr="00A85C5A">
        <w:rPr>
          <w:rFonts w:eastAsia="AdvTimes"/>
          <w:lang w:eastAsia="en-IN"/>
        </w:rPr>
        <w:t>C-H</w:t>
      </w:r>
      <w:r w:rsidRPr="00A85C5A">
        <w:rPr>
          <w:rFonts w:eastAsia="AdvTimes"/>
          <w:vertAlign w:val="subscript"/>
          <w:lang w:eastAsia="en-IN"/>
        </w:rPr>
        <w:t>Ar</w:t>
      </w:r>
      <w:r w:rsidRPr="00A85C5A">
        <w:rPr>
          <w:rFonts w:eastAsia="AdvTimes"/>
          <w:bCs/>
          <w:lang w:eastAsia="en-IN"/>
        </w:rPr>
        <w:t xml:space="preserve">), 8.35 (1H, s, </w:t>
      </w:r>
      <w:r w:rsidRPr="00A85C5A">
        <w:rPr>
          <w:rFonts w:eastAsia="AdvTimes"/>
          <w:lang w:eastAsia="en-IN"/>
        </w:rPr>
        <w:t>-HC=N-</w:t>
      </w:r>
      <w:r w:rsidRPr="00A85C5A">
        <w:rPr>
          <w:rFonts w:eastAsia="AdvTimes"/>
          <w:bCs/>
          <w:lang w:eastAsia="en-IN"/>
        </w:rPr>
        <w:t xml:space="preserve">), </w:t>
      </w:r>
      <w:r w:rsidRPr="00A85C5A">
        <w:rPr>
          <w:rFonts w:eastAsia="AdvTimes"/>
          <w:lang w:eastAsia="en-IN"/>
        </w:rPr>
        <w:t>3.72 (4H, t, -O-CH</w:t>
      </w:r>
      <w:r w:rsidRPr="00A85C5A">
        <w:rPr>
          <w:rFonts w:eastAsia="AdvTimes"/>
          <w:vertAlign w:val="subscript"/>
          <w:lang w:eastAsia="en-IN"/>
        </w:rPr>
        <w:t>2</w:t>
      </w:r>
      <w:r w:rsidRPr="00A85C5A">
        <w:rPr>
          <w:rFonts w:eastAsia="AdvTimes"/>
          <w:lang w:eastAsia="en-IN"/>
        </w:rPr>
        <w:t>), 2.44 (4H, t, -N-CH</w:t>
      </w:r>
      <w:r w:rsidRPr="00A85C5A">
        <w:rPr>
          <w:rFonts w:eastAsia="AdvTimes"/>
          <w:vertAlign w:val="subscript"/>
          <w:lang w:eastAsia="en-IN"/>
        </w:rPr>
        <w:t>2</w:t>
      </w:r>
      <w:r w:rsidRPr="00A85C5A">
        <w:rPr>
          <w:rFonts w:eastAsia="AdvTimes"/>
          <w:lang w:eastAsia="en-IN"/>
        </w:rPr>
        <w:t>),</w:t>
      </w:r>
      <w:r w:rsidRPr="00A85C5A">
        <w:rPr>
          <w:lang w:eastAsia="en-US"/>
        </w:rPr>
        <w:t xml:space="preserve"> 2.22 (-CH</w:t>
      </w:r>
      <w:r w:rsidRPr="00A85C5A">
        <w:rPr>
          <w:vertAlign w:val="subscript"/>
          <w:lang w:eastAsia="en-US"/>
        </w:rPr>
        <w:t>2</w:t>
      </w:r>
      <w:r w:rsidRPr="00A85C5A">
        <w:rPr>
          <w:lang w:eastAsia="en-US"/>
        </w:rPr>
        <w:t>-CH</w:t>
      </w:r>
      <w:r w:rsidRPr="00A85C5A">
        <w:rPr>
          <w:vertAlign w:val="subscript"/>
          <w:lang w:eastAsia="en-US"/>
        </w:rPr>
        <w:t>2</w:t>
      </w:r>
      <w:r w:rsidRPr="00A85C5A">
        <w:rPr>
          <w:lang w:eastAsia="en-US"/>
        </w:rPr>
        <w:t>, p, 2H)</w:t>
      </w:r>
      <w:r w:rsidRPr="00A85C5A">
        <w:rPr>
          <w:rFonts w:eastAsia="AdvTimes"/>
          <w:lang w:eastAsia="en-IN"/>
        </w:rPr>
        <w:t xml:space="preserve">. </w:t>
      </w:r>
      <w:r w:rsidRPr="00A85C5A">
        <w:rPr>
          <w:rFonts w:eastAsia="AdvTimes"/>
          <w:bCs/>
          <w:lang w:eastAsia="en-IN"/>
        </w:rPr>
        <w:t>UV-</w:t>
      </w:r>
      <w:r w:rsidR="00516992" w:rsidRPr="00A85C5A">
        <w:rPr>
          <w:rFonts w:eastAsia="AdvTimes"/>
          <w:bCs/>
          <w:lang w:eastAsia="en-IN"/>
        </w:rPr>
        <w:t xml:space="preserve">vis </w:t>
      </w:r>
      <w:r w:rsidRPr="00A85C5A">
        <w:rPr>
          <w:rFonts w:eastAsia="AdvTimes"/>
          <w:bCs/>
          <w:lang w:eastAsia="en-IN"/>
        </w:rPr>
        <w:t>spectrum, Me-OH, λ</w:t>
      </w:r>
      <w:r w:rsidRPr="00A85C5A">
        <w:rPr>
          <w:rFonts w:eastAsia="AdvTimes"/>
          <w:bCs/>
          <w:vertAlign w:val="subscript"/>
          <w:lang w:eastAsia="en-IN"/>
        </w:rPr>
        <w:t>max</w:t>
      </w:r>
      <w:r w:rsidRPr="00A85C5A">
        <w:rPr>
          <w:rFonts w:eastAsia="AdvTimes"/>
          <w:bCs/>
          <w:lang w:eastAsia="en-IN"/>
        </w:rPr>
        <w:t>, nm (cm</w:t>
      </w:r>
      <w:r w:rsidRPr="00A85C5A">
        <w:rPr>
          <w:rFonts w:eastAsia="AdvTimes"/>
          <w:bCs/>
          <w:vertAlign w:val="superscript"/>
          <w:lang w:eastAsia="en-IN"/>
        </w:rPr>
        <w:t>-1</w:t>
      </w:r>
      <w:r w:rsidRPr="00A85C5A">
        <w:rPr>
          <w:rFonts w:eastAsia="AdvTimes"/>
          <w:bCs/>
          <w:lang w:eastAsia="en-IN"/>
        </w:rPr>
        <w:t xml:space="preserve">): </w:t>
      </w:r>
      <w:r w:rsidRPr="00A85C5A">
        <w:rPr>
          <w:rFonts w:eastAsia="AdvTimes"/>
          <w:lang w:eastAsia="en-IN"/>
        </w:rPr>
        <w:t>258 (38,760), 319 (31,348).</w:t>
      </w:r>
      <w:r w:rsidRPr="00A85C5A">
        <w:rPr>
          <w:rFonts w:eastAsia="MS Mincho"/>
          <w:bCs/>
          <w:kern w:val="24"/>
          <w:lang w:eastAsia="en-US"/>
        </w:rPr>
        <w:t xml:space="preserve"> Molar Conductance (10</w:t>
      </w:r>
      <w:r w:rsidRPr="00A85C5A">
        <w:rPr>
          <w:rFonts w:eastAsia="MS Mincho"/>
          <w:bCs/>
          <w:kern w:val="24"/>
          <w:vertAlign w:val="superscript"/>
          <w:lang w:eastAsia="en-US"/>
        </w:rPr>
        <w:t>3</w:t>
      </w:r>
      <w:r w:rsidRPr="00A85C5A">
        <w:rPr>
          <w:rFonts w:eastAsia="MS Mincho"/>
          <w:bCs/>
          <w:kern w:val="24"/>
          <w:lang w:eastAsia="en-US"/>
        </w:rPr>
        <w:t>µM)</w:t>
      </w:r>
      <w:r w:rsidRPr="00A85C5A">
        <w:rPr>
          <w:rFonts w:eastAsia="MS Mincho"/>
          <w:lang w:eastAsia="en-US"/>
        </w:rPr>
        <w:t xml:space="preserve">, Me-OH, </w:t>
      </w:r>
      <w:r w:rsidRPr="00A85C5A">
        <w:rPr>
          <w:rFonts w:eastAsia="MS Mincho"/>
          <w:bCs/>
          <w:kern w:val="24"/>
          <w:lang w:eastAsia="en-US"/>
        </w:rPr>
        <w:sym w:font="Symbol" w:char="F0D9"/>
      </w:r>
      <w:r w:rsidRPr="00A85C5A">
        <w:rPr>
          <w:rFonts w:eastAsia="MS Mincho"/>
          <w:bCs/>
          <w:kern w:val="24"/>
          <w:position w:val="-7"/>
          <w:lang w:eastAsia="en-US"/>
        </w:rPr>
        <w:t>m,</w:t>
      </w:r>
      <w:r w:rsidRPr="00A85C5A">
        <w:rPr>
          <w:rFonts w:eastAsia="MS Mincho"/>
          <w:bCs/>
          <w:kern w:val="24"/>
          <w:lang w:eastAsia="en-US"/>
        </w:rPr>
        <w:t xml:space="preserve"> ohm</w:t>
      </w:r>
      <w:r w:rsidRPr="00A85C5A">
        <w:rPr>
          <w:rFonts w:eastAsia="MS Mincho"/>
          <w:bCs/>
          <w:kern w:val="24"/>
          <w:position w:val="7"/>
          <w:vertAlign w:val="superscript"/>
          <w:lang w:eastAsia="en-US"/>
        </w:rPr>
        <w:t>-1</w:t>
      </w:r>
      <w:r w:rsidRPr="00A85C5A">
        <w:rPr>
          <w:rFonts w:eastAsia="MS Mincho"/>
          <w:bCs/>
          <w:kern w:val="24"/>
          <w:lang w:eastAsia="en-US"/>
        </w:rPr>
        <w:t>cm</w:t>
      </w:r>
      <w:r w:rsidRPr="00A85C5A">
        <w:rPr>
          <w:rFonts w:eastAsia="MS Mincho"/>
          <w:bCs/>
          <w:kern w:val="24"/>
          <w:position w:val="7"/>
          <w:lang w:eastAsia="en-US"/>
        </w:rPr>
        <w:t>2</w:t>
      </w:r>
      <w:r w:rsidRPr="00A85C5A">
        <w:rPr>
          <w:rFonts w:eastAsia="MS Mincho"/>
          <w:bCs/>
          <w:kern w:val="24"/>
          <w:position w:val="7"/>
          <w:vertAlign w:val="superscript"/>
          <w:lang w:eastAsia="en-US"/>
        </w:rPr>
        <w:t xml:space="preserve"> </w:t>
      </w:r>
      <w:r w:rsidRPr="00A85C5A">
        <w:rPr>
          <w:rFonts w:eastAsia="MS Mincho"/>
          <w:bCs/>
          <w:kern w:val="24"/>
          <w:lang w:eastAsia="en-US"/>
        </w:rPr>
        <w:t>mol</w:t>
      </w:r>
      <w:r w:rsidRPr="00A85C5A">
        <w:rPr>
          <w:rFonts w:eastAsia="MS Mincho"/>
          <w:bCs/>
          <w:kern w:val="24"/>
          <w:position w:val="7"/>
          <w:vertAlign w:val="superscript"/>
          <w:lang w:eastAsia="en-US"/>
        </w:rPr>
        <w:t>-1</w:t>
      </w:r>
      <w:r w:rsidRPr="00A85C5A">
        <w:rPr>
          <w:rFonts w:eastAsia="MS Mincho"/>
          <w:lang w:eastAsia="en-US"/>
        </w:rPr>
        <w:t>: 22.66.</w:t>
      </w:r>
      <w:r w:rsidRPr="00A85C5A">
        <w:rPr>
          <w:rFonts w:eastAsia="AdvTimes"/>
          <w:lang w:eastAsia="en-IN"/>
        </w:rPr>
        <w:t xml:space="preserve"> ESI-MS </w:t>
      </w:r>
      <w:r w:rsidRPr="00A85C5A">
        <w:rPr>
          <w:rFonts w:eastAsia="AdvTimes"/>
          <w:lang w:eastAsia="en-IN"/>
        </w:rPr>
        <w:lastRenderedPageBreak/>
        <w:t>Mass (</w:t>
      </w:r>
      <w:r w:rsidRPr="00A85C5A">
        <w:rPr>
          <w:rFonts w:eastAsia="AdvTimes"/>
          <w:bCs/>
          <w:i/>
          <w:iCs/>
          <w:lang w:eastAsia="en-IN"/>
        </w:rPr>
        <w:t>m/z</w:t>
      </w:r>
      <w:r w:rsidRPr="00A85C5A">
        <w:rPr>
          <w:rFonts w:eastAsia="AdvTimes"/>
          <w:lang w:eastAsia="en-IN"/>
        </w:rPr>
        <w:t xml:space="preserve">), </w:t>
      </w:r>
      <w:r w:rsidRPr="00A85C5A">
        <w:rPr>
          <w:rFonts w:eastAsia="AdvTimes"/>
          <w:bCs/>
          <w:lang w:eastAsia="en-IN"/>
        </w:rPr>
        <w:t>Found: 235.10 (M+1). Anal.Cacld (%) for C</w:t>
      </w:r>
      <w:r w:rsidRPr="00A85C5A">
        <w:rPr>
          <w:rFonts w:eastAsia="AdvTimes"/>
          <w:bCs/>
          <w:vertAlign w:val="subscript"/>
          <w:lang w:eastAsia="en-IN"/>
        </w:rPr>
        <w:t>13</w:t>
      </w:r>
      <w:r w:rsidRPr="00A85C5A">
        <w:rPr>
          <w:rFonts w:eastAsia="AdvTimes"/>
          <w:bCs/>
          <w:lang w:eastAsia="en-IN"/>
        </w:rPr>
        <w:t>H</w:t>
      </w:r>
      <w:r w:rsidRPr="00A85C5A">
        <w:rPr>
          <w:rFonts w:eastAsia="AdvTimes"/>
          <w:bCs/>
          <w:vertAlign w:val="subscript"/>
          <w:lang w:eastAsia="en-IN"/>
        </w:rPr>
        <w:t>18</w:t>
      </w:r>
      <w:r w:rsidRPr="00A85C5A">
        <w:rPr>
          <w:rFonts w:eastAsia="AdvTimes"/>
          <w:bCs/>
          <w:lang w:eastAsia="en-IN"/>
        </w:rPr>
        <w:t>N</w:t>
      </w:r>
      <w:r w:rsidRPr="00A85C5A">
        <w:rPr>
          <w:rFonts w:eastAsia="AdvTimes"/>
          <w:bCs/>
          <w:vertAlign w:val="subscript"/>
          <w:lang w:eastAsia="en-IN"/>
        </w:rPr>
        <w:t>2</w:t>
      </w:r>
      <w:r w:rsidRPr="00A85C5A">
        <w:rPr>
          <w:rFonts w:eastAsia="AdvTimes"/>
          <w:bCs/>
          <w:lang w:eastAsia="en-IN"/>
        </w:rPr>
        <w:t>O</w:t>
      </w:r>
      <w:r w:rsidRPr="00A85C5A">
        <w:rPr>
          <w:rFonts w:eastAsia="AdvTimes"/>
          <w:bCs/>
          <w:vertAlign w:val="subscript"/>
          <w:lang w:eastAsia="en-IN"/>
        </w:rPr>
        <w:t>2</w:t>
      </w:r>
      <w:r w:rsidRPr="00A85C5A">
        <w:rPr>
          <w:rFonts w:eastAsia="AdvTimes"/>
          <w:bCs/>
          <w:lang w:eastAsia="en-IN"/>
        </w:rPr>
        <w:t xml:space="preserve">: C, 66.64; H, 07.74; N, 11.95. </w:t>
      </w:r>
      <w:r w:rsidRPr="00A85C5A">
        <w:rPr>
          <w:rFonts w:eastAsia="MS Mincho"/>
          <w:bCs/>
          <w:kern w:val="24"/>
          <w:lang w:eastAsia="en-US"/>
        </w:rPr>
        <w:t>Found (%):</w:t>
      </w:r>
      <w:r w:rsidRPr="00A85C5A">
        <w:rPr>
          <w:rFonts w:eastAsia="AdvTimes"/>
          <w:bCs/>
          <w:lang w:eastAsia="en-IN"/>
        </w:rPr>
        <w:t xml:space="preserve"> C, 66.90; H, 07.60; N, 11.39.</w:t>
      </w:r>
    </w:p>
    <w:p w:rsidR="000D6F59" w:rsidRPr="00A85C5A" w:rsidRDefault="000D6F59" w:rsidP="000D6F59">
      <w:pPr>
        <w:kinsoku w:val="0"/>
        <w:overflowPunct w:val="0"/>
        <w:autoSpaceDE w:val="0"/>
        <w:autoSpaceDN w:val="0"/>
        <w:adjustRightInd w:val="0"/>
        <w:jc w:val="both"/>
        <w:textAlignment w:val="baseline"/>
        <w:rPr>
          <w:b/>
          <w:i/>
          <w:iCs/>
          <w:lang w:eastAsia="en-US"/>
        </w:rPr>
      </w:pPr>
    </w:p>
    <w:p w:rsidR="000D6F59" w:rsidRPr="00A85C5A" w:rsidRDefault="000D6F59" w:rsidP="000D6F59">
      <w:pPr>
        <w:kinsoku w:val="0"/>
        <w:overflowPunct w:val="0"/>
        <w:autoSpaceDE w:val="0"/>
        <w:autoSpaceDN w:val="0"/>
        <w:adjustRightInd w:val="0"/>
        <w:jc w:val="both"/>
        <w:textAlignment w:val="baseline"/>
        <w:rPr>
          <w:b/>
          <w:lang w:eastAsia="en-US"/>
        </w:rPr>
      </w:pPr>
      <w:r w:rsidRPr="00A85C5A">
        <w:rPr>
          <w:b/>
          <w:i/>
          <w:iCs/>
          <w:lang w:eastAsia="en-US"/>
        </w:rPr>
        <w:t>[Cu</w:t>
      </w:r>
      <w:r w:rsidRPr="00A85C5A">
        <w:rPr>
          <w:b/>
          <w:i/>
          <w:iCs/>
          <w:vertAlign w:val="superscript"/>
          <w:lang w:eastAsia="en-US"/>
        </w:rPr>
        <w:t>II</w:t>
      </w:r>
      <w:r w:rsidRPr="00A85C5A">
        <w:rPr>
          <w:b/>
          <w:i/>
          <w:iCs/>
          <w:lang w:eastAsia="en-US"/>
        </w:rPr>
        <w:t>(L)(phen)AcO].2H</w:t>
      </w:r>
      <w:r w:rsidRPr="00A85C5A">
        <w:rPr>
          <w:b/>
          <w:i/>
          <w:iCs/>
          <w:vertAlign w:val="subscript"/>
          <w:lang w:eastAsia="en-US"/>
        </w:rPr>
        <w:t>2</w:t>
      </w:r>
      <w:r w:rsidRPr="00A85C5A">
        <w:rPr>
          <w:b/>
          <w:i/>
          <w:iCs/>
          <w:lang w:eastAsia="en-US"/>
        </w:rPr>
        <w:t>O Complex (1)</w:t>
      </w:r>
    </w:p>
    <w:p w:rsidR="000D6F59" w:rsidRPr="00A85C5A" w:rsidRDefault="000D6F59" w:rsidP="000D6F59">
      <w:pPr>
        <w:kinsoku w:val="0"/>
        <w:overflowPunct w:val="0"/>
        <w:autoSpaceDE w:val="0"/>
        <w:autoSpaceDN w:val="0"/>
        <w:adjustRightInd w:val="0"/>
        <w:jc w:val="both"/>
        <w:textAlignment w:val="baseline"/>
        <w:rPr>
          <w:bCs/>
          <w:lang w:eastAsia="en-US"/>
        </w:rPr>
      </w:pPr>
      <w:r w:rsidRPr="00A85C5A">
        <w:rPr>
          <w:bCs/>
          <w:lang w:eastAsia="en-US"/>
        </w:rPr>
        <w:t xml:space="preserve">Yield: 83.23 %, </w:t>
      </w:r>
      <w:r w:rsidRPr="00A85C5A">
        <w:rPr>
          <w:rFonts w:eastAsia="MS Mincho"/>
          <w:bCs/>
          <w:kern w:val="24"/>
          <w:lang w:eastAsia="en-US"/>
        </w:rPr>
        <w:t>green solid,</w:t>
      </w:r>
      <w:r w:rsidRPr="00A85C5A">
        <w:rPr>
          <w:bCs/>
          <w:lang w:eastAsia="en-US"/>
        </w:rPr>
        <w:t xml:space="preserve"> m.p.110 </w:t>
      </w:r>
      <w:r w:rsidR="00A463DA" w:rsidRPr="00A85C5A">
        <w:rPr>
          <w:rFonts w:ascii="Segoe UI Symbol" w:hAnsi="Segoe UI Symbol"/>
          <w:bCs/>
          <w:lang w:eastAsia="en-US"/>
        </w:rPr>
        <w:t>°</w:t>
      </w:r>
      <w:r w:rsidRPr="00A85C5A">
        <w:rPr>
          <w:bCs/>
          <w:lang w:eastAsia="en-US"/>
        </w:rPr>
        <w:t>C.</w:t>
      </w:r>
      <w:r w:rsidRPr="00A85C5A">
        <w:rPr>
          <w:rFonts w:eastAsia="AdvTimes"/>
          <w:lang w:eastAsia="en-IN"/>
        </w:rPr>
        <w:t xml:space="preserve"> </w:t>
      </w:r>
      <w:r w:rsidRPr="00A85C5A">
        <w:rPr>
          <w:rFonts w:eastAsia="AdvTimes"/>
          <w:bCs/>
          <w:lang w:eastAsia="en-IN"/>
        </w:rPr>
        <w:t xml:space="preserve">FT-IR spectrum, KBr, </w:t>
      </w:r>
      <w:r w:rsidRPr="00A85C5A">
        <w:rPr>
          <w:lang w:eastAsia="en-US"/>
        </w:rPr>
        <w:t>ν</w:t>
      </w:r>
      <w:r w:rsidRPr="00A85C5A">
        <w:rPr>
          <w:rFonts w:eastAsia="AdvTimes"/>
          <w:bCs/>
          <w:lang w:eastAsia="en-IN"/>
        </w:rPr>
        <w:t>, cm</w:t>
      </w:r>
      <w:r w:rsidRPr="00A85C5A">
        <w:rPr>
          <w:rFonts w:eastAsia="AdvTimes"/>
          <w:bCs/>
          <w:vertAlign w:val="superscript"/>
          <w:lang w:eastAsia="en-IN"/>
        </w:rPr>
        <w:t>-1</w:t>
      </w:r>
      <w:r w:rsidRPr="00A85C5A">
        <w:rPr>
          <w:rFonts w:eastAsia="AdvTimes"/>
          <w:bCs/>
          <w:lang w:eastAsia="en-IN"/>
        </w:rPr>
        <w:t xml:space="preserve">: </w:t>
      </w:r>
      <w:r w:rsidRPr="00A85C5A">
        <w:rPr>
          <w:lang w:eastAsia="en-US"/>
        </w:rPr>
        <w:t>1607 (H-C=N-)</w:t>
      </w:r>
      <w:r w:rsidRPr="00A85C5A">
        <w:rPr>
          <w:rFonts w:eastAsia="AdvTimes"/>
          <w:lang w:eastAsia="en-IN"/>
        </w:rPr>
        <w:t>,</w:t>
      </w:r>
      <w:r w:rsidRPr="00A85C5A">
        <w:rPr>
          <w:lang w:val="en-IN" w:eastAsia="en-US" w:bidi="ta-IN"/>
        </w:rPr>
        <w:t xml:space="preserve"> </w:t>
      </w:r>
      <w:r w:rsidRPr="00A85C5A">
        <w:rPr>
          <w:bCs/>
          <w:lang w:eastAsia="en-US"/>
        </w:rPr>
        <w:t xml:space="preserve">1532 </w:t>
      </w:r>
      <w:r w:rsidRPr="00A85C5A">
        <w:rPr>
          <w:lang w:eastAsia="en-US"/>
        </w:rPr>
        <w:t>(H-C=N-phen</w:t>
      </w:r>
      <w:r w:rsidRPr="00A85C5A">
        <w:rPr>
          <w:bCs/>
          <w:lang w:eastAsia="en-US"/>
        </w:rPr>
        <w:t xml:space="preserve">), </w:t>
      </w:r>
      <w:r w:rsidRPr="00A85C5A">
        <w:rPr>
          <w:lang w:eastAsia="en-US"/>
        </w:rPr>
        <w:t>1654, 1430 (Acetate C=O), 1452 (C=C)</w:t>
      </w:r>
      <w:r w:rsidRPr="00A85C5A">
        <w:rPr>
          <w:bCs/>
          <w:lang w:eastAsia="en-US"/>
        </w:rPr>
        <w:t>,</w:t>
      </w:r>
      <w:r w:rsidRPr="00A85C5A">
        <w:rPr>
          <w:lang w:eastAsia="en-US"/>
        </w:rPr>
        <w:t xml:space="preserve"> 1312 (</w:t>
      </w:r>
      <w:r w:rsidRPr="00A85C5A">
        <w:rPr>
          <w:rFonts w:eastAsia="AdvTimes"/>
          <w:lang w:eastAsia="en-IN"/>
        </w:rPr>
        <w:t>C-O</w:t>
      </w:r>
      <w:r w:rsidRPr="00A85C5A">
        <w:rPr>
          <w:rFonts w:eastAsia="AdvTimes"/>
          <w:vertAlign w:val="subscript"/>
          <w:lang w:eastAsia="en-IN"/>
        </w:rPr>
        <w:t>Ar</w:t>
      </w:r>
      <w:r w:rsidRPr="00A85C5A">
        <w:rPr>
          <w:lang w:eastAsia="en-US"/>
        </w:rPr>
        <w:t>), 1195, 1112 (</w:t>
      </w:r>
      <w:r w:rsidRPr="00A85C5A">
        <w:rPr>
          <w:rFonts w:eastAsia="AdvTimes"/>
          <w:lang w:eastAsia="en-IN"/>
        </w:rPr>
        <w:t>C-O</w:t>
      </w:r>
      <w:r w:rsidRPr="00A85C5A">
        <w:rPr>
          <w:lang w:eastAsia="en-US"/>
        </w:rPr>
        <w:t>), 1336 (</w:t>
      </w:r>
      <w:r w:rsidRPr="00A85C5A">
        <w:rPr>
          <w:rFonts w:eastAsia="AdvTimes"/>
          <w:lang w:eastAsia="en-IN"/>
        </w:rPr>
        <w:t>C-N-C</w:t>
      </w:r>
      <w:r w:rsidRPr="00A85C5A">
        <w:rPr>
          <w:lang w:eastAsia="en-US"/>
        </w:rPr>
        <w:t>), 3095 (</w:t>
      </w:r>
      <w:r w:rsidRPr="00A85C5A">
        <w:rPr>
          <w:rFonts w:eastAsia="AdvTimes"/>
          <w:lang w:eastAsia="en-IN"/>
        </w:rPr>
        <w:t>C-H</w:t>
      </w:r>
      <w:r w:rsidRPr="00A85C5A">
        <w:rPr>
          <w:rFonts w:eastAsia="AdvTimes"/>
          <w:vertAlign w:val="subscript"/>
          <w:lang w:eastAsia="en-IN"/>
        </w:rPr>
        <w:t>Ar</w:t>
      </w:r>
      <w:r w:rsidRPr="00A85C5A">
        <w:rPr>
          <w:lang w:eastAsia="en-US"/>
        </w:rPr>
        <w:t>), 2962 (</w:t>
      </w:r>
      <w:r w:rsidRPr="00A85C5A">
        <w:rPr>
          <w:rFonts w:eastAsia="AdvTimes"/>
          <w:lang w:eastAsia="en-IN"/>
        </w:rPr>
        <w:t>C-H</w:t>
      </w:r>
      <w:r w:rsidRPr="00A85C5A">
        <w:rPr>
          <w:lang w:eastAsia="en-US"/>
        </w:rPr>
        <w:t xml:space="preserve">), 2858 </w:t>
      </w:r>
      <w:r w:rsidRPr="00A85C5A">
        <w:rPr>
          <w:rFonts w:eastAsia="AdvTimes"/>
          <w:lang w:eastAsia="en-IN"/>
        </w:rPr>
        <w:t>(H-C=N-)</w:t>
      </w:r>
      <w:r w:rsidRPr="00A85C5A">
        <w:rPr>
          <w:lang w:eastAsia="en-US"/>
        </w:rPr>
        <w:t>, 3446, 848 (H-O-H)</w:t>
      </w:r>
      <w:r w:rsidRPr="00A85C5A">
        <w:rPr>
          <w:rFonts w:eastAsia="AdvTimes"/>
          <w:lang w:eastAsia="en-IN"/>
        </w:rPr>
        <w:t>,</w:t>
      </w:r>
      <w:r w:rsidRPr="00A85C5A">
        <w:rPr>
          <w:lang w:eastAsia="en-US"/>
        </w:rPr>
        <w:t xml:space="preserve"> 503 (</w:t>
      </w:r>
      <w:r w:rsidRPr="00A85C5A">
        <w:rPr>
          <w:lang w:val="en-IN" w:eastAsia="en-US"/>
        </w:rPr>
        <w:t>M-O</w:t>
      </w:r>
      <w:r w:rsidRPr="00A85C5A">
        <w:rPr>
          <w:lang w:eastAsia="en-US"/>
        </w:rPr>
        <w:t>), 467 (</w:t>
      </w:r>
      <w:r w:rsidRPr="00A85C5A">
        <w:rPr>
          <w:lang w:val="en-IN" w:eastAsia="en-US"/>
        </w:rPr>
        <w:t>M-N</w:t>
      </w:r>
      <w:r w:rsidRPr="00A85C5A">
        <w:rPr>
          <w:lang w:eastAsia="en-US"/>
        </w:rPr>
        <w:t xml:space="preserve">). </w:t>
      </w:r>
      <w:r w:rsidRPr="00A85C5A">
        <w:rPr>
          <w:rFonts w:eastAsia="AdvTimes"/>
          <w:bCs/>
          <w:lang w:eastAsia="en-IN"/>
        </w:rPr>
        <w:t>UV-</w:t>
      </w:r>
      <w:r w:rsidR="00516992" w:rsidRPr="00A85C5A">
        <w:rPr>
          <w:rFonts w:eastAsia="AdvTimes"/>
          <w:bCs/>
          <w:lang w:eastAsia="en-IN"/>
        </w:rPr>
        <w:t xml:space="preserve">vis </w:t>
      </w:r>
      <w:r w:rsidRPr="00A85C5A">
        <w:rPr>
          <w:rFonts w:eastAsia="AdvTimes"/>
          <w:bCs/>
          <w:lang w:eastAsia="en-IN"/>
        </w:rPr>
        <w:t>spectrum, Me-OH, λ</w:t>
      </w:r>
      <w:r w:rsidRPr="00A85C5A">
        <w:rPr>
          <w:rFonts w:eastAsia="AdvTimes"/>
          <w:bCs/>
          <w:vertAlign w:val="subscript"/>
          <w:lang w:eastAsia="en-IN"/>
        </w:rPr>
        <w:t>max</w:t>
      </w:r>
      <w:r w:rsidRPr="00A85C5A">
        <w:rPr>
          <w:rFonts w:eastAsia="AdvTimes"/>
          <w:bCs/>
          <w:lang w:eastAsia="en-IN"/>
        </w:rPr>
        <w:t>, nm (cm</w:t>
      </w:r>
      <w:r w:rsidRPr="00A85C5A">
        <w:rPr>
          <w:rFonts w:eastAsia="AdvTimes"/>
          <w:bCs/>
          <w:vertAlign w:val="superscript"/>
          <w:lang w:eastAsia="en-IN"/>
        </w:rPr>
        <w:t>-1</w:t>
      </w:r>
      <w:r w:rsidRPr="00A85C5A">
        <w:rPr>
          <w:rFonts w:eastAsia="AdvTimes"/>
          <w:bCs/>
          <w:lang w:eastAsia="en-IN"/>
        </w:rPr>
        <w:t xml:space="preserve">): </w:t>
      </w:r>
      <w:r w:rsidRPr="00A85C5A">
        <w:rPr>
          <w:lang w:eastAsia="en-US"/>
        </w:rPr>
        <w:t>650</w:t>
      </w:r>
      <w:r w:rsidRPr="00A85C5A">
        <w:rPr>
          <w:rFonts w:eastAsia="MS Mincho"/>
          <w:lang w:eastAsia="en-US"/>
        </w:rPr>
        <w:t xml:space="preserve"> (</w:t>
      </w:r>
      <w:r w:rsidRPr="00A85C5A">
        <w:rPr>
          <w:lang w:eastAsia="en-US"/>
        </w:rPr>
        <w:t>15,384</w:t>
      </w:r>
      <w:r w:rsidRPr="00A85C5A">
        <w:rPr>
          <w:rFonts w:eastAsia="MS Mincho"/>
          <w:lang w:eastAsia="en-US"/>
        </w:rPr>
        <w:t xml:space="preserve">). </w:t>
      </w:r>
      <w:r w:rsidRPr="00A85C5A">
        <w:rPr>
          <w:rFonts w:eastAsia="MS Mincho"/>
          <w:bCs/>
          <w:kern w:val="24"/>
          <w:lang w:eastAsia="en-US"/>
        </w:rPr>
        <w:t>Molar Conductance (10</w:t>
      </w:r>
      <w:r w:rsidRPr="00A85C5A">
        <w:rPr>
          <w:rFonts w:eastAsia="MS Mincho"/>
          <w:bCs/>
          <w:kern w:val="24"/>
          <w:vertAlign w:val="superscript"/>
          <w:lang w:eastAsia="en-US"/>
        </w:rPr>
        <w:t>3</w:t>
      </w:r>
      <w:r w:rsidR="00A463DA" w:rsidRPr="00A85C5A">
        <w:rPr>
          <w:rFonts w:eastAsia="MS Mincho"/>
          <w:bCs/>
          <w:kern w:val="24"/>
          <w:vertAlign w:val="superscript"/>
          <w:lang w:eastAsia="en-US"/>
        </w:rPr>
        <w:t xml:space="preserve"> </w:t>
      </w:r>
      <w:r w:rsidRPr="00A85C5A">
        <w:rPr>
          <w:rFonts w:eastAsia="MS Mincho"/>
          <w:bCs/>
          <w:kern w:val="24"/>
          <w:lang w:eastAsia="en-US"/>
        </w:rPr>
        <w:t>µM)</w:t>
      </w:r>
      <w:r w:rsidRPr="00A85C5A">
        <w:rPr>
          <w:rFonts w:eastAsia="MS Mincho"/>
          <w:lang w:eastAsia="en-US"/>
        </w:rPr>
        <w:t xml:space="preserve">, Me-OH, </w:t>
      </w:r>
      <w:r w:rsidRPr="00A85C5A">
        <w:rPr>
          <w:rFonts w:eastAsia="MS Mincho"/>
          <w:bCs/>
          <w:kern w:val="24"/>
          <w:lang w:eastAsia="en-US"/>
        </w:rPr>
        <w:sym w:font="Symbol" w:char="F0D9"/>
      </w:r>
      <w:r w:rsidRPr="00A85C5A">
        <w:rPr>
          <w:rFonts w:eastAsia="MS Mincho"/>
          <w:bCs/>
          <w:kern w:val="24"/>
          <w:position w:val="-7"/>
          <w:lang w:eastAsia="en-US"/>
        </w:rPr>
        <w:t>m,</w:t>
      </w:r>
      <w:r w:rsidRPr="00A85C5A">
        <w:rPr>
          <w:rFonts w:eastAsia="MS Mincho"/>
          <w:bCs/>
          <w:kern w:val="24"/>
          <w:lang w:eastAsia="en-US"/>
        </w:rPr>
        <w:t xml:space="preserve"> ohm</w:t>
      </w:r>
      <w:r w:rsidRPr="00A85C5A">
        <w:rPr>
          <w:rFonts w:eastAsia="MS Mincho"/>
          <w:bCs/>
          <w:kern w:val="24"/>
          <w:position w:val="7"/>
          <w:vertAlign w:val="superscript"/>
          <w:lang w:eastAsia="en-US"/>
        </w:rPr>
        <w:t>-1</w:t>
      </w:r>
      <w:r w:rsidRPr="00A85C5A">
        <w:rPr>
          <w:rFonts w:eastAsia="MS Mincho"/>
          <w:bCs/>
          <w:kern w:val="24"/>
          <w:lang w:eastAsia="en-US"/>
        </w:rPr>
        <w:t>cm</w:t>
      </w:r>
      <w:r w:rsidRPr="00A85C5A">
        <w:rPr>
          <w:rFonts w:eastAsia="MS Mincho"/>
          <w:bCs/>
          <w:kern w:val="24"/>
          <w:position w:val="7"/>
          <w:lang w:eastAsia="en-US"/>
        </w:rPr>
        <w:t>2</w:t>
      </w:r>
      <w:r w:rsidRPr="00A85C5A">
        <w:rPr>
          <w:rFonts w:eastAsia="MS Mincho"/>
          <w:bCs/>
          <w:kern w:val="24"/>
          <w:position w:val="7"/>
          <w:vertAlign w:val="superscript"/>
          <w:lang w:eastAsia="en-US"/>
        </w:rPr>
        <w:t xml:space="preserve"> </w:t>
      </w:r>
      <w:r w:rsidRPr="00A85C5A">
        <w:rPr>
          <w:rFonts w:eastAsia="MS Mincho"/>
          <w:bCs/>
          <w:kern w:val="24"/>
          <w:lang w:eastAsia="en-US"/>
        </w:rPr>
        <w:t>mol</w:t>
      </w:r>
      <w:r w:rsidRPr="00A85C5A">
        <w:rPr>
          <w:rFonts w:eastAsia="MS Mincho"/>
          <w:bCs/>
          <w:kern w:val="24"/>
          <w:position w:val="7"/>
          <w:vertAlign w:val="superscript"/>
          <w:lang w:eastAsia="en-US"/>
        </w:rPr>
        <w:t>-1</w:t>
      </w:r>
      <w:r w:rsidRPr="00A85C5A">
        <w:rPr>
          <w:rFonts w:eastAsia="MS Mincho"/>
          <w:lang w:eastAsia="en-US"/>
        </w:rPr>
        <w:t xml:space="preserve">: 38.74. </w:t>
      </w:r>
      <w:r w:rsidRPr="00A85C5A">
        <w:rPr>
          <w:bCs/>
          <w:lang w:eastAsia="en-US"/>
        </w:rPr>
        <w:t>µ</w:t>
      </w:r>
      <w:r w:rsidRPr="00A85C5A">
        <w:rPr>
          <w:bCs/>
          <w:vertAlign w:val="subscript"/>
          <w:lang w:eastAsia="en-US"/>
        </w:rPr>
        <w:t>eff</w:t>
      </w:r>
      <w:r w:rsidRPr="00A85C5A">
        <w:rPr>
          <w:bCs/>
          <w:lang w:eastAsia="en-US"/>
        </w:rPr>
        <w:t xml:space="preserve">, </w:t>
      </w:r>
      <w:r w:rsidRPr="00A85C5A">
        <w:rPr>
          <w:rFonts w:eastAsia="MS Mincho"/>
          <w:lang w:eastAsia="en-US"/>
        </w:rPr>
        <w:t>BM</w:t>
      </w:r>
      <w:r w:rsidRPr="00A85C5A">
        <w:rPr>
          <w:bCs/>
          <w:lang w:eastAsia="en-US"/>
        </w:rPr>
        <w:t>: 1.75.</w:t>
      </w:r>
      <w:r w:rsidRPr="00A85C5A">
        <w:rPr>
          <w:rFonts w:eastAsia="AdvTimes"/>
          <w:lang w:eastAsia="en-IN"/>
        </w:rPr>
        <w:t xml:space="preserve"> ESI-MS Mass (</w:t>
      </w:r>
      <w:r w:rsidRPr="00A85C5A">
        <w:rPr>
          <w:rFonts w:eastAsia="AdvTimes"/>
          <w:bCs/>
          <w:i/>
          <w:iCs/>
          <w:lang w:eastAsia="en-IN"/>
        </w:rPr>
        <w:t>m/z</w:t>
      </w:r>
      <w:r w:rsidRPr="00A85C5A">
        <w:rPr>
          <w:rFonts w:eastAsia="AdvTimes"/>
          <w:lang w:eastAsia="en-IN"/>
        </w:rPr>
        <w:t xml:space="preserve">), </w:t>
      </w:r>
      <w:r w:rsidRPr="00A85C5A">
        <w:rPr>
          <w:rFonts w:eastAsia="AdvTimes"/>
          <w:bCs/>
          <w:lang w:eastAsia="en-IN"/>
        </w:rPr>
        <w:t>Found:</w:t>
      </w:r>
      <w:r w:rsidRPr="00A85C5A">
        <w:rPr>
          <w:bCs/>
          <w:kern w:val="24"/>
          <w:lang w:eastAsia="en-US"/>
        </w:rPr>
        <w:t xml:space="preserve"> 536.62</w:t>
      </w:r>
      <w:r w:rsidRPr="00A85C5A">
        <w:rPr>
          <w:bCs/>
          <w:lang w:eastAsia="en-US"/>
        </w:rPr>
        <w:t xml:space="preserve"> </w:t>
      </w:r>
      <w:r w:rsidRPr="00A85C5A">
        <w:rPr>
          <w:rFonts w:eastAsia="AdvTimes"/>
          <w:bCs/>
          <w:lang w:eastAsia="en-IN"/>
        </w:rPr>
        <w:t>(M+1).</w:t>
      </w:r>
      <w:r w:rsidRPr="00A85C5A">
        <w:rPr>
          <w:bCs/>
          <w:iCs/>
          <w:lang w:eastAsia="en-US"/>
        </w:rPr>
        <w:t xml:space="preserve"> </w:t>
      </w:r>
      <w:r w:rsidRPr="00A85C5A">
        <w:rPr>
          <w:rFonts w:eastAsia="AdvTimes"/>
          <w:bCs/>
          <w:lang w:eastAsia="en-IN"/>
        </w:rPr>
        <w:t>Anal.Cacld (%) for</w:t>
      </w:r>
      <w:r w:rsidRPr="00A85C5A">
        <w:rPr>
          <w:bCs/>
          <w:kern w:val="24"/>
          <w:lang w:eastAsia="en-US"/>
        </w:rPr>
        <w:t xml:space="preserve"> </w:t>
      </w:r>
      <w:r w:rsidRPr="00A85C5A">
        <w:rPr>
          <w:rFonts w:eastAsia="MS Mincho"/>
          <w:bCs/>
          <w:kern w:val="24"/>
          <w:lang w:eastAsia="en-US"/>
        </w:rPr>
        <w:t>Cu</w:t>
      </w:r>
      <w:r w:rsidRPr="00A85C5A">
        <w:rPr>
          <w:bCs/>
          <w:kern w:val="24"/>
          <w:lang w:eastAsia="en-US"/>
        </w:rPr>
        <w:t>C</w:t>
      </w:r>
      <w:r w:rsidRPr="00A85C5A">
        <w:rPr>
          <w:bCs/>
          <w:kern w:val="24"/>
          <w:vertAlign w:val="subscript"/>
          <w:lang w:eastAsia="en-US"/>
        </w:rPr>
        <w:t>27</w:t>
      </w:r>
      <w:r w:rsidRPr="00A85C5A">
        <w:rPr>
          <w:bCs/>
          <w:kern w:val="24"/>
          <w:lang w:eastAsia="en-US"/>
        </w:rPr>
        <w:t>H</w:t>
      </w:r>
      <w:r w:rsidRPr="00A85C5A">
        <w:rPr>
          <w:bCs/>
          <w:kern w:val="24"/>
          <w:vertAlign w:val="subscript"/>
          <w:lang w:eastAsia="en-US"/>
        </w:rPr>
        <w:t>32</w:t>
      </w:r>
      <w:r w:rsidRPr="00A85C5A">
        <w:rPr>
          <w:bCs/>
          <w:kern w:val="24"/>
          <w:lang w:eastAsia="en-US"/>
        </w:rPr>
        <w:t>N</w:t>
      </w:r>
      <w:r w:rsidRPr="00A85C5A">
        <w:rPr>
          <w:bCs/>
          <w:kern w:val="24"/>
          <w:vertAlign w:val="subscript"/>
          <w:lang w:eastAsia="en-US"/>
        </w:rPr>
        <w:t>4</w:t>
      </w:r>
      <w:r w:rsidRPr="00A85C5A">
        <w:rPr>
          <w:bCs/>
          <w:kern w:val="24"/>
          <w:lang w:eastAsia="en-US"/>
        </w:rPr>
        <w:t>O</w:t>
      </w:r>
      <w:r w:rsidRPr="00A85C5A">
        <w:rPr>
          <w:bCs/>
          <w:kern w:val="24"/>
          <w:vertAlign w:val="subscript"/>
          <w:lang w:eastAsia="en-US"/>
        </w:rPr>
        <w:t>6</w:t>
      </w:r>
      <w:r w:rsidRPr="00A85C5A">
        <w:rPr>
          <w:bCs/>
          <w:kern w:val="24"/>
          <w:lang w:eastAsia="en-US"/>
        </w:rPr>
        <w:t xml:space="preserve">: </w:t>
      </w:r>
      <w:r w:rsidRPr="00A85C5A">
        <w:rPr>
          <w:bCs/>
          <w:lang w:eastAsia="en-US"/>
        </w:rPr>
        <w:t xml:space="preserve">C, 56.68; H, 05.59; N, 09.79; Cu, 11.11. </w:t>
      </w:r>
      <w:r w:rsidRPr="00A85C5A">
        <w:rPr>
          <w:rFonts w:eastAsia="MS Mincho"/>
          <w:bCs/>
          <w:kern w:val="24"/>
          <w:lang w:eastAsia="en-US"/>
        </w:rPr>
        <w:t>Found (%):</w:t>
      </w:r>
      <w:r w:rsidRPr="00A85C5A">
        <w:rPr>
          <w:bCs/>
          <w:lang w:eastAsia="en-US"/>
        </w:rPr>
        <w:t xml:space="preserve"> C, 56.73; H, 05.63; N, 09.86; Cu, 11.16. </w:t>
      </w:r>
    </w:p>
    <w:p w:rsidR="000D6F59" w:rsidRPr="00A85C5A" w:rsidRDefault="000D6F59" w:rsidP="000D6F59">
      <w:pPr>
        <w:kinsoku w:val="0"/>
        <w:overflowPunct w:val="0"/>
        <w:autoSpaceDE w:val="0"/>
        <w:autoSpaceDN w:val="0"/>
        <w:adjustRightInd w:val="0"/>
        <w:jc w:val="both"/>
        <w:textAlignment w:val="baseline"/>
        <w:rPr>
          <w:b/>
          <w:i/>
          <w:iCs/>
          <w:lang w:eastAsia="en-US"/>
        </w:rPr>
      </w:pPr>
    </w:p>
    <w:p w:rsidR="000D6F59" w:rsidRPr="00A85C5A" w:rsidRDefault="000D6F59" w:rsidP="000D6F59">
      <w:pPr>
        <w:kinsoku w:val="0"/>
        <w:overflowPunct w:val="0"/>
        <w:autoSpaceDE w:val="0"/>
        <w:autoSpaceDN w:val="0"/>
        <w:adjustRightInd w:val="0"/>
        <w:jc w:val="both"/>
        <w:textAlignment w:val="baseline"/>
        <w:rPr>
          <w:b/>
          <w:i/>
          <w:iCs/>
          <w:lang w:eastAsia="en-US"/>
        </w:rPr>
      </w:pPr>
      <w:r w:rsidRPr="00A85C5A">
        <w:rPr>
          <w:b/>
          <w:i/>
          <w:iCs/>
          <w:lang w:eastAsia="en-US"/>
        </w:rPr>
        <w:t>[Co</w:t>
      </w:r>
      <w:r w:rsidRPr="00A85C5A">
        <w:rPr>
          <w:b/>
          <w:i/>
          <w:iCs/>
          <w:vertAlign w:val="superscript"/>
          <w:lang w:eastAsia="en-US"/>
        </w:rPr>
        <w:t>II</w:t>
      </w:r>
      <w:r w:rsidRPr="00A85C5A">
        <w:rPr>
          <w:b/>
          <w:i/>
          <w:iCs/>
          <w:lang w:eastAsia="en-US"/>
        </w:rPr>
        <w:t>(L)(phen)AcO].4H</w:t>
      </w:r>
      <w:r w:rsidRPr="00A85C5A">
        <w:rPr>
          <w:b/>
          <w:i/>
          <w:iCs/>
          <w:vertAlign w:val="subscript"/>
          <w:lang w:eastAsia="en-US"/>
        </w:rPr>
        <w:t>2</w:t>
      </w:r>
      <w:r w:rsidRPr="00A85C5A">
        <w:rPr>
          <w:b/>
          <w:i/>
          <w:iCs/>
          <w:lang w:eastAsia="en-US"/>
        </w:rPr>
        <w:t>O Complex (2)</w:t>
      </w:r>
    </w:p>
    <w:p w:rsidR="000D6F59" w:rsidRPr="00A85C5A" w:rsidRDefault="000D6F59" w:rsidP="000D6F59">
      <w:pPr>
        <w:kinsoku w:val="0"/>
        <w:overflowPunct w:val="0"/>
        <w:autoSpaceDE w:val="0"/>
        <w:autoSpaceDN w:val="0"/>
        <w:adjustRightInd w:val="0"/>
        <w:jc w:val="both"/>
        <w:textAlignment w:val="baseline"/>
        <w:rPr>
          <w:bCs/>
          <w:lang w:eastAsia="en-US"/>
        </w:rPr>
      </w:pPr>
      <w:r w:rsidRPr="00A85C5A">
        <w:rPr>
          <w:b/>
          <w:lang w:eastAsia="en-US"/>
        </w:rPr>
        <w:t xml:space="preserve"> </w:t>
      </w:r>
      <w:r w:rsidRPr="00A85C5A">
        <w:rPr>
          <w:bCs/>
          <w:lang w:eastAsia="en-US"/>
        </w:rPr>
        <w:t xml:space="preserve">Yield: 71.78 %, </w:t>
      </w:r>
      <w:r w:rsidRPr="00A85C5A">
        <w:rPr>
          <w:rFonts w:eastAsia="MS Mincho"/>
          <w:bCs/>
          <w:kern w:val="24"/>
          <w:lang w:eastAsia="en-US"/>
        </w:rPr>
        <w:t>dark brown solid,</w:t>
      </w:r>
      <w:r w:rsidRPr="00A85C5A">
        <w:rPr>
          <w:bCs/>
          <w:lang w:eastAsia="en-US"/>
        </w:rPr>
        <w:t xml:space="preserve"> m.p.115</w:t>
      </w:r>
      <w:r w:rsidRPr="00A85C5A">
        <w:rPr>
          <w:bCs/>
          <w:vertAlign w:val="superscript"/>
          <w:lang w:eastAsia="en-US"/>
        </w:rPr>
        <w:t xml:space="preserve"> </w:t>
      </w:r>
      <w:r w:rsidR="00A463DA" w:rsidRPr="00A85C5A">
        <w:rPr>
          <w:rFonts w:ascii="Segoe UI Symbol" w:hAnsi="Segoe UI Symbol"/>
          <w:bCs/>
          <w:lang w:eastAsia="en-US"/>
        </w:rPr>
        <w:t>°</w:t>
      </w:r>
      <w:r w:rsidRPr="00A85C5A">
        <w:rPr>
          <w:bCs/>
          <w:lang w:eastAsia="en-US"/>
        </w:rPr>
        <w:t xml:space="preserve">C. </w:t>
      </w:r>
      <w:r w:rsidRPr="00A85C5A">
        <w:rPr>
          <w:rFonts w:eastAsia="AdvTimes"/>
          <w:bCs/>
          <w:lang w:eastAsia="en-IN"/>
        </w:rPr>
        <w:t xml:space="preserve">FT-IR spectrum, KBr, </w:t>
      </w:r>
      <w:r w:rsidRPr="00A85C5A">
        <w:rPr>
          <w:lang w:eastAsia="en-US"/>
        </w:rPr>
        <w:t>ν</w:t>
      </w:r>
      <w:r w:rsidRPr="00A85C5A">
        <w:rPr>
          <w:rFonts w:eastAsia="AdvTimes"/>
          <w:bCs/>
          <w:lang w:eastAsia="en-IN"/>
        </w:rPr>
        <w:t>, cm</w:t>
      </w:r>
      <w:r w:rsidRPr="00A85C5A">
        <w:rPr>
          <w:rFonts w:eastAsia="AdvTimes"/>
          <w:bCs/>
          <w:vertAlign w:val="superscript"/>
          <w:lang w:eastAsia="en-IN"/>
        </w:rPr>
        <w:t>-1</w:t>
      </w:r>
      <w:r w:rsidRPr="00A85C5A">
        <w:rPr>
          <w:rFonts w:eastAsia="AdvTimes"/>
          <w:bCs/>
          <w:lang w:eastAsia="en-IN"/>
        </w:rPr>
        <w:t>:</w:t>
      </w:r>
      <w:r w:rsidRPr="00A85C5A">
        <w:rPr>
          <w:lang w:eastAsia="en-US"/>
        </w:rPr>
        <w:t xml:space="preserve">1585 (H-C=N-), </w:t>
      </w:r>
      <w:r w:rsidRPr="00A85C5A">
        <w:rPr>
          <w:bCs/>
          <w:lang w:eastAsia="en-US"/>
        </w:rPr>
        <w:t xml:space="preserve">1522 </w:t>
      </w:r>
      <w:r w:rsidRPr="00A85C5A">
        <w:rPr>
          <w:lang w:eastAsia="en-US"/>
        </w:rPr>
        <w:t>(H-C=N-phen</w:t>
      </w:r>
      <w:r w:rsidRPr="00A85C5A">
        <w:rPr>
          <w:bCs/>
          <w:lang w:eastAsia="en-US"/>
        </w:rPr>
        <w:t>)</w:t>
      </w:r>
      <w:r w:rsidRPr="00A85C5A">
        <w:rPr>
          <w:lang w:eastAsia="en-US"/>
        </w:rPr>
        <w:t>,</w:t>
      </w:r>
      <w:r w:rsidRPr="00A85C5A">
        <w:rPr>
          <w:bCs/>
          <w:lang w:eastAsia="en-US"/>
        </w:rPr>
        <w:t xml:space="preserve"> </w:t>
      </w:r>
      <w:r w:rsidRPr="00A85C5A">
        <w:rPr>
          <w:lang w:eastAsia="en-US"/>
        </w:rPr>
        <w:t>1641, 1404 (Acetate C=O), 1452 (C=C)</w:t>
      </w:r>
      <w:r w:rsidRPr="00A85C5A">
        <w:rPr>
          <w:bCs/>
          <w:lang w:eastAsia="en-US"/>
        </w:rPr>
        <w:t>,</w:t>
      </w:r>
      <w:r w:rsidRPr="00A85C5A">
        <w:rPr>
          <w:lang w:eastAsia="en-US"/>
        </w:rPr>
        <w:t xml:space="preserve"> 1311 (</w:t>
      </w:r>
      <w:r w:rsidRPr="00A85C5A">
        <w:rPr>
          <w:rFonts w:eastAsia="AdvTimes"/>
          <w:lang w:eastAsia="en-IN"/>
        </w:rPr>
        <w:t>C-O</w:t>
      </w:r>
      <w:r w:rsidRPr="00A85C5A">
        <w:rPr>
          <w:rFonts w:eastAsia="AdvTimes"/>
          <w:vertAlign w:val="subscript"/>
          <w:lang w:eastAsia="en-IN"/>
        </w:rPr>
        <w:t>Ar</w:t>
      </w:r>
      <w:r w:rsidRPr="00A85C5A">
        <w:rPr>
          <w:lang w:eastAsia="en-US"/>
        </w:rPr>
        <w:t>), 1195, 1114 (</w:t>
      </w:r>
      <w:r w:rsidRPr="00A85C5A">
        <w:rPr>
          <w:rFonts w:eastAsia="AdvTimes"/>
          <w:lang w:eastAsia="en-IN"/>
        </w:rPr>
        <w:t>C-O</w:t>
      </w:r>
      <w:r w:rsidRPr="00A85C5A">
        <w:rPr>
          <w:lang w:eastAsia="en-US"/>
        </w:rPr>
        <w:t>), 1324 (</w:t>
      </w:r>
      <w:r w:rsidRPr="00A85C5A">
        <w:rPr>
          <w:rFonts w:eastAsia="AdvTimes"/>
          <w:lang w:eastAsia="en-IN"/>
        </w:rPr>
        <w:t>C-N-C</w:t>
      </w:r>
      <w:r w:rsidRPr="00A85C5A">
        <w:rPr>
          <w:lang w:eastAsia="en-US"/>
        </w:rPr>
        <w:t>), 3095 (</w:t>
      </w:r>
      <w:r w:rsidRPr="00A85C5A">
        <w:rPr>
          <w:rFonts w:eastAsia="AdvTimes"/>
          <w:lang w:eastAsia="en-IN"/>
        </w:rPr>
        <w:t>C-H</w:t>
      </w:r>
      <w:r w:rsidRPr="00A85C5A">
        <w:rPr>
          <w:rFonts w:eastAsia="AdvTimes"/>
          <w:vertAlign w:val="subscript"/>
          <w:lang w:eastAsia="en-IN"/>
        </w:rPr>
        <w:t>Ar</w:t>
      </w:r>
      <w:r w:rsidRPr="00A85C5A">
        <w:rPr>
          <w:lang w:eastAsia="en-US"/>
        </w:rPr>
        <w:t>), 2975 (</w:t>
      </w:r>
      <w:r w:rsidRPr="00A85C5A">
        <w:rPr>
          <w:rFonts w:eastAsia="AdvTimes"/>
          <w:lang w:eastAsia="en-IN"/>
        </w:rPr>
        <w:t>C-H</w:t>
      </w:r>
      <w:r w:rsidRPr="00A85C5A">
        <w:rPr>
          <w:lang w:eastAsia="en-US"/>
        </w:rPr>
        <w:t xml:space="preserve">), 2885 </w:t>
      </w:r>
      <w:r w:rsidRPr="00A85C5A">
        <w:rPr>
          <w:rFonts w:eastAsia="AdvTimes"/>
          <w:lang w:eastAsia="en-IN"/>
        </w:rPr>
        <w:t>(H-C=N-)</w:t>
      </w:r>
      <w:r w:rsidRPr="00A85C5A">
        <w:rPr>
          <w:lang w:eastAsia="en-US"/>
        </w:rPr>
        <w:t>,  3433, 844 (H-O-H)</w:t>
      </w:r>
      <w:r w:rsidRPr="00A85C5A">
        <w:rPr>
          <w:rFonts w:eastAsia="AdvTimes"/>
          <w:lang w:eastAsia="en-IN"/>
        </w:rPr>
        <w:t>,</w:t>
      </w:r>
      <w:r w:rsidRPr="00A85C5A">
        <w:rPr>
          <w:lang w:eastAsia="en-US"/>
        </w:rPr>
        <w:t xml:space="preserve"> 497 (</w:t>
      </w:r>
      <w:r w:rsidRPr="00A85C5A">
        <w:rPr>
          <w:lang w:val="en-IN" w:eastAsia="en-US"/>
        </w:rPr>
        <w:t>M-O</w:t>
      </w:r>
      <w:r w:rsidRPr="00A85C5A">
        <w:rPr>
          <w:lang w:eastAsia="en-US"/>
        </w:rPr>
        <w:t>), 464 (</w:t>
      </w:r>
      <w:r w:rsidRPr="00A85C5A">
        <w:rPr>
          <w:lang w:val="en-IN" w:eastAsia="en-US"/>
        </w:rPr>
        <w:t>M-N</w:t>
      </w:r>
      <w:r w:rsidRPr="00A85C5A">
        <w:rPr>
          <w:lang w:eastAsia="en-US"/>
        </w:rPr>
        <w:t xml:space="preserve">). </w:t>
      </w:r>
      <w:r w:rsidRPr="00A85C5A">
        <w:rPr>
          <w:rFonts w:eastAsia="AdvTimes"/>
          <w:bCs/>
          <w:lang w:eastAsia="en-IN"/>
        </w:rPr>
        <w:t>UV-</w:t>
      </w:r>
      <w:r w:rsidR="00516992" w:rsidRPr="00A85C5A">
        <w:rPr>
          <w:rFonts w:eastAsia="AdvTimes"/>
          <w:bCs/>
          <w:lang w:eastAsia="en-IN"/>
        </w:rPr>
        <w:t xml:space="preserve">vis </w:t>
      </w:r>
      <w:r w:rsidRPr="00A85C5A">
        <w:rPr>
          <w:rFonts w:eastAsia="AdvTimes"/>
          <w:bCs/>
          <w:lang w:eastAsia="en-IN"/>
        </w:rPr>
        <w:t>spectrum, Me-OH, λ</w:t>
      </w:r>
      <w:r w:rsidRPr="00A85C5A">
        <w:rPr>
          <w:rFonts w:eastAsia="AdvTimes"/>
          <w:bCs/>
          <w:vertAlign w:val="subscript"/>
          <w:lang w:eastAsia="en-IN"/>
        </w:rPr>
        <w:t>max</w:t>
      </w:r>
      <w:r w:rsidRPr="00A85C5A">
        <w:rPr>
          <w:rFonts w:eastAsia="AdvTimes"/>
          <w:bCs/>
          <w:lang w:eastAsia="en-IN"/>
        </w:rPr>
        <w:t>, nm (cm</w:t>
      </w:r>
      <w:r w:rsidRPr="00A85C5A">
        <w:rPr>
          <w:rFonts w:eastAsia="AdvTimes"/>
          <w:bCs/>
          <w:vertAlign w:val="superscript"/>
          <w:lang w:eastAsia="en-IN"/>
        </w:rPr>
        <w:t>-1</w:t>
      </w:r>
      <w:r w:rsidRPr="00A85C5A">
        <w:rPr>
          <w:rFonts w:eastAsia="AdvTimes"/>
          <w:bCs/>
          <w:lang w:eastAsia="en-IN"/>
        </w:rPr>
        <w:t xml:space="preserve">): </w:t>
      </w:r>
      <w:r w:rsidRPr="00A85C5A">
        <w:rPr>
          <w:lang w:eastAsia="en-US"/>
        </w:rPr>
        <w:t>646</w:t>
      </w:r>
      <w:r w:rsidRPr="00A85C5A">
        <w:rPr>
          <w:rFonts w:eastAsia="MS Mincho"/>
          <w:lang w:eastAsia="en-US"/>
        </w:rPr>
        <w:t xml:space="preserve"> (</w:t>
      </w:r>
      <w:r w:rsidRPr="00A85C5A">
        <w:rPr>
          <w:lang w:eastAsia="en-US"/>
        </w:rPr>
        <w:t>15,479</w:t>
      </w:r>
      <w:r w:rsidRPr="00A85C5A">
        <w:rPr>
          <w:rFonts w:eastAsia="MS Mincho"/>
          <w:lang w:eastAsia="en-US"/>
        </w:rPr>
        <w:t xml:space="preserve">), </w:t>
      </w:r>
      <w:r w:rsidRPr="00A85C5A">
        <w:rPr>
          <w:lang w:eastAsia="en-US"/>
        </w:rPr>
        <w:t>496</w:t>
      </w:r>
      <w:r w:rsidRPr="00A85C5A">
        <w:rPr>
          <w:rFonts w:eastAsia="MS Mincho"/>
          <w:lang w:eastAsia="en-US"/>
        </w:rPr>
        <w:t xml:space="preserve"> (</w:t>
      </w:r>
      <w:r w:rsidRPr="00A85C5A">
        <w:rPr>
          <w:lang w:eastAsia="en-US"/>
        </w:rPr>
        <w:t>20,161</w:t>
      </w:r>
      <w:r w:rsidRPr="00A85C5A">
        <w:rPr>
          <w:rFonts w:eastAsia="MS Mincho"/>
          <w:lang w:eastAsia="en-US"/>
        </w:rPr>
        <w:t xml:space="preserve">). </w:t>
      </w:r>
      <w:r w:rsidRPr="00A85C5A">
        <w:rPr>
          <w:rFonts w:eastAsia="MS Mincho"/>
          <w:bCs/>
          <w:kern w:val="24"/>
          <w:lang w:eastAsia="en-US"/>
        </w:rPr>
        <w:t>Molar Conductance (10</w:t>
      </w:r>
      <w:r w:rsidRPr="00A85C5A">
        <w:rPr>
          <w:rFonts w:eastAsia="MS Mincho"/>
          <w:bCs/>
          <w:kern w:val="24"/>
          <w:vertAlign w:val="superscript"/>
          <w:lang w:eastAsia="en-US"/>
        </w:rPr>
        <w:t>3</w:t>
      </w:r>
      <w:r w:rsidR="00516992" w:rsidRPr="00A85C5A">
        <w:rPr>
          <w:rFonts w:eastAsia="MS Mincho"/>
          <w:bCs/>
          <w:kern w:val="24"/>
          <w:vertAlign w:val="superscript"/>
          <w:lang w:eastAsia="en-US"/>
        </w:rPr>
        <w:t xml:space="preserve"> </w:t>
      </w:r>
      <w:r w:rsidRPr="00A85C5A">
        <w:rPr>
          <w:rFonts w:eastAsia="MS Mincho"/>
          <w:bCs/>
          <w:kern w:val="24"/>
          <w:lang w:eastAsia="en-US"/>
        </w:rPr>
        <w:t>µM)</w:t>
      </w:r>
      <w:r w:rsidRPr="00A85C5A">
        <w:rPr>
          <w:rFonts w:eastAsia="MS Mincho"/>
          <w:lang w:eastAsia="en-US"/>
        </w:rPr>
        <w:t xml:space="preserve">, Me-OH, </w:t>
      </w:r>
      <w:r w:rsidRPr="00A85C5A">
        <w:rPr>
          <w:rFonts w:eastAsia="MS Mincho"/>
          <w:bCs/>
          <w:kern w:val="24"/>
          <w:lang w:eastAsia="en-US"/>
        </w:rPr>
        <w:sym w:font="Symbol" w:char="F0D9"/>
      </w:r>
      <w:r w:rsidRPr="00A85C5A">
        <w:rPr>
          <w:rFonts w:eastAsia="MS Mincho"/>
          <w:bCs/>
          <w:kern w:val="24"/>
          <w:position w:val="-7"/>
          <w:lang w:eastAsia="en-US"/>
        </w:rPr>
        <w:t>m,</w:t>
      </w:r>
      <w:r w:rsidRPr="00A85C5A">
        <w:rPr>
          <w:rFonts w:eastAsia="MS Mincho"/>
          <w:bCs/>
          <w:kern w:val="24"/>
          <w:lang w:eastAsia="en-US"/>
        </w:rPr>
        <w:t xml:space="preserve"> ohm</w:t>
      </w:r>
      <w:r w:rsidRPr="00A85C5A">
        <w:rPr>
          <w:rFonts w:eastAsia="MS Mincho"/>
          <w:bCs/>
          <w:kern w:val="24"/>
          <w:position w:val="7"/>
          <w:vertAlign w:val="superscript"/>
          <w:lang w:eastAsia="en-US"/>
        </w:rPr>
        <w:t>-1</w:t>
      </w:r>
      <w:r w:rsidRPr="00A85C5A">
        <w:rPr>
          <w:rFonts w:eastAsia="MS Mincho"/>
          <w:bCs/>
          <w:kern w:val="24"/>
          <w:lang w:eastAsia="en-US"/>
        </w:rPr>
        <w:t>cm</w:t>
      </w:r>
      <w:r w:rsidRPr="00A85C5A">
        <w:rPr>
          <w:rFonts w:eastAsia="MS Mincho"/>
          <w:bCs/>
          <w:kern w:val="24"/>
          <w:position w:val="7"/>
          <w:lang w:eastAsia="en-US"/>
        </w:rPr>
        <w:t>2</w:t>
      </w:r>
      <w:r w:rsidRPr="00A85C5A">
        <w:rPr>
          <w:rFonts w:eastAsia="MS Mincho"/>
          <w:bCs/>
          <w:kern w:val="24"/>
          <w:position w:val="7"/>
          <w:vertAlign w:val="superscript"/>
          <w:lang w:eastAsia="en-US"/>
        </w:rPr>
        <w:t xml:space="preserve"> </w:t>
      </w:r>
      <w:r w:rsidRPr="00A85C5A">
        <w:rPr>
          <w:rFonts w:eastAsia="MS Mincho"/>
          <w:bCs/>
          <w:kern w:val="24"/>
          <w:lang w:eastAsia="en-US"/>
        </w:rPr>
        <w:t>mol</w:t>
      </w:r>
      <w:r w:rsidRPr="00A85C5A">
        <w:rPr>
          <w:rFonts w:eastAsia="MS Mincho"/>
          <w:bCs/>
          <w:kern w:val="24"/>
          <w:position w:val="7"/>
          <w:vertAlign w:val="superscript"/>
          <w:lang w:eastAsia="en-US"/>
        </w:rPr>
        <w:t>-1</w:t>
      </w:r>
      <w:r w:rsidRPr="00A85C5A">
        <w:rPr>
          <w:rFonts w:eastAsia="MS Mincho"/>
          <w:lang w:eastAsia="en-US"/>
        </w:rPr>
        <w:t xml:space="preserve">: 34.64. </w:t>
      </w:r>
      <w:r w:rsidRPr="00A85C5A">
        <w:rPr>
          <w:bCs/>
          <w:lang w:eastAsia="en-US"/>
        </w:rPr>
        <w:t>µ</w:t>
      </w:r>
      <w:r w:rsidRPr="00A85C5A">
        <w:rPr>
          <w:bCs/>
          <w:vertAlign w:val="subscript"/>
          <w:lang w:eastAsia="en-US"/>
        </w:rPr>
        <w:t>eff</w:t>
      </w:r>
      <w:r w:rsidRPr="00A85C5A">
        <w:rPr>
          <w:rFonts w:eastAsia="MS Mincho"/>
          <w:lang w:eastAsia="en-US"/>
        </w:rPr>
        <w:t>, BM</w:t>
      </w:r>
      <w:r w:rsidRPr="00A85C5A">
        <w:rPr>
          <w:bCs/>
          <w:lang w:eastAsia="en-US"/>
        </w:rPr>
        <w:t>: 4.73.</w:t>
      </w:r>
      <w:r w:rsidRPr="00A85C5A">
        <w:rPr>
          <w:rFonts w:eastAsia="AdvTimes"/>
          <w:lang w:eastAsia="en-IN"/>
        </w:rPr>
        <w:t xml:space="preserve"> ESI-MS Mass (</w:t>
      </w:r>
      <w:r w:rsidRPr="00A85C5A">
        <w:rPr>
          <w:rFonts w:eastAsia="AdvTimes"/>
          <w:bCs/>
          <w:lang w:eastAsia="en-IN"/>
        </w:rPr>
        <w:t>m/z</w:t>
      </w:r>
      <w:r w:rsidRPr="00A85C5A">
        <w:rPr>
          <w:rFonts w:eastAsia="AdvTimes"/>
          <w:lang w:eastAsia="en-IN"/>
        </w:rPr>
        <w:t xml:space="preserve">), </w:t>
      </w:r>
      <w:r w:rsidRPr="00A85C5A">
        <w:rPr>
          <w:rFonts w:eastAsia="AdvTimes"/>
          <w:bCs/>
          <w:lang w:eastAsia="en-IN"/>
        </w:rPr>
        <w:t>Found:</w:t>
      </w:r>
      <w:r w:rsidRPr="00A85C5A">
        <w:rPr>
          <w:bCs/>
          <w:kern w:val="24"/>
          <w:lang w:eastAsia="en-US"/>
        </w:rPr>
        <w:t xml:space="preserve"> 531.98 </w:t>
      </w:r>
      <w:r w:rsidRPr="00A85C5A">
        <w:rPr>
          <w:rFonts w:eastAsia="MS Mincho"/>
          <w:bCs/>
          <w:kern w:val="24"/>
          <w:lang w:eastAsia="en-US"/>
        </w:rPr>
        <w:t>(</w:t>
      </w:r>
      <w:r w:rsidRPr="00A85C5A">
        <w:rPr>
          <w:rFonts w:eastAsia="AdvTimes"/>
          <w:bCs/>
          <w:lang w:eastAsia="en-IN"/>
        </w:rPr>
        <w:t>M+1</w:t>
      </w:r>
      <w:r w:rsidRPr="00A85C5A">
        <w:rPr>
          <w:rFonts w:eastAsia="MS Mincho"/>
          <w:bCs/>
          <w:kern w:val="24"/>
          <w:lang w:eastAsia="en-US"/>
        </w:rPr>
        <w:t>).</w:t>
      </w:r>
      <w:r w:rsidRPr="00A85C5A">
        <w:rPr>
          <w:bCs/>
          <w:iCs/>
          <w:lang w:eastAsia="en-US"/>
        </w:rPr>
        <w:t xml:space="preserve"> </w:t>
      </w:r>
      <w:r w:rsidRPr="00A85C5A">
        <w:rPr>
          <w:rFonts w:eastAsia="AdvTimes"/>
          <w:bCs/>
          <w:lang w:eastAsia="en-IN"/>
        </w:rPr>
        <w:t xml:space="preserve">Anal.Cacld (%) for </w:t>
      </w:r>
      <w:r w:rsidRPr="00A85C5A">
        <w:rPr>
          <w:bCs/>
          <w:kern w:val="24"/>
          <w:lang w:eastAsia="en-US"/>
        </w:rPr>
        <w:t>CoC</w:t>
      </w:r>
      <w:r w:rsidRPr="00A85C5A">
        <w:rPr>
          <w:bCs/>
          <w:kern w:val="24"/>
          <w:vertAlign w:val="subscript"/>
          <w:lang w:eastAsia="en-US"/>
        </w:rPr>
        <w:t>27</w:t>
      </w:r>
      <w:r w:rsidRPr="00A85C5A">
        <w:rPr>
          <w:bCs/>
          <w:kern w:val="24"/>
          <w:lang w:eastAsia="en-US"/>
        </w:rPr>
        <w:t>H</w:t>
      </w:r>
      <w:r w:rsidRPr="00A85C5A">
        <w:rPr>
          <w:bCs/>
          <w:kern w:val="24"/>
          <w:vertAlign w:val="subscript"/>
          <w:lang w:eastAsia="en-US"/>
        </w:rPr>
        <w:t>36</w:t>
      </w:r>
      <w:r w:rsidRPr="00A85C5A">
        <w:rPr>
          <w:bCs/>
          <w:kern w:val="24"/>
          <w:lang w:eastAsia="en-US"/>
        </w:rPr>
        <w:t>N</w:t>
      </w:r>
      <w:r w:rsidRPr="00A85C5A">
        <w:rPr>
          <w:bCs/>
          <w:kern w:val="24"/>
          <w:vertAlign w:val="subscript"/>
          <w:lang w:eastAsia="en-US"/>
        </w:rPr>
        <w:t>4</w:t>
      </w:r>
      <w:r w:rsidRPr="00A85C5A">
        <w:rPr>
          <w:bCs/>
          <w:kern w:val="24"/>
          <w:lang w:eastAsia="en-US"/>
        </w:rPr>
        <w:t>O</w:t>
      </w:r>
      <w:r w:rsidRPr="00A85C5A">
        <w:rPr>
          <w:bCs/>
          <w:kern w:val="24"/>
          <w:vertAlign w:val="subscript"/>
          <w:lang w:eastAsia="en-US"/>
        </w:rPr>
        <w:t>8</w:t>
      </w:r>
      <w:r w:rsidRPr="00A85C5A">
        <w:rPr>
          <w:bCs/>
          <w:kern w:val="24"/>
          <w:lang w:eastAsia="en-US"/>
        </w:rPr>
        <w:t>:</w:t>
      </w:r>
      <w:r w:rsidRPr="00A85C5A">
        <w:rPr>
          <w:bCs/>
          <w:lang w:eastAsia="en-US"/>
        </w:rPr>
        <w:t xml:space="preserve"> C, 53.73; H, 05.97; N, 09.28; Co, 09.77. </w:t>
      </w:r>
      <w:r w:rsidRPr="00A85C5A">
        <w:rPr>
          <w:rFonts w:eastAsia="MS Mincho"/>
          <w:bCs/>
          <w:kern w:val="24"/>
          <w:lang w:eastAsia="en-US"/>
        </w:rPr>
        <w:t>Found (%):</w:t>
      </w:r>
      <w:r w:rsidRPr="00A85C5A">
        <w:rPr>
          <w:bCs/>
          <w:lang w:eastAsia="en-US"/>
        </w:rPr>
        <w:t xml:space="preserve"> C, 53.78; H, 05.83; N, 09.32; Co, 09.78.</w:t>
      </w:r>
      <w:r w:rsidRPr="00A85C5A">
        <w:rPr>
          <w:rFonts w:eastAsia="MS Mincho"/>
          <w:bCs/>
          <w:kern w:val="24"/>
          <w:lang w:eastAsia="en-US"/>
        </w:rPr>
        <w:t xml:space="preserve"> </w:t>
      </w:r>
    </w:p>
    <w:p w:rsidR="000D6F59" w:rsidRPr="00A85C5A" w:rsidRDefault="000D6F59" w:rsidP="000D6F59">
      <w:pPr>
        <w:kinsoku w:val="0"/>
        <w:overflowPunct w:val="0"/>
        <w:autoSpaceDE w:val="0"/>
        <w:autoSpaceDN w:val="0"/>
        <w:adjustRightInd w:val="0"/>
        <w:jc w:val="both"/>
        <w:textAlignment w:val="baseline"/>
        <w:rPr>
          <w:b/>
          <w:i/>
          <w:iCs/>
          <w:lang w:eastAsia="en-US"/>
        </w:rPr>
      </w:pPr>
    </w:p>
    <w:p w:rsidR="000D6F59" w:rsidRPr="00A85C5A" w:rsidRDefault="000D6F59" w:rsidP="000D6F59">
      <w:pPr>
        <w:kinsoku w:val="0"/>
        <w:overflowPunct w:val="0"/>
        <w:autoSpaceDE w:val="0"/>
        <w:autoSpaceDN w:val="0"/>
        <w:adjustRightInd w:val="0"/>
        <w:jc w:val="both"/>
        <w:textAlignment w:val="baseline"/>
        <w:rPr>
          <w:b/>
          <w:i/>
          <w:iCs/>
          <w:lang w:eastAsia="en-US"/>
        </w:rPr>
      </w:pPr>
      <w:r w:rsidRPr="00A85C5A">
        <w:rPr>
          <w:b/>
          <w:i/>
          <w:iCs/>
          <w:lang w:eastAsia="en-US"/>
        </w:rPr>
        <w:t>[Mn</w:t>
      </w:r>
      <w:r w:rsidRPr="00A85C5A">
        <w:rPr>
          <w:b/>
          <w:i/>
          <w:iCs/>
          <w:vertAlign w:val="superscript"/>
          <w:lang w:eastAsia="en-US"/>
        </w:rPr>
        <w:t>II</w:t>
      </w:r>
      <w:r w:rsidRPr="00A85C5A">
        <w:rPr>
          <w:b/>
          <w:i/>
          <w:iCs/>
          <w:lang w:eastAsia="en-US"/>
        </w:rPr>
        <w:t>(L)(phen)AcO].4H</w:t>
      </w:r>
      <w:r w:rsidRPr="00A85C5A">
        <w:rPr>
          <w:b/>
          <w:i/>
          <w:iCs/>
          <w:vertAlign w:val="subscript"/>
          <w:lang w:eastAsia="en-US"/>
        </w:rPr>
        <w:t>2</w:t>
      </w:r>
      <w:r w:rsidRPr="00A85C5A">
        <w:rPr>
          <w:b/>
          <w:i/>
          <w:iCs/>
          <w:lang w:eastAsia="en-US"/>
        </w:rPr>
        <w:t>O Complex (3)</w:t>
      </w:r>
    </w:p>
    <w:p w:rsidR="000D6F59" w:rsidRPr="00A85C5A" w:rsidRDefault="000D6F59" w:rsidP="000D6F59">
      <w:pPr>
        <w:kinsoku w:val="0"/>
        <w:overflowPunct w:val="0"/>
        <w:autoSpaceDE w:val="0"/>
        <w:autoSpaceDN w:val="0"/>
        <w:adjustRightInd w:val="0"/>
        <w:jc w:val="both"/>
        <w:textAlignment w:val="baseline"/>
        <w:rPr>
          <w:rFonts w:eastAsia="MS Mincho"/>
          <w:bCs/>
          <w:kern w:val="24"/>
          <w:lang w:eastAsia="en-US"/>
        </w:rPr>
      </w:pPr>
      <w:r w:rsidRPr="00A85C5A">
        <w:rPr>
          <w:bCs/>
          <w:lang w:eastAsia="en-US"/>
        </w:rPr>
        <w:lastRenderedPageBreak/>
        <w:t xml:space="preserve"> Yield: 75.86 %, </w:t>
      </w:r>
      <w:r w:rsidRPr="00A85C5A">
        <w:rPr>
          <w:rFonts w:eastAsia="MS Mincho"/>
          <w:bCs/>
          <w:kern w:val="24"/>
          <w:lang w:eastAsia="en-US"/>
        </w:rPr>
        <w:t>black solid,</w:t>
      </w:r>
      <w:r w:rsidRPr="00A85C5A">
        <w:rPr>
          <w:bCs/>
          <w:lang w:eastAsia="en-US"/>
        </w:rPr>
        <w:t xml:space="preserve"> m.p.190 </w:t>
      </w:r>
      <w:r w:rsidR="002E7415" w:rsidRPr="00A85C5A">
        <w:rPr>
          <w:rFonts w:ascii="Segoe UI Symbol" w:hAnsi="Segoe UI Symbol"/>
          <w:bCs/>
          <w:lang w:eastAsia="en-US"/>
        </w:rPr>
        <w:t>°</w:t>
      </w:r>
      <w:r w:rsidR="002E7415" w:rsidRPr="00A85C5A">
        <w:rPr>
          <w:bCs/>
          <w:lang w:eastAsia="en-US"/>
        </w:rPr>
        <w:t>C</w:t>
      </w:r>
      <w:r w:rsidRPr="00A85C5A">
        <w:rPr>
          <w:bCs/>
          <w:lang w:eastAsia="en-US"/>
        </w:rPr>
        <w:t xml:space="preserve">.  </w:t>
      </w:r>
      <w:r w:rsidRPr="00A85C5A">
        <w:rPr>
          <w:rFonts w:eastAsia="AdvTimes"/>
          <w:bCs/>
          <w:lang w:eastAsia="en-IN"/>
        </w:rPr>
        <w:t xml:space="preserve">FT-IR spectrum, KBr, </w:t>
      </w:r>
      <w:r w:rsidRPr="00A85C5A">
        <w:rPr>
          <w:lang w:eastAsia="en-US"/>
        </w:rPr>
        <w:t>ν</w:t>
      </w:r>
      <w:r w:rsidRPr="00A85C5A">
        <w:rPr>
          <w:rFonts w:eastAsia="AdvTimes"/>
          <w:bCs/>
          <w:lang w:eastAsia="en-IN"/>
        </w:rPr>
        <w:t>, cm</w:t>
      </w:r>
      <w:r w:rsidRPr="00A85C5A">
        <w:rPr>
          <w:rFonts w:eastAsia="AdvTimes"/>
          <w:bCs/>
          <w:vertAlign w:val="superscript"/>
          <w:lang w:eastAsia="en-IN"/>
        </w:rPr>
        <w:t>-1</w:t>
      </w:r>
      <w:r w:rsidRPr="00A85C5A">
        <w:rPr>
          <w:rFonts w:eastAsia="AdvTimes"/>
          <w:bCs/>
          <w:lang w:eastAsia="en-IN"/>
        </w:rPr>
        <w:t xml:space="preserve">: </w:t>
      </w:r>
      <w:r w:rsidRPr="00A85C5A">
        <w:rPr>
          <w:lang w:eastAsia="en-US"/>
        </w:rPr>
        <w:t xml:space="preserve">1593 (H-C=N-), </w:t>
      </w:r>
      <w:r w:rsidRPr="00A85C5A">
        <w:rPr>
          <w:bCs/>
          <w:lang w:eastAsia="en-US"/>
        </w:rPr>
        <w:t xml:space="preserve">1518 </w:t>
      </w:r>
      <w:r w:rsidRPr="00A85C5A">
        <w:rPr>
          <w:lang w:eastAsia="en-US"/>
        </w:rPr>
        <w:t>(H-C=N-phen</w:t>
      </w:r>
      <w:r w:rsidRPr="00A85C5A">
        <w:rPr>
          <w:bCs/>
          <w:lang w:eastAsia="en-US"/>
        </w:rPr>
        <w:t>)</w:t>
      </w:r>
      <w:r w:rsidRPr="00A85C5A">
        <w:rPr>
          <w:lang w:eastAsia="en-US"/>
        </w:rPr>
        <w:t>,</w:t>
      </w:r>
      <w:r w:rsidRPr="00A85C5A">
        <w:rPr>
          <w:bCs/>
          <w:lang w:eastAsia="en-US"/>
        </w:rPr>
        <w:t xml:space="preserve"> </w:t>
      </w:r>
      <w:r w:rsidRPr="00A85C5A">
        <w:rPr>
          <w:lang w:eastAsia="en-US"/>
        </w:rPr>
        <w:t>1652, 1410 (Acetate C=O), 1445 (C=C)</w:t>
      </w:r>
      <w:r w:rsidRPr="00A85C5A">
        <w:rPr>
          <w:bCs/>
          <w:lang w:eastAsia="en-US"/>
        </w:rPr>
        <w:t>,</w:t>
      </w:r>
      <w:r w:rsidRPr="00A85C5A">
        <w:rPr>
          <w:lang w:eastAsia="en-US"/>
        </w:rPr>
        <w:t xml:space="preserve"> 1306 (</w:t>
      </w:r>
      <w:r w:rsidRPr="00A85C5A">
        <w:rPr>
          <w:rFonts w:eastAsia="AdvTimes"/>
          <w:lang w:eastAsia="en-IN"/>
        </w:rPr>
        <w:t>C-O</w:t>
      </w:r>
      <w:r w:rsidRPr="00A85C5A">
        <w:rPr>
          <w:rFonts w:eastAsia="AdvTimes"/>
          <w:vertAlign w:val="subscript"/>
          <w:lang w:eastAsia="en-IN"/>
        </w:rPr>
        <w:t>Ar</w:t>
      </w:r>
      <w:r w:rsidRPr="00A85C5A">
        <w:rPr>
          <w:lang w:eastAsia="en-US"/>
        </w:rPr>
        <w:t>), 1197, 1114 (</w:t>
      </w:r>
      <w:r w:rsidRPr="00A85C5A">
        <w:rPr>
          <w:rFonts w:eastAsia="AdvTimes"/>
          <w:lang w:eastAsia="en-IN"/>
        </w:rPr>
        <w:t>C-O</w:t>
      </w:r>
      <w:r w:rsidRPr="00A85C5A">
        <w:rPr>
          <w:lang w:eastAsia="en-US"/>
        </w:rPr>
        <w:t>), 1336 (</w:t>
      </w:r>
      <w:r w:rsidRPr="00A85C5A">
        <w:rPr>
          <w:rFonts w:eastAsia="AdvTimes"/>
          <w:lang w:eastAsia="en-IN"/>
        </w:rPr>
        <w:t>C-N-C</w:t>
      </w:r>
      <w:r w:rsidRPr="00A85C5A">
        <w:rPr>
          <w:lang w:eastAsia="en-US"/>
        </w:rPr>
        <w:t>), 3095 (</w:t>
      </w:r>
      <w:r w:rsidRPr="00A85C5A">
        <w:rPr>
          <w:rFonts w:eastAsia="AdvTimes"/>
          <w:lang w:eastAsia="en-IN"/>
        </w:rPr>
        <w:t>C-H</w:t>
      </w:r>
      <w:r w:rsidRPr="00A85C5A">
        <w:rPr>
          <w:rFonts w:eastAsia="AdvTimes"/>
          <w:vertAlign w:val="subscript"/>
          <w:lang w:eastAsia="en-IN"/>
        </w:rPr>
        <w:t>Ar</w:t>
      </w:r>
      <w:r w:rsidRPr="00A85C5A">
        <w:rPr>
          <w:lang w:eastAsia="en-US"/>
        </w:rPr>
        <w:t>), 2966 (</w:t>
      </w:r>
      <w:r w:rsidRPr="00A85C5A">
        <w:rPr>
          <w:rFonts w:eastAsia="AdvTimes"/>
          <w:lang w:eastAsia="en-IN"/>
        </w:rPr>
        <w:t>C-H</w:t>
      </w:r>
      <w:r w:rsidRPr="00A85C5A">
        <w:rPr>
          <w:lang w:eastAsia="en-US"/>
        </w:rPr>
        <w:t>), 2858 (</w:t>
      </w:r>
      <w:r w:rsidRPr="00A85C5A">
        <w:rPr>
          <w:rFonts w:eastAsia="AdvTimes"/>
          <w:lang w:eastAsia="en-IN"/>
        </w:rPr>
        <w:t>H-C=N-)</w:t>
      </w:r>
      <w:r w:rsidRPr="00A85C5A">
        <w:rPr>
          <w:lang w:eastAsia="en-US"/>
        </w:rPr>
        <w:t>, 3426, 854 (H-O-H), 512 (</w:t>
      </w:r>
      <w:r w:rsidRPr="00A85C5A">
        <w:rPr>
          <w:lang w:val="en-IN" w:eastAsia="en-US"/>
        </w:rPr>
        <w:t>M-O</w:t>
      </w:r>
      <w:r w:rsidRPr="00A85C5A">
        <w:rPr>
          <w:lang w:eastAsia="en-US"/>
        </w:rPr>
        <w:t>), 465 (</w:t>
      </w:r>
      <w:r w:rsidRPr="00A85C5A">
        <w:rPr>
          <w:lang w:val="en-IN" w:eastAsia="en-US"/>
        </w:rPr>
        <w:t>M-N</w:t>
      </w:r>
      <w:r w:rsidRPr="00A85C5A">
        <w:rPr>
          <w:lang w:eastAsia="en-US"/>
        </w:rPr>
        <w:t xml:space="preserve">). </w:t>
      </w:r>
      <w:r w:rsidRPr="00A85C5A">
        <w:rPr>
          <w:rFonts w:eastAsia="MS Mincho"/>
          <w:bCs/>
          <w:kern w:val="24"/>
          <w:lang w:eastAsia="en-US"/>
        </w:rPr>
        <w:t>Molar Conductance (10</w:t>
      </w:r>
      <w:r w:rsidRPr="00A85C5A">
        <w:rPr>
          <w:rFonts w:eastAsia="MS Mincho"/>
          <w:bCs/>
          <w:kern w:val="24"/>
          <w:vertAlign w:val="superscript"/>
          <w:lang w:eastAsia="en-US"/>
        </w:rPr>
        <w:t>3</w:t>
      </w:r>
      <w:r w:rsidRPr="00A85C5A">
        <w:rPr>
          <w:rFonts w:eastAsia="MS Mincho"/>
          <w:bCs/>
          <w:kern w:val="24"/>
          <w:lang w:eastAsia="en-US"/>
        </w:rPr>
        <w:t>µM)</w:t>
      </w:r>
      <w:r w:rsidRPr="00A85C5A">
        <w:rPr>
          <w:rFonts w:eastAsia="MS Mincho"/>
          <w:lang w:eastAsia="en-US"/>
        </w:rPr>
        <w:t xml:space="preserve">, Me-OH, </w:t>
      </w:r>
      <w:r w:rsidRPr="00A85C5A">
        <w:rPr>
          <w:rFonts w:eastAsia="MS Mincho"/>
          <w:bCs/>
          <w:kern w:val="24"/>
          <w:lang w:eastAsia="en-US"/>
        </w:rPr>
        <w:sym w:font="Symbol" w:char="F0D9"/>
      </w:r>
      <w:r w:rsidRPr="00A85C5A">
        <w:rPr>
          <w:rFonts w:eastAsia="MS Mincho"/>
          <w:bCs/>
          <w:kern w:val="24"/>
          <w:position w:val="-7"/>
          <w:lang w:eastAsia="en-US"/>
        </w:rPr>
        <w:t>m,</w:t>
      </w:r>
      <w:r w:rsidRPr="00A85C5A">
        <w:rPr>
          <w:rFonts w:eastAsia="MS Mincho"/>
          <w:bCs/>
          <w:kern w:val="24"/>
          <w:lang w:eastAsia="en-US"/>
        </w:rPr>
        <w:t xml:space="preserve"> ohm</w:t>
      </w:r>
      <w:r w:rsidRPr="00A85C5A">
        <w:rPr>
          <w:rFonts w:eastAsia="MS Mincho"/>
          <w:bCs/>
          <w:kern w:val="24"/>
          <w:position w:val="7"/>
          <w:vertAlign w:val="superscript"/>
          <w:lang w:eastAsia="en-US"/>
        </w:rPr>
        <w:t>-1</w:t>
      </w:r>
      <w:r w:rsidRPr="00A85C5A">
        <w:rPr>
          <w:rFonts w:eastAsia="MS Mincho"/>
          <w:bCs/>
          <w:kern w:val="24"/>
          <w:lang w:eastAsia="en-US"/>
        </w:rPr>
        <w:t>cm</w:t>
      </w:r>
      <w:r w:rsidRPr="00A85C5A">
        <w:rPr>
          <w:rFonts w:eastAsia="MS Mincho"/>
          <w:bCs/>
          <w:kern w:val="24"/>
          <w:position w:val="7"/>
          <w:lang w:eastAsia="en-US"/>
        </w:rPr>
        <w:t>2</w:t>
      </w:r>
      <w:r w:rsidRPr="00A85C5A">
        <w:rPr>
          <w:rFonts w:eastAsia="MS Mincho"/>
          <w:bCs/>
          <w:kern w:val="24"/>
          <w:position w:val="7"/>
          <w:vertAlign w:val="superscript"/>
          <w:lang w:eastAsia="en-US"/>
        </w:rPr>
        <w:t xml:space="preserve"> </w:t>
      </w:r>
      <w:r w:rsidRPr="00A85C5A">
        <w:rPr>
          <w:rFonts w:eastAsia="MS Mincho"/>
          <w:bCs/>
          <w:kern w:val="24"/>
          <w:lang w:eastAsia="en-US"/>
        </w:rPr>
        <w:t>mol</w:t>
      </w:r>
      <w:r w:rsidRPr="00A85C5A">
        <w:rPr>
          <w:rFonts w:eastAsia="MS Mincho"/>
          <w:bCs/>
          <w:kern w:val="24"/>
          <w:position w:val="7"/>
          <w:vertAlign w:val="superscript"/>
          <w:lang w:eastAsia="en-US"/>
        </w:rPr>
        <w:t>-1</w:t>
      </w:r>
      <w:r w:rsidRPr="00A85C5A">
        <w:rPr>
          <w:rFonts w:eastAsia="MS Mincho"/>
          <w:lang w:eastAsia="en-US"/>
        </w:rPr>
        <w:t>:  33.65</w:t>
      </w:r>
      <w:r w:rsidRPr="00A85C5A">
        <w:rPr>
          <w:bCs/>
          <w:lang w:eastAsia="en-US"/>
        </w:rPr>
        <w:t>.</w:t>
      </w:r>
      <w:r w:rsidRPr="00A85C5A">
        <w:rPr>
          <w:rFonts w:eastAsia="AdvTimes"/>
          <w:lang w:eastAsia="en-IN"/>
        </w:rPr>
        <w:t xml:space="preserve"> ESI-MS Mass (</w:t>
      </w:r>
      <w:r w:rsidRPr="00A85C5A">
        <w:rPr>
          <w:rFonts w:eastAsia="AdvTimes"/>
          <w:bCs/>
          <w:lang w:eastAsia="en-IN"/>
        </w:rPr>
        <w:t>m/z</w:t>
      </w:r>
      <w:r w:rsidRPr="00A85C5A">
        <w:rPr>
          <w:rFonts w:eastAsia="AdvTimes"/>
          <w:lang w:eastAsia="en-IN"/>
        </w:rPr>
        <w:t xml:space="preserve">), </w:t>
      </w:r>
      <w:r w:rsidRPr="00A85C5A">
        <w:rPr>
          <w:rFonts w:eastAsia="AdvTimes"/>
          <w:bCs/>
          <w:lang w:eastAsia="en-IN"/>
        </w:rPr>
        <w:t>Found:</w:t>
      </w:r>
      <w:r w:rsidRPr="00A85C5A">
        <w:rPr>
          <w:bCs/>
          <w:kern w:val="24"/>
          <w:lang w:eastAsia="en-US"/>
        </w:rPr>
        <w:t xml:space="preserve"> 527.98 </w:t>
      </w:r>
      <w:r w:rsidRPr="00A85C5A">
        <w:rPr>
          <w:rFonts w:eastAsia="MS Mincho"/>
          <w:bCs/>
          <w:kern w:val="24"/>
          <w:lang w:eastAsia="en-US"/>
        </w:rPr>
        <w:t>(</w:t>
      </w:r>
      <w:r w:rsidRPr="00A85C5A">
        <w:rPr>
          <w:rFonts w:eastAsia="AdvTimes"/>
          <w:bCs/>
          <w:lang w:eastAsia="en-IN"/>
        </w:rPr>
        <w:t>M+1</w:t>
      </w:r>
      <w:r w:rsidRPr="00A85C5A">
        <w:rPr>
          <w:rFonts w:eastAsia="MS Mincho"/>
          <w:bCs/>
          <w:kern w:val="24"/>
          <w:lang w:eastAsia="en-US"/>
        </w:rPr>
        <w:t>).</w:t>
      </w:r>
      <w:r w:rsidRPr="00A85C5A">
        <w:rPr>
          <w:bCs/>
          <w:iCs/>
          <w:lang w:eastAsia="en-US"/>
        </w:rPr>
        <w:t xml:space="preserve"> </w:t>
      </w:r>
      <w:r w:rsidRPr="00A85C5A">
        <w:rPr>
          <w:rFonts w:eastAsia="AdvTimes"/>
          <w:bCs/>
          <w:lang w:eastAsia="en-IN"/>
        </w:rPr>
        <w:t>Anal.Cacld (%) for</w:t>
      </w:r>
      <w:r w:rsidRPr="00A85C5A">
        <w:rPr>
          <w:bCs/>
          <w:kern w:val="24"/>
          <w:lang w:eastAsia="en-US"/>
        </w:rPr>
        <w:t xml:space="preserve"> MnC</w:t>
      </w:r>
      <w:r w:rsidRPr="00A85C5A">
        <w:rPr>
          <w:bCs/>
          <w:kern w:val="24"/>
          <w:vertAlign w:val="subscript"/>
          <w:lang w:eastAsia="en-US"/>
        </w:rPr>
        <w:t>27</w:t>
      </w:r>
      <w:r w:rsidRPr="00A85C5A">
        <w:rPr>
          <w:bCs/>
          <w:kern w:val="24"/>
          <w:lang w:eastAsia="en-US"/>
        </w:rPr>
        <w:t>H</w:t>
      </w:r>
      <w:r w:rsidRPr="00A85C5A">
        <w:rPr>
          <w:bCs/>
          <w:kern w:val="24"/>
          <w:vertAlign w:val="subscript"/>
          <w:lang w:eastAsia="en-US"/>
        </w:rPr>
        <w:t>36</w:t>
      </w:r>
      <w:r w:rsidRPr="00A85C5A">
        <w:rPr>
          <w:bCs/>
          <w:kern w:val="24"/>
          <w:lang w:eastAsia="en-US"/>
        </w:rPr>
        <w:t>N</w:t>
      </w:r>
      <w:r w:rsidRPr="00A85C5A">
        <w:rPr>
          <w:bCs/>
          <w:kern w:val="24"/>
          <w:vertAlign w:val="subscript"/>
          <w:lang w:eastAsia="en-US"/>
        </w:rPr>
        <w:t>4</w:t>
      </w:r>
      <w:r w:rsidRPr="00A85C5A">
        <w:rPr>
          <w:bCs/>
          <w:kern w:val="24"/>
          <w:lang w:eastAsia="en-US"/>
        </w:rPr>
        <w:t>O</w:t>
      </w:r>
      <w:r w:rsidRPr="00A85C5A">
        <w:rPr>
          <w:bCs/>
          <w:kern w:val="24"/>
          <w:vertAlign w:val="subscript"/>
          <w:lang w:eastAsia="en-US"/>
        </w:rPr>
        <w:t>8</w:t>
      </w:r>
      <w:r w:rsidRPr="00A85C5A">
        <w:rPr>
          <w:bCs/>
          <w:kern w:val="24"/>
          <w:lang w:eastAsia="en-US"/>
        </w:rPr>
        <w:t xml:space="preserve">: </w:t>
      </w:r>
      <w:r w:rsidRPr="00A85C5A">
        <w:rPr>
          <w:bCs/>
          <w:lang w:eastAsia="en-US"/>
        </w:rPr>
        <w:t>C, 54.09; H, 06.01; N, 09.44; Mn, 09.17.</w:t>
      </w:r>
      <w:r w:rsidRPr="00A85C5A">
        <w:rPr>
          <w:rFonts w:eastAsia="MS Mincho"/>
          <w:bCs/>
          <w:kern w:val="24"/>
          <w:lang w:eastAsia="en-US"/>
        </w:rPr>
        <w:t xml:space="preserve"> Found (%):</w:t>
      </w:r>
      <w:r w:rsidRPr="00A85C5A">
        <w:rPr>
          <w:bCs/>
          <w:lang w:eastAsia="en-US"/>
        </w:rPr>
        <w:t xml:space="preserve"> C, 54.64; H, 05.94; N, 09.37; Mn, 09.22. </w:t>
      </w:r>
    </w:p>
    <w:p w:rsidR="000D6F59" w:rsidRPr="00A85C5A" w:rsidRDefault="000D6F59" w:rsidP="000D6F59">
      <w:pPr>
        <w:kinsoku w:val="0"/>
        <w:overflowPunct w:val="0"/>
        <w:autoSpaceDE w:val="0"/>
        <w:autoSpaceDN w:val="0"/>
        <w:adjustRightInd w:val="0"/>
        <w:jc w:val="both"/>
        <w:textAlignment w:val="baseline"/>
        <w:rPr>
          <w:b/>
          <w:i/>
          <w:iCs/>
          <w:lang w:eastAsia="en-US"/>
        </w:rPr>
      </w:pPr>
    </w:p>
    <w:p w:rsidR="000D6F59" w:rsidRPr="00A85C5A" w:rsidRDefault="000D6F59" w:rsidP="000D6F59">
      <w:pPr>
        <w:kinsoku w:val="0"/>
        <w:overflowPunct w:val="0"/>
        <w:autoSpaceDE w:val="0"/>
        <w:autoSpaceDN w:val="0"/>
        <w:adjustRightInd w:val="0"/>
        <w:jc w:val="both"/>
        <w:textAlignment w:val="baseline"/>
        <w:rPr>
          <w:b/>
          <w:i/>
          <w:iCs/>
          <w:lang w:eastAsia="en-US"/>
        </w:rPr>
      </w:pPr>
      <w:r w:rsidRPr="00A85C5A">
        <w:rPr>
          <w:b/>
          <w:i/>
          <w:iCs/>
          <w:lang w:eastAsia="en-US"/>
        </w:rPr>
        <w:t>[Ni</w:t>
      </w:r>
      <w:r w:rsidRPr="00A85C5A">
        <w:rPr>
          <w:b/>
          <w:i/>
          <w:iCs/>
          <w:vertAlign w:val="superscript"/>
          <w:lang w:eastAsia="en-US"/>
        </w:rPr>
        <w:t>II</w:t>
      </w:r>
      <w:r w:rsidRPr="00A85C5A">
        <w:rPr>
          <w:b/>
          <w:i/>
          <w:iCs/>
          <w:lang w:eastAsia="en-US"/>
        </w:rPr>
        <w:t>(L)(phen)AcO].4H</w:t>
      </w:r>
      <w:r w:rsidRPr="00A85C5A">
        <w:rPr>
          <w:b/>
          <w:i/>
          <w:iCs/>
          <w:vertAlign w:val="subscript"/>
          <w:lang w:eastAsia="en-US"/>
        </w:rPr>
        <w:t>2</w:t>
      </w:r>
      <w:r w:rsidRPr="00A85C5A">
        <w:rPr>
          <w:b/>
          <w:i/>
          <w:iCs/>
          <w:lang w:eastAsia="en-US"/>
        </w:rPr>
        <w:t>O Complex (4)</w:t>
      </w:r>
    </w:p>
    <w:p w:rsidR="000D6F59" w:rsidRPr="00A85C5A" w:rsidRDefault="000D6F59" w:rsidP="000D6F59">
      <w:pPr>
        <w:kinsoku w:val="0"/>
        <w:overflowPunct w:val="0"/>
        <w:autoSpaceDE w:val="0"/>
        <w:autoSpaceDN w:val="0"/>
        <w:adjustRightInd w:val="0"/>
        <w:jc w:val="both"/>
        <w:textAlignment w:val="baseline"/>
        <w:rPr>
          <w:rFonts w:eastAsia="MS Mincho"/>
          <w:bCs/>
          <w:kern w:val="24"/>
          <w:lang w:eastAsia="en-US"/>
        </w:rPr>
      </w:pPr>
      <w:r w:rsidRPr="00A85C5A">
        <w:rPr>
          <w:bCs/>
          <w:lang w:eastAsia="en-US"/>
        </w:rPr>
        <w:t xml:space="preserve">Yield: 71.06 %, </w:t>
      </w:r>
      <w:r w:rsidRPr="00A85C5A">
        <w:rPr>
          <w:rFonts w:eastAsia="MS Mincho"/>
          <w:bCs/>
          <w:kern w:val="24"/>
          <w:lang w:eastAsia="en-US"/>
        </w:rPr>
        <w:t>dark green solid,</w:t>
      </w:r>
      <w:r w:rsidRPr="00A85C5A">
        <w:rPr>
          <w:bCs/>
          <w:lang w:eastAsia="en-US"/>
        </w:rPr>
        <w:t xml:space="preserve"> m.p. 95</w:t>
      </w:r>
      <w:r w:rsidRPr="00A85C5A">
        <w:rPr>
          <w:bCs/>
          <w:vertAlign w:val="superscript"/>
          <w:lang w:eastAsia="en-US"/>
        </w:rPr>
        <w:t xml:space="preserve"> </w:t>
      </w:r>
      <w:r w:rsidR="002E7415" w:rsidRPr="00A85C5A">
        <w:rPr>
          <w:rFonts w:ascii="Segoe UI Symbol" w:hAnsi="Segoe UI Symbol"/>
          <w:bCs/>
          <w:lang w:eastAsia="en-US"/>
        </w:rPr>
        <w:t>°</w:t>
      </w:r>
      <w:r w:rsidR="002E7415" w:rsidRPr="00A85C5A">
        <w:rPr>
          <w:bCs/>
          <w:lang w:eastAsia="en-US"/>
        </w:rPr>
        <w:t>C</w:t>
      </w:r>
      <w:r w:rsidRPr="00A85C5A">
        <w:rPr>
          <w:bCs/>
          <w:lang w:eastAsia="en-US"/>
        </w:rPr>
        <w:t xml:space="preserve">. </w:t>
      </w:r>
      <w:r w:rsidRPr="00A85C5A">
        <w:rPr>
          <w:rFonts w:eastAsia="AdvTimes"/>
          <w:bCs/>
          <w:lang w:eastAsia="en-IN"/>
        </w:rPr>
        <w:t xml:space="preserve">FTIR spectrum, KBr, </w:t>
      </w:r>
      <w:r w:rsidRPr="00A85C5A">
        <w:rPr>
          <w:lang w:eastAsia="en-US"/>
        </w:rPr>
        <w:t>ν</w:t>
      </w:r>
      <w:r w:rsidRPr="00A85C5A">
        <w:rPr>
          <w:rFonts w:eastAsia="AdvTimes"/>
          <w:bCs/>
          <w:lang w:eastAsia="en-IN"/>
        </w:rPr>
        <w:t>, cm</w:t>
      </w:r>
      <w:r w:rsidRPr="00A85C5A">
        <w:rPr>
          <w:rFonts w:eastAsia="AdvTimes"/>
          <w:bCs/>
          <w:vertAlign w:val="superscript"/>
          <w:lang w:eastAsia="en-IN"/>
        </w:rPr>
        <w:t>-1</w:t>
      </w:r>
      <w:r w:rsidRPr="00A85C5A">
        <w:rPr>
          <w:rFonts w:eastAsia="AdvTimes"/>
          <w:bCs/>
          <w:lang w:eastAsia="en-IN"/>
        </w:rPr>
        <w:t>:</w:t>
      </w:r>
      <w:r w:rsidRPr="00A85C5A">
        <w:rPr>
          <w:lang w:eastAsia="en-US"/>
        </w:rPr>
        <w:t>1588 (H-C=N-),</w:t>
      </w:r>
      <w:r w:rsidRPr="00A85C5A">
        <w:rPr>
          <w:bCs/>
          <w:lang w:eastAsia="en-US"/>
        </w:rPr>
        <w:t xml:space="preserve"> 1518 </w:t>
      </w:r>
      <w:r w:rsidRPr="00A85C5A">
        <w:rPr>
          <w:lang w:eastAsia="en-US"/>
        </w:rPr>
        <w:t>(H-C=N-phen</w:t>
      </w:r>
      <w:r w:rsidRPr="00A85C5A">
        <w:rPr>
          <w:bCs/>
          <w:lang w:eastAsia="en-US"/>
        </w:rPr>
        <w:t>)</w:t>
      </w:r>
      <w:r w:rsidRPr="00A85C5A">
        <w:rPr>
          <w:lang w:eastAsia="en-US"/>
        </w:rPr>
        <w:t>,</w:t>
      </w:r>
      <w:r w:rsidRPr="00A85C5A">
        <w:rPr>
          <w:bCs/>
          <w:lang w:eastAsia="en-US"/>
        </w:rPr>
        <w:t xml:space="preserve"> </w:t>
      </w:r>
      <w:r w:rsidRPr="00A85C5A">
        <w:rPr>
          <w:lang w:eastAsia="en-US"/>
        </w:rPr>
        <w:t>1644, 1414 (Acetate C=O), 1450 (C=C)</w:t>
      </w:r>
      <w:r w:rsidRPr="00A85C5A">
        <w:rPr>
          <w:bCs/>
          <w:lang w:eastAsia="en-US"/>
        </w:rPr>
        <w:t>,</w:t>
      </w:r>
      <w:r w:rsidRPr="00A85C5A">
        <w:rPr>
          <w:lang w:eastAsia="en-US"/>
        </w:rPr>
        <w:t xml:space="preserve"> 1305 (</w:t>
      </w:r>
      <w:r w:rsidRPr="00A85C5A">
        <w:rPr>
          <w:rFonts w:eastAsia="AdvTimes"/>
          <w:lang w:eastAsia="en-IN"/>
        </w:rPr>
        <w:t>C-O</w:t>
      </w:r>
      <w:r w:rsidRPr="00A85C5A">
        <w:rPr>
          <w:rFonts w:eastAsia="AdvTimes"/>
          <w:vertAlign w:val="subscript"/>
          <w:lang w:eastAsia="en-IN"/>
        </w:rPr>
        <w:t>Ar</w:t>
      </w:r>
      <w:r w:rsidRPr="00A85C5A">
        <w:rPr>
          <w:lang w:eastAsia="en-US"/>
        </w:rPr>
        <w:t>), 1193, 1112 (</w:t>
      </w:r>
      <w:r w:rsidRPr="00A85C5A">
        <w:rPr>
          <w:rFonts w:eastAsia="AdvTimes"/>
          <w:lang w:eastAsia="en-IN"/>
        </w:rPr>
        <w:t>C-O</w:t>
      </w:r>
      <w:r w:rsidRPr="00A85C5A">
        <w:rPr>
          <w:lang w:eastAsia="en-US"/>
        </w:rPr>
        <w:t>), 1334 (</w:t>
      </w:r>
      <w:r w:rsidRPr="00A85C5A">
        <w:rPr>
          <w:rFonts w:eastAsia="AdvTimes"/>
          <w:lang w:eastAsia="en-IN"/>
        </w:rPr>
        <w:t>C-N-C</w:t>
      </w:r>
      <w:r w:rsidRPr="00A85C5A">
        <w:rPr>
          <w:lang w:eastAsia="en-US"/>
        </w:rPr>
        <w:t>), 3099 (</w:t>
      </w:r>
      <w:r w:rsidRPr="00A85C5A">
        <w:rPr>
          <w:rFonts w:eastAsia="AdvTimes"/>
          <w:lang w:eastAsia="en-IN"/>
        </w:rPr>
        <w:t>C-H</w:t>
      </w:r>
      <w:r w:rsidRPr="00A85C5A">
        <w:rPr>
          <w:rFonts w:eastAsia="AdvTimes"/>
          <w:vertAlign w:val="subscript"/>
          <w:lang w:eastAsia="en-IN"/>
        </w:rPr>
        <w:t>Ar</w:t>
      </w:r>
      <w:r w:rsidRPr="00A85C5A">
        <w:rPr>
          <w:lang w:eastAsia="en-US"/>
        </w:rPr>
        <w:t>), 2966 (</w:t>
      </w:r>
      <w:r w:rsidRPr="00A85C5A">
        <w:rPr>
          <w:rFonts w:eastAsia="AdvTimes"/>
          <w:lang w:eastAsia="en-IN"/>
        </w:rPr>
        <w:t>C-H</w:t>
      </w:r>
      <w:r w:rsidRPr="00A85C5A">
        <w:rPr>
          <w:lang w:eastAsia="en-US"/>
        </w:rPr>
        <w:t>), 2871 (</w:t>
      </w:r>
      <w:r w:rsidRPr="00A85C5A">
        <w:rPr>
          <w:rFonts w:eastAsia="AdvTimes"/>
          <w:lang w:eastAsia="en-IN"/>
        </w:rPr>
        <w:t>H-C=N-)</w:t>
      </w:r>
      <w:r w:rsidRPr="00A85C5A">
        <w:rPr>
          <w:lang w:eastAsia="en-US"/>
        </w:rPr>
        <w:t xml:space="preserve">, 3433, 848 (H-O-H), </w:t>
      </w:r>
      <w:r w:rsidRPr="00A85C5A">
        <w:rPr>
          <w:rFonts w:eastAsia="AdvTimes"/>
          <w:lang w:eastAsia="en-IN"/>
        </w:rPr>
        <w:t xml:space="preserve"> </w:t>
      </w:r>
      <w:r w:rsidRPr="00A85C5A">
        <w:rPr>
          <w:lang w:eastAsia="en-US"/>
        </w:rPr>
        <w:t>518 (</w:t>
      </w:r>
      <w:r w:rsidRPr="00A85C5A">
        <w:rPr>
          <w:lang w:val="en-IN" w:eastAsia="en-US"/>
        </w:rPr>
        <w:t>M-O</w:t>
      </w:r>
      <w:r w:rsidRPr="00A85C5A">
        <w:rPr>
          <w:lang w:eastAsia="en-US"/>
        </w:rPr>
        <w:t>), 459 (</w:t>
      </w:r>
      <w:r w:rsidRPr="00A85C5A">
        <w:rPr>
          <w:lang w:val="en-IN" w:eastAsia="en-US"/>
        </w:rPr>
        <w:t>M-N</w:t>
      </w:r>
      <w:r w:rsidRPr="00A85C5A">
        <w:rPr>
          <w:lang w:eastAsia="en-US"/>
        </w:rPr>
        <w:t xml:space="preserve">). </w:t>
      </w:r>
      <w:r w:rsidRPr="00A85C5A">
        <w:rPr>
          <w:rFonts w:eastAsia="AdvTimes"/>
          <w:bCs/>
          <w:lang w:eastAsia="en-IN"/>
        </w:rPr>
        <w:t>UV-Vis spectrum, Me-OH, λ</w:t>
      </w:r>
      <w:r w:rsidRPr="00A85C5A">
        <w:rPr>
          <w:rFonts w:eastAsia="AdvTimes"/>
          <w:bCs/>
          <w:vertAlign w:val="subscript"/>
          <w:lang w:eastAsia="en-IN"/>
        </w:rPr>
        <w:t>max</w:t>
      </w:r>
      <w:r w:rsidRPr="00A85C5A">
        <w:rPr>
          <w:rFonts w:eastAsia="AdvTimes"/>
          <w:bCs/>
          <w:lang w:eastAsia="en-IN"/>
        </w:rPr>
        <w:t>, nm (cm</w:t>
      </w:r>
      <w:r w:rsidRPr="00A85C5A">
        <w:rPr>
          <w:rFonts w:eastAsia="AdvTimes"/>
          <w:bCs/>
          <w:vertAlign w:val="superscript"/>
          <w:lang w:eastAsia="en-IN"/>
        </w:rPr>
        <w:t>-1</w:t>
      </w:r>
      <w:r w:rsidRPr="00A85C5A">
        <w:rPr>
          <w:rFonts w:eastAsia="AdvTimes"/>
          <w:bCs/>
          <w:lang w:eastAsia="en-IN"/>
        </w:rPr>
        <w:t xml:space="preserve">): </w:t>
      </w:r>
      <w:r w:rsidRPr="00A85C5A">
        <w:rPr>
          <w:rFonts w:eastAsia="MS Mincho"/>
          <w:lang w:eastAsia="en-US"/>
        </w:rPr>
        <w:t>910 (</w:t>
      </w:r>
      <w:r w:rsidRPr="00A85C5A">
        <w:rPr>
          <w:lang w:eastAsia="en-US"/>
        </w:rPr>
        <w:t>10,989</w:t>
      </w:r>
      <w:r w:rsidRPr="00A85C5A">
        <w:rPr>
          <w:rFonts w:eastAsia="MS Mincho"/>
          <w:lang w:eastAsia="en-US"/>
        </w:rPr>
        <w:t xml:space="preserve">), </w:t>
      </w:r>
      <w:r w:rsidRPr="00A85C5A">
        <w:rPr>
          <w:lang w:eastAsia="en-US"/>
        </w:rPr>
        <w:t>560</w:t>
      </w:r>
      <w:r w:rsidRPr="00A85C5A">
        <w:rPr>
          <w:rFonts w:eastAsia="MS Mincho"/>
          <w:lang w:eastAsia="en-US"/>
        </w:rPr>
        <w:t xml:space="preserve"> (</w:t>
      </w:r>
      <w:r w:rsidRPr="00A85C5A">
        <w:rPr>
          <w:lang w:eastAsia="en-US"/>
        </w:rPr>
        <w:t>17,857</w:t>
      </w:r>
      <w:r w:rsidRPr="00A85C5A">
        <w:rPr>
          <w:rFonts w:eastAsia="MS Mincho"/>
          <w:lang w:eastAsia="en-US"/>
        </w:rPr>
        <w:t xml:space="preserve">), </w:t>
      </w:r>
      <w:r w:rsidRPr="00A85C5A">
        <w:rPr>
          <w:lang w:eastAsia="en-US"/>
        </w:rPr>
        <w:t>417</w:t>
      </w:r>
      <w:r w:rsidRPr="00A85C5A">
        <w:rPr>
          <w:rFonts w:eastAsia="MS Mincho"/>
          <w:lang w:eastAsia="en-US"/>
        </w:rPr>
        <w:t xml:space="preserve"> (</w:t>
      </w:r>
      <w:r w:rsidRPr="00A85C5A">
        <w:rPr>
          <w:lang w:eastAsia="en-US"/>
        </w:rPr>
        <w:t>23,980</w:t>
      </w:r>
      <w:r w:rsidRPr="00A85C5A">
        <w:rPr>
          <w:rFonts w:eastAsia="MS Mincho"/>
          <w:lang w:eastAsia="en-US"/>
        </w:rPr>
        <w:t xml:space="preserve">). </w:t>
      </w:r>
      <w:r w:rsidRPr="00A85C5A">
        <w:rPr>
          <w:rFonts w:eastAsia="MS Mincho"/>
          <w:bCs/>
          <w:kern w:val="24"/>
          <w:lang w:eastAsia="en-US"/>
        </w:rPr>
        <w:t>Molar Conductance (10</w:t>
      </w:r>
      <w:r w:rsidRPr="00A85C5A">
        <w:rPr>
          <w:rFonts w:eastAsia="MS Mincho"/>
          <w:bCs/>
          <w:kern w:val="24"/>
          <w:vertAlign w:val="superscript"/>
          <w:lang w:eastAsia="en-US"/>
        </w:rPr>
        <w:t>3</w:t>
      </w:r>
      <w:r w:rsidRPr="00A85C5A">
        <w:rPr>
          <w:rFonts w:eastAsia="MS Mincho"/>
          <w:bCs/>
          <w:kern w:val="24"/>
          <w:lang w:eastAsia="en-US"/>
        </w:rPr>
        <w:t>µM)</w:t>
      </w:r>
      <w:r w:rsidRPr="00A85C5A">
        <w:rPr>
          <w:rFonts w:eastAsia="MS Mincho"/>
          <w:lang w:eastAsia="en-US"/>
        </w:rPr>
        <w:t xml:space="preserve">, Me-OH, </w:t>
      </w:r>
      <w:r w:rsidRPr="00A85C5A">
        <w:rPr>
          <w:rFonts w:eastAsia="MS Mincho"/>
          <w:bCs/>
          <w:kern w:val="24"/>
          <w:lang w:eastAsia="en-US"/>
        </w:rPr>
        <w:sym w:font="Symbol" w:char="F0D9"/>
      </w:r>
      <w:r w:rsidRPr="00A85C5A">
        <w:rPr>
          <w:rFonts w:eastAsia="MS Mincho"/>
          <w:bCs/>
          <w:kern w:val="24"/>
          <w:position w:val="-7"/>
          <w:lang w:eastAsia="en-US"/>
        </w:rPr>
        <w:t>m,</w:t>
      </w:r>
      <w:r w:rsidRPr="00A85C5A">
        <w:rPr>
          <w:rFonts w:eastAsia="MS Mincho"/>
          <w:bCs/>
          <w:kern w:val="24"/>
          <w:lang w:eastAsia="en-US"/>
        </w:rPr>
        <w:t xml:space="preserve"> ohm</w:t>
      </w:r>
      <w:r w:rsidRPr="00A85C5A">
        <w:rPr>
          <w:rFonts w:eastAsia="MS Mincho"/>
          <w:bCs/>
          <w:kern w:val="24"/>
          <w:position w:val="7"/>
          <w:vertAlign w:val="superscript"/>
          <w:lang w:eastAsia="en-US"/>
        </w:rPr>
        <w:t>-1</w:t>
      </w:r>
      <w:r w:rsidRPr="00A85C5A">
        <w:rPr>
          <w:rFonts w:eastAsia="MS Mincho"/>
          <w:bCs/>
          <w:kern w:val="24"/>
          <w:lang w:eastAsia="en-US"/>
        </w:rPr>
        <w:t>cm</w:t>
      </w:r>
      <w:r w:rsidRPr="00A85C5A">
        <w:rPr>
          <w:rFonts w:eastAsia="MS Mincho"/>
          <w:bCs/>
          <w:kern w:val="24"/>
          <w:position w:val="7"/>
          <w:lang w:eastAsia="en-US"/>
        </w:rPr>
        <w:t>2</w:t>
      </w:r>
      <w:r w:rsidRPr="00A85C5A">
        <w:rPr>
          <w:rFonts w:eastAsia="MS Mincho"/>
          <w:bCs/>
          <w:kern w:val="24"/>
          <w:position w:val="7"/>
          <w:vertAlign w:val="superscript"/>
          <w:lang w:eastAsia="en-US"/>
        </w:rPr>
        <w:t xml:space="preserve"> </w:t>
      </w:r>
      <w:r w:rsidRPr="00A85C5A">
        <w:rPr>
          <w:rFonts w:eastAsia="MS Mincho"/>
          <w:bCs/>
          <w:kern w:val="24"/>
          <w:lang w:eastAsia="en-US"/>
        </w:rPr>
        <w:t>mol</w:t>
      </w:r>
      <w:r w:rsidRPr="00A85C5A">
        <w:rPr>
          <w:rFonts w:eastAsia="MS Mincho"/>
          <w:bCs/>
          <w:kern w:val="24"/>
          <w:position w:val="7"/>
          <w:vertAlign w:val="superscript"/>
          <w:lang w:eastAsia="en-US"/>
        </w:rPr>
        <w:t>-1</w:t>
      </w:r>
      <w:r w:rsidRPr="00A85C5A">
        <w:rPr>
          <w:rFonts w:eastAsia="MS Mincho"/>
          <w:lang w:eastAsia="en-US"/>
        </w:rPr>
        <w:t>: 37.89.</w:t>
      </w:r>
      <w:r w:rsidRPr="00A85C5A">
        <w:rPr>
          <w:bCs/>
          <w:lang w:eastAsia="en-US"/>
        </w:rPr>
        <w:t xml:space="preserve"> µ</w:t>
      </w:r>
      <w:r w:rsidRPr="00A85C5A">
        <w:rPr>
          <w:bCs/>
          <w:vertAlign w:val="subscript"/>
          <w:lang w:eastAsia="en-US"/>
        </w:rPr>
        <w:t>eff</w:t>
      </w:r>
      <w:r w:rsidRPr="00A85C5A">
        <w:rPr>
          <w:bCs/>
          <w:lang w:eastAsia="en-US"/>
        </w:rPr>
        <w:t xml:space="preserve">, </w:t>
      </w:r>
      <w:r w:rsidRPr="00A85C5A">
        <w:rPr>
          <w:rFonts w:eastAsia="MS Mincho"/>
          <w:lang w:eastAsia="en-US"/>
        </w:rPr>
        <w:t>BM</w:t>
      </w:r>
      <w:r w:rsidRPr="00A85C5A">
        <w:rPr>
          <w:bCs/>
          <w:lang w:eastAsia="en-US"/>
        </w:rPr>
        <w:t xml:space="preserve">: 3.18. </w:t>
      </w:r>
      <w:r w:rsidRPr="00A85C5A">
        <w:rPr>
          <w:rFonts w:eastAsia="AdvTimes"/>
          <w:lang w:eastAsia="en-IN"/>
        </w:rPr>
        <w:t>ESI-MS Mass (</w:t>
      </w:r>
      <w:r w:rsidRPr="00A85C5A">
        <w:rPr>
          <w:rFonts w:eastAsia="AdvTimes"/>
          <w:bCs/>
          <w:lang w:eastAsia="en-IN"/>
        </w:rPr>
        <w:t>m/z</w:t>
      </w:r>
      <w:r w:rsidRPr="00A85C5A">
        <w:rPr>
          <w:rFonts w:eastAsia="AdvTimes"/>
          <w:lang w:eastAsia="en-IN"/>
        </w:rPr>
        <w:t xml:space="preserve">), </w:t>
      </w:r>
      <w:r w:rsidRPr="00A85C5A">
        <w:rPr>
          <w:rFonts w:eastAsia="AdvTimes"/>
          <w:bCs/>
          <w:lang w:eastAsia="en-IN"/>
        </w:rPr>
        <w:t>Found:</w:t>
      </w:r>
      <w:r w:rsidRPr="00A85C5A">
        <w:rPr>
          <w:bCs/>
          <w:kern w:val="24"/>
          <w:lang w:eastAsia="en-US"/>
        </w:rPr>
        <w:t xml:space="preserve"> 531.73 </w:t>
      </w:r>
      <w:r w:rsidRPr="00A85C5A">
        <w:rPr>
          <w:rFonts w:eastAsia="MS Mincho"/>
          <w:bCs/>
          <w:kern w:val="24"/>
          <w:lang w:eastAsia="en-US"/>
        </w:rPr>
        <w:t>(</w:t>
      </w:r>
      <w:r w:rsidRPr="00A85C5A">
        <w:rPr>
          <w:rFonts w:eastAsia="AdvTimes"/>
          <w:bCs/>
          <w:lang w:eastAsia="en-IN"/>
        </w:rPr>
        <w:t>M+1</w:t>
      </w:r>
      <w:r w:rsidRPr="00A85C5A">
        <w:rPr>
          <w:rFonts w:eastAsia="MS Mincho"/>
          <w:bCs/>
          <w:kern w:val="24"/>
          <w:lang w:eastAsia="en-US"/>
        </w:rPr>
        <w:t>).</w:t>
      </w:r>
      <w:r w:rsidRPr="00A85C5A">
        <w:rPr>
          <w:bCs/>
          <w:iCs/>
          <w:lang w:eastAsia="en-US"/>
        </w:rPr>
        <w:t xml:space="preserve"> </w:t>
      </w:r>
      <w:r w:rsidRPr="00A85C5A">
        <w:rPr>
          <w:rFonts w:eastAsia="AdvTimes"/>
          <w:bCs/>
          <w:lang w:eastAsia="en-IN"/>
        </w:rPr>
        <w:t>Anal.Cacld (%) for</w:t>
      </w:r>
      <w:r w:rsidRPr="00A85C5A">
        <w:rPr>
          <w:bCs/>
          <w:kern w:val="24"/>
          <w:lang w:eastAsia="en-US"/>
        </w:rPr>
        <w:t xml:space="preserve"> NiC</w:t>
      </w:r>
      <w:r w:rsidRPr="00A85C5A">
        <w:rPr>
          <w:bCs/>
          <w:kern w:val="24"/>
          <w:vertAlign w:val="subscript"/>
          <w:lang w:eastAsia="en-US"/>
        </w:rPr>
        <w:t>27</w:t>
      </w:r>
      <w:r w:rsidRPr="00A85C5A">
        <w:rPr>
          <w:bCs/>
          <w:kern w:val="24"/>
          <w:lang w:eastAsia="en-US"/>
        </w:rPr>
        <w:t>H</w:t>
      </w:r>
      <w:r w:rsidRPr="00A85C5A">
        <w:rPr>
          <w:bCs/>
          <w:kern w:val="24"/>
          <w:vertAlign w:val="subscript"/>
          <w:lang w:eastAsia="en-US"/>
        </w:rPr>
        <w:t>36</w:t>
      </w:r>
      <w:r w:rsidRPr="00A85C5A">
        <w:rPr>
          <w:bCs/>
          <w:kern w:val="24"/>
          <w:lang w:eastAsia="en-US"/>
        </w:rPr>
        <w:t>N</w:t>
      </w:r>
      <w:r w:rsidRPr="00A85C5A">
        <w:rPr>
          <w:bCs/>
          <w:kern w:val="24"/>
          <w:vertAlign w:val="subscript"/>
          <w:lang w:eastAsia="en-US"/>
        </w:rPr>
        <w:t>4</w:t>
      </w:r>
      <w:r w:rsidRPr="00A85C5A">
        <w:rPr>
          <w:bCs/>
          <w:kern w:val="24"/>
          <w:lang w:eastAsia="en-US"/>
        </w:rPr>
        <w:t>O</w:t>
      </w:r>
      <w:r w:rsidRPr="00A85C5A">
        <w:rPr>
          <w:bCs/>
          <w:kern w:val="24"/>
          <w:vertAlign w:val="subscript"/>
          <w:lang w:eastAsia="en-US"/>
        </w:rPr>
        <w:t>8</w:t>
      </w:r>
      <w:r w:rsidRPr="00A85C5A">
        <w:rPr>
          <w:bCs/>
          <w:kern w:val="24"/>
          <w:lang w:eastAsia="en-US"/>
        </w:rPr>
        <w:t xml:space="preserve">: </w:t>
      </w:r>
      <w:r w:rsidRPr="00A85C5A">
        <w:rPr>
          <w:bCs/>
          <w:lang w:eastAsia="en-US"/>
        </w:rPr>
        <w:t xml:space="preserve">C, 53.75; H, 05.97; N, 09.29; Ni, 09.73. </w:t>
      </w:r>
      <w:r w:rsidRPr="00A85C5A">
        <w:rPr>
          <w:rFonts w:eastAsia="MS Mincho"/>
          <w:bCs/>
          <w:kern w:val="24"/>
          <w:lang w:eastAsia="en-US"/>
        </w:rPr>
        <w:t>Found (%):</w:t>
      </w:r>
      <w:r w:rsidRPr="00A85C5A">
        <w:rPr>
          <w:bCs/>
          <w:lang w:eastAsia="en-US"/>
        </w:rPr>
        <w:t xml:space="preserve"> C, 54.03; H, 05.81; N, 09.25; Ni, 10.67.</w:t>
      </w:r>
      <w:r w:rsidRPr="00A85C5A">
        <w:rPr>
          <w:rFonts w:eastAsia="MS Mincho"/>
          <w:bCs/>
          <w:kern w:val="24"/>
          <w:lang w:eastAsia="en-US"/>
        </w:rPr>
        <w:t xml:space="preserve"> </w:t>
      </w:r>
    </w:p>
    <w:p w:rsidR="000D6F59" w:rsidRPr="00A85C5A" w:rsidRDefault="000D6F59" w:rsidP="000D6F59">
      <w:pPr>
        <w:overflowPunct w:val="0"/>
        <w:autoSpaceDE w:val="0"/>
        <w:autoSpaceDN w:val="0"/>
        <w:adjustRightInd w:val="0"/>
        <w:jc w:val="both"/>
        <w:textAlignment w:val="baseline"/>
        <w:rPr>
          <w:b/>
          <w:i/>
          <w:iCs/>
          <w:lang w:eastAsia="en-US"/>
        </w:rPr>
      </w:pPr>
    </w:p>
    <w:p w:rsidR="000D6F59" w:rsidRPr="00A85C5A" w:rsidRDefault="000D6F59" w:rsidP="000D6F59">
      <w:pPr>
        <w:overflowPunct w:val="0"/>
        <w:autoSpaceDE w:val="0"/>
        <w:autoSpaceDN w:val="0"/>
        <w:adjustRightInd w:val="0"/>
        <w:jc w:val="both"/>
        <w:textAlignment w:val="baseline"/>
        <w:rPr>
          <w:b/>
          <w:i/>
          <w:iCs/>
          <w:lang w:eastAsia="en-US"/>
        </w:rPr>
      </w:pPr>
      <w:r w:rsidRPr="00A85C5A">
        <w:rPr>
          <w:b/>
          <w:i/>
          <w:iCs/>
          <w:lang w:eastAsia="en-US"/>
        </w:rPr>
        <w:t>[Zn</w:t>
      </w:r>
      <w:r w:rsidRPr="00A85C5A">
        <w:rPr>
          <w:b/>
          <w:i/>
          <w:iCs/>
          <w:vertAlign w:val="superscript"/>
          <w:lang w:eastAsia="en-US"/>
        </w:rPr>
        <w:t>II</w:t>
      </w:r>
      <w:r w:rsidRPr="00A85C5A">
        <w:rPr>
          <w:b/>
          <w:i/>
          <w:iCs/>
          <w:lang w:eastAsia="en-US"/>
        </w:rPr>
        <w:t>(L)(phen)AcO].2H</w:t>
      </w:r>
      <w:r w:rsidRPr="00A85C5A">
        <w:rPr>
          <w:b/>
          <w:i/>
          <w:iCs/>
          <w:vertAlign w:val="subscript"/>
          <w:lang w:eastAsia="en-US"/>
        </w:rPr>
        <w:t>2</w:t>
      </w:r>
      <w:r w:rsidRPr="00A85C5A">
        <w:rPr>
          <w:b/>
          <w:i/>
          <w:iCs/>
          <w:lang w:eastAsia="en-US"/>
        </w:rPr>
        <w:t>O Complex (5)</w:t>
      </w:r>
    </w:p>
    <w:p w:rsidR="000D6F59" w:rsidRPr="00A85C5A" w:rsidRDefault="000D6F59" w:rsidP="000D6F59">
      <w:pPr>
        <w:overflowPunct w:val="0"/>
        <w:autoSpaceDE w:val="0"/>
        <w:autoSpaceDN w:val="0"/>
        <w:adjustRightInd w:val="0"/>
        <w:jc w:val="both"/>
        <w:textAlignment w:val="baseline"/>
        <w:rPr>
          <w:bCs/>
          <w:lang w:eastAsia="en-US"/>
        </w:rPr>
      </w:pPr>
      <w:r w:rsidRPr="00A85C5A">
        <w:rPr>
          <w:bCs/>
          <w:lang w:eastAsia="en-US"/>
        </w:rPr>
        <w:t xml:space="preserve">Yield: 77.86 %, </w:t>
      </w:r>
      <w:r w:rsidRPr="00A85C5A">
        <w:rPr>
          <w:rFonts w:eastAsia="MS Mincho"/>
          <w:bCs/>
          <w:kern w:val="24"/>
          <w:lang w:eastAsia="en-US"/>
        </w:rPr>
        <w:t>pale brown solid,</w:t>
      </w:r>
      <w:r w:rsidRPr="00A85C5A">
        <w:rPr>
          <w:bCs/>
          <w:lang w:eastAsia="en-US"/>
        </w:rPr>
        <w:t xml:space="preserve"> m.p.70</w:t>
      </w:r>
      <w:r w:rsidRPr="00A85C5A">
        <w:rPr>
          <w:bCs/>
          <w:vertAlign w:val="superscript"/>
          <w:lang w:eastAsia="en-US"/>
        </w:rPr>
        <w:t xml:space="preserve"> </w:t>
      </w:r>
      <w:r w:rsidR="00441C44" w:rsidRPr="00A85C5A">
        <w:rPr>
          <w:rFonts w:ascii="Segoe UI Symbol" w:hAnsi="Segoe UI Symbol"/>
          <w:bCs/>
          <w:lang w:eastAsia="en-US"/>
        </w:rPr>
        <w:t>°</w:t>
      </w:r>
      <w:r w:rsidR="00441C44" w:rsidRPr="00A85C5A">
        <w:rPr>
          <w:bCs/>
          <w:lang w:eastAsia="en-US"/>
        </w:rPr>
        <w:t>C</w:t>
      </w:r>
      <w:r w:rsidRPr="00A85C5A">
        <w:rPr>
          <w:bCs/>
          <w:lang w:eastAsia="en-US"/>
        </w:rPr>
        <w:t xml:space="preserve">.  </w:t>
      </w:r>
      <w:r w:rsidRPr="00A85C5A">
        <w:rPr>
          <w:rFonts w:eastAsia="AdvTimes"/>
          <w:bCs/>
          <w:lang w:eastAsia="en-IN"/>
        </w:rPr>
        <w:t xml:space="preserve">FT-IR spectrum, KBr, </w:t>
      </w:r>
      <w:r w:rsidRPr="00A85C5A">
        <w:rPr>
          <w:lang w:eastAsia="en-US"/>
        </w:rPr>
        <w:t>ν</w:t>
      </w:r>
      <w:r w:rsidRPr="00A85C5A">
        <w:rPr>
          <w:rFonts w:eastAsia="AdvTimes"/>
          <w:bCs/>
          <w:lang w:eastAsia="en-IN"/>
        </w:rPr>
        <w:t>, cm</w:t>
      </w:r>
      <w:r w:rsidRPr="00A85C5A">
        <w:rPr>
          <w:rFonts w:eastAsia="AdvTimes"/>
          <w:bCs/>
          <w:vertAlign w:val="superscript"/>
          <w:lang w:eastAsia="en-IN"/>
        </w:rPr>
        <w:t>-1</w:t>
      </w:r>
      <w:r w:rsidRPr="00A85C5A">
        <w:rPr>
          <w:rFonts w:eastAsia="AdvTimes"/>
          <w:bCs/>
          <w:lang w:eastAsia="en-IN"/>
        </w:rPr>
        <w:t xml:space="preserve">: </w:t>
      </w:r>
      <w:r w:rsidRPr="00A85C5A">
        <w:rPr>
          <w:lang w:eastAsia="en-US"/>
        </w:rPr>
        <w:t>1582 (H-C=N-),</w:t>
      </w:r>
      <w:r w:rsidRPr="00A85C5A">
        <w:rPr>
          <w:bCs/>
          <w:lang w:eastAsia="en-US"/>
        </w:rPr>
        <w:t xml:space="preserve"> 1515 </w:t>
      </w:r>
      <w:r w:rsidRPr="00A85C5A">
        <w:rPr>
          <w:lang w:eastAsia="en-US"/>
        </w:rPr>
        <w:t>(H-C=N-phen</w:t>
      </w:r>
      <w:r w:rsidRPr="00A85C5A">
        <w:rPr>
          <w:bCs/>
          <w:lang w:eastAsia="en-US"/>
        </w:rPr>
        <w:t>)</w:t>
      </w:r>
      <w:r w:rsidRPr="00A85C5A">
        <w:rPr>
          <w:lang w:eastAsia="en-US"/>
        </w:rPr>
        <w:t>,</w:t>
      </w:r>
      <w:r w:rsidRPr="00A85C5A">
        <w:rPr>
          <w:bCs/>
          <w:lang w:eastAsia="en-US"/>
        </w:rPr>
        <w:t xml:space="preserve"> </w:t>
      </w:r>
      <w:r w:rsidRPr="00A85C5A">
        <w:rPr>
          <w:lang w:eastAsia="en-US"/>
        </w:rPr>
        <w:t>1644,1416 (Acetate C=O), 1446 (C=C)</w:t>
      </w:r>
      <w:r w:rsidRPr="00A85C5A">
        <w:rPr>
          <w:bCs/>
          <w:lang w:eastAsia="en-US"/>
        </w:rPr>
        <w:t>,</w:t>
      </w:r>
      <w:r w:rsidRPr="00A85C5A">
        <w:rPr>
          <w:lang w:eastAsia="en-US"/>
        </w:rPr>
        <w:t xml:space="preserve"> 1310 (</w:t>
      </w:r>
      <w:r w:rsidRPr="00A85C5A">
        <w:rPr>
          <w:rFonts w:eastAsia="AdvTimes"/>
          <w:lang w:eastAsia="en-IN"/>
        </w:rPr>
        <w:t>C-O</w:t>
      </w:r>
      <w:r w:rsidRPr="00A85C5A">
        <w:rPr>
          <w:rFonts w:eastAsia="AdvTimes"/>
          <w:vertAlign w:val="subscript"/>
          <w:lang w:eastAsia="en-IN"/>
        </w:rPr>
        <w:t>Ar</w:t>
      </w:r>
      <w:r w:rsidRPr="00A85C5A">
        <w:rPr>
          <w:lang w:eastAsia="en-US"/>
        </w:rPr>
        <w:t>), 1193, 1114 (</w:t>
      </w:r>
      <w:r w:rsidRPr="00A85C5A">
        <w:rPr>
          <w:rFonts w:eastAsia="AdvTimes"/>
          <w:lang w:eastAsia="en-IN"/>
        </w:rPr>
        <w:t>C-O</w:t>
      </w:r>
      <w:r w:rsidRPr="00A85C5A">
        <w:rPr>
          <w:lang w:eastAsia="en-US"/>
        </w:rPr>
        <w:t>), 1330 (</w:t>
      </w:r>
      <w:r w:rsidRPr="00A85C5A">
        <w:rPr>
          <w:rFonts w:eastAsia="AdvTimes"/>
          <w:lang w:eastAsia="en-IN"/>
        </w:rPr>
        <w:t>C-N-C</w:t>
      </w:r>
      <w:r w:rsidRPr="00A85C5A">
        <w:rPr>
          <w:lang w:eastAsia="en-US"/>
        </w:rPr>
        <w:t>), 3107 (</w:t>
      </w:r>
      <w:r w:rsidRPr="00A85C5A">
        <w:rPr>
          <w:rFonts w:eastAsia="AdvTimes"/>
          <w:lang w:eastAsia="en-IN"/>
        </w:rPr>
        <w:t>C-H</w:t>
      </w:r>
      <w:r w:rsidRPr="00A85C5A">
        <w:rPr>
          <w:rFonts w:eastAsia="AdvTimes"/>
          <w:vertAlign w:val="subscript"/>
          <w:lang w:eastAsia="en-IN"/>
        </w:rPr>
        <w:t>Ar</w:t>
      </w:r>
      <w:r w:rsidRPr="00A85C5A">
        <w:rPr>
          <w:lang w:eastAsia="en-US"/>
        </w:rPr>
        <w:t>), 2960 (</w:t>
      </w:r>
      <w:r w:rsidRPr="00A85C5A">
        <w:rPr>
          <w:rFonts w:eastAsia="AdvTimes"/>
          <w:lang w:eastAsia="en-IN"/>
        </w:rPr>
        <w:t>C-H</w:t>
      </w:r>
      <w:r w:rsidRPr="00A85C5A">
        <w:rPr>
          <w:lang w:eastAsia="en-US"/>
        </w:rPr>
        <w:t>), 2856 (</w:t>
      </w:r>
      <w:r w:rsidRPr="00A85C5A">
        <w:rPr>
          <w:rFonts w:eastAsia="AdvTimes"/>
          <w:lang w:eastAsia="en-IN"/>
        </w:rPr>
        <w:t>H-C=N-)</w:t>
      </w:r>
      <w:r w:rsidRPr="00A85C5A">
        <w:rPr>
          <w:lang w:eastAsia="en-US"/>
        </w:rPr>
        <w:t>, 3426, 848  (H-O-H)</w:t>
      </w:r>
      <w:r w:rsidRPr="00A85C5A">
        <w:rPr>
          <w:rFonts w:eastAsia="AdvTimes"/>
          <w:lang w:eastAsia="en-IN"/>
        </w:rPr>
        <w:t>,</w:t>
      </w:r>
      <w:r w:rsidRPr="00A85C5A">
        <w:rPr>
          <w:lang w:eastAsia="en-US"/>
        </w:rPr>
        <w:t xml:space="preserve"> 514 (</w:t>
      </w:r>
      <w:r w:rsidRPr="00A85C5A">
        <w:rPr>
          <w:lang w:val="en-IN" w:eastAsia="en-US"/>
        </w:rPr>
        <w:t>M-O</w:t>
      </w:r>
      <w:r w:rsidRPr="00A85C5A">
        <w:rPr>
          <w:lang w:eastAsia="en-US"/>
        </w:rPr>
        <w:t>), 470 (</w:t>
      </w:r>
      <w:r w:rsidRPr="00A85C5A">
        <w:rPr>
          <w:lang w:val="en-IN" w:eastAsia="en-US"/>
        </w:rPr>
        <w:t>M-N</w:t>
      </w:r>
      <w:r w:rsidRPr="00A85C5A">
        <w:rPr>
          <w:lang w:eastAsia="en-US"/>
        </w:rPr>
        <w:t xml:space="preserve">). </w:t>
      </w:r>
      <w:r w:rsidRPr="00A85C5A">
        <w:rPr>
          <w:rFonts w:eastAsia="AdvTimes"/>
          <w:bCs/>
          <w:vertAlign w:val="superscript"/>
          <w:lang w:eastAsia="en-IN"/>
        </w:rPr>
        <w:t>1</w:t>
      </w:r>
      <w:r w:rsidRPr="00A85C5A">
        <w:rPr>
          <w:rFonts w:eastAsia="AdvTimes"/>
          <w:bCs/>
          <w:lang w:eastAsia="en-IN"/>
        </w:rPr>
        <w:t>H NMR spectrum (300 MHz, CDCl</w:t>
      </w:r>
      <w:r w:rsidRPr="00A85C5A">
        <w:rPr>
          <w:rFonts w:eastAsia="AdvTimes"/>
          <w:bCs/>
          <w:vertAlign w:val="subscript"/>
          <w:lang w:eastAsia="en-IN"/>
        </w:rPr>
        <w:t>3</w:t>
      </w:r>
      <w:r w:rsidRPr="00A85C5A">
        <w:rPr>
          <w:rFonts w:eastAsia="AdvTimes"/>
          <w:bCs/>
          <w:lang w:eastAsia="en-IN"/>
        </w:rPr>
        <w:t xml:space="preserve">, δ / ppm): </w:t>
      </w:r>
      <w:r w:rsidRPr="00A85C5A">
        <w:rPr>
          <w:lang w:eastAsia="en-US"/>
        </w:rPr>
        <w:t xml:space="preserve">8.50 </w:t>
      </w:r>
      <w:r w:rsidRPr="00A85C5A">
        <w:rPr>
          <w:bCs/>
          <w:lang w:eastAsia="en-US"/>
        </w:rPr>
        <w:t xml:space="preserve">(1H, s, </w:t>
      </w:r>
      <w:r w:rsidRPr="00A85C5A">
        <w:rPr>
          <w:lang w:eastAsia="en-US"/>
        </w:rPr>
        <w:t>-HC=N-</w:t>
      </w:r>
      <w:r w:rsidRPr="00A85C5A">
        <w:rPr>
          <w:bCs/>
          <w:lang w:eastAsia="en-US"/>
        </w:rPr>
        <w:t>),</w:t>
      </w:r>
      <w:r w:rsidRPr="00A85C5A">
        <w:rPr>
          <w:lang w:eastAsia="en-US"/>
        </w:rPr>
        <w:t xml:space="preserve"> 9.27 (1H, s, H-C=N-phen),</w:t>
      </w:r>
      <w:r w:rsidRPr="00A85C5A">
        <w:rPr>
          <w:bCs/>
          <w:lang w:eastAsia="en-US"/>
        </w:rPr>
        <w:t xml:space="preserve"> </w:t>
      </w:r>
      <w:r w:rsidRPr="00A85C5A">
        <w:rPr>
          <w:lang w:eastAsia="en-US"/>
        </w:rPr>
        <w:t xml:space="preserve">6.88-7.88 </w:t>
      </w:r>
      <w:r w:rsidRPr="00A85C5A">
        <w:rPr>
          <w:bCs/>
          <w:lang w:eastAsia="en-US"/>
        </w:rPr>
        <w:t xml:space="preserve">(12H, m, </w:t>
      </w:r>
      <w:r w:rsidRPr="00A85C5A">
        <w:rPr>
          <w:rFonts w:eastAsia="AdvTimes"/>
          <w:lang w:eastAsia="en-IN"/>
        </w:rPr>
        <w:t>C-H</w:t>
      </w:r>
      <w:r w:rsidRPr="00A85C5A">
        <w:rPr>
          <w:rFonts w:eastAsia="AdvTimes"/>
          <w:vertAlign w:val="subscript"/>
          <w:lang w:eastAsia="en-IN"/>
        </w:rPr>
        <w:t>Ar</w:t>
      </w:r>
      <w:r w:rsidRPr="00A85C5A">
        <w:rPr>
          <w:bCs/>
          <w:lang w:eastAsia="en-US"/>
        </w:rPr>
        <w:t xml:space="preserve">), </w:t>
      </w:r>
      <w:r w:rsidRPr="00A85C5A">
        <w:rPr>
          <w:lang w:eastAsia="en-US"/>
        </w:rPr>
        <w:t>3.73 (4H, t, -O-</w:t>
      </w:r>
      <w:r w:rsidRPr="00A85C5A">
        <w:rPr>
          <w:lang w:eastAsia="en-US"/>
        </w:rPr>
        <w:lastRenderedPageBreak/>
        <w:t>CH</w:t>
      </w:r>
      <w:r w:rsidRPr="00A85C5A">
        <w:rPr>
          <w:vertAlign w:val="subscript"/>
          <w:lang w:eastAsia="en-US"/>
        </w:rPr>
        <w:t>2</w:t>
      </w:r>
      <w:r w:rsidRPr="00A85C5A">
        <w:rPr>
          <w:lang w:eastAsia="en-US"/>
        </w:rPr>
        <w:t>), 2.94 (4H, t, -N-CH</w:t>
      </w:r>
      <w:r w:rsidRPr="00A85C5A">
        <w:rPr>
          <w:vertAlign w:val="subscript"/>
          <w:lang w:eastAsia="en-US"/>
        </w:rPr>
        <w:t>2</w:t>
      </w:r>
      <w:r w:rsidRPr="00A85C5A">
        <w:rPr>
          <w:lang w:eastAsia="en-US"/>
        </w:rPr>
        <w:t>), 2.24(-CH</w:t>
      </w:r>
      <w:r w:rsidRPr="00A85C5A">
        <w:rPr>
          <w:vertAlign w:val="subscript"/>
          <w:lang w:eastAsia="en-US"/>
        </w:rPr>
        <w:t>2</w:t>
      </w:r>
      <w:r w:rsidRPr="00A85C5A">
        <w:rPr>
          <w:lang w:eastAsia="en-US"/>
        </w:rPr>
        <w:t>-CH</w:t>
      </w:r>
      <w:r w:rsidRPr="00A85C5A">
        <w:rPr>
          <w:vertAlign w:val="subscript"/>
          <w:lang w:eastAsia="en-US"/>
        </w:rPr>
        <w:t>2</w:t>
      </w:r>
      <w:r w:rsidRPr="00A85C5A">
        <w:rPr>
          <w:lang w:eastAsia="en-US"/>
        </w:rPr>
        <w:t xml:space="preserve">, p, 2H), 2.04 </w:t>
      </w:r>
      <w:r w:rsidRPr="00A85C5A">
        <w:rPr>
          <w:bCs/>
          <w:lang w:eastAsia="en-US"/>
        </w:rPr>
        <w:t xml:space="preserve">(3H, </w:t>
      </w:r>
      <w:r w:rsidRPr="00A85C5A">
        <w:rPr>
          <w:lang w:eastAsia="en-US"/>
        </w:rPr>
        <w:t>s</w:t>
      </w:r>
      <w:r w:rsidRPr="00A85C5A">
        <w:rPr>
          <w:bCs/>
          <w:lang w:eastAsia="en-US"/>
        </w:rPr>
        <w:t>, CH</w:t>
      </w:r>
      <w:r w:rsidRPr="00A85C5A">
        <w:rPr>
          <w:bCs/>
          <w:vertAlign w:val="subscript"/>
          <w:lang w:eastAsia="en-US"/>
        </w:rPr>
        <w:t>3</w:t>
      </w:r>
      <w:r w:rsidRPr="00A85C5A">
        <w:rPr>
          <w:bCs/>
          <w:lang w:eastAsia="en-US"/>
        </w:rPr>
        <w:t xml:space="preserve">COO). </w:t>
      </w:r>
      <w:r w:rsidRPr="00A85C5A">
        <w:rPr>
          <w:rFonts w:eastAsia="MS Mincho"/>
          <w:bCs/>
          <w:kern w:val="24"/>
          <w:lang w:eastAsia="en-US"/>
        </w:rPr>
        <w:t>Molar Conductance (10</w:t>
      </w:r>
      <w:r w:rsidRPr="00A85C5A">
        <w:rPr>
          <w:rFonts w:eastAsia="MS Mincho"/>
          <w:bCs/>
          <w:kern w:val="24"/>
          <w:vertAlign w:val="superscript"/>
          <w:lang w:eastAsia="en-US"/>
        </w:rPr>
        <w:t>3</w:t>
      </w:r>
      <w:r w:rsidR="007E0E8A" w:rsidRPr="00A85C5A">
        <w:rPr>
          <w:rFonts w:eastAsia="MS Mincho"/>
          <w:bCs/>
          <w:kern w:val="24"/>
          <w:vertAlign w:val="superscript"/>
          <w:lang w:eastAsia="en-US"/>
        </w:rPr>
        <w:t xml:space="preserve"> </w:t>
      </w:r>
      <w:r w:rsidRPr="00A85C5A">
        <w:rPr>
          <w:rFonts w:eastAsia="MS Mincho"/>
          <w:bCs/>
          <w:kern w:val="24"/>
          <w:lang w:eastAsia="en-US"/>
        </w:rPr>
        <w:t>µM)</w:t>
      </w:r>
      <w:r w:rsidRPr="00A85C5A">
        <w:rPr>
          <w:rFonts w:eastAsia="MS Mincho"/>
          <w:lang w:eastAsia="en-US"/>
        </w:rPr>
        <w:t xml:space="preserve">, Me-OH, </w:t>
      </w:r>
      <w:r w:rsidRPr="00A85C5A">
        <w:rPr>
          <w:rFonts w:eastAsia="MS Mincho"/>
          <w:bCs/>
          <w:kern w:val="24"/>
          <w:lang w:eastAsia="en-US"/>
        </w:rPr>
        <w:sym w:font="Symbol" w:char="F0D9"/>
      </w:r>
      <w:r w:rsidRPr="00A85C5A">
        <w:rPr>
          <w:rFonts w:eastAsia="MS Mincho"/>
          <w:bCs/>
          <w:kern w:val="24"/>
          <w:position w:val="-7"/>
          <w:lang w:eastAsia="en-US"/>
        </w:rPr>
        <w:t>m,</w:t>
      </w:r>
      <w:r w:rsidRPr="00A85C5A">
        <w:rPr>
          <w:rFonts w:eastAsia="MS Mincho"/>
          <w:bCs/>
          <w:kern w:val="24"/>
          <w:lang w:eastAsia="en-US"/>
        </w:rPr>
        <w:t xml:space="preserve"> ohm</w:t>
      </w:r>
      <w:r w:rsidRPr="00A85C5A">
        <w:rPr>
          <w:rFonts w:eastAsia="MS Mincho"/>
          <w:bCs/>
          <w:kern w:val="24"/>
          <w:position w:val="7"/>
          <w:vertAlign w:val="superscript"/>
          <w:lang w:eastAsia="en-US"/>
        </w:rPr>
        <w:t>-1</w:t>
      </w:r>
      <w:r w:rsidRPr="00A85C5A">
        <w:rPr>
          <w:rFonts w:eastAsia="MS Mincho"/>
          <w:bCs/>
          <w:kern w:val="24"/>
          <w:lang w:eastAsia="en-US"/>
        </w:rPr>
        <w:t>cm</w:t>
      </w:r>
      <w:r w:rsidRPr="00A85C5A">
        <w:rPr>
          <w:rFonts w:eastAsia="MS Mincho"/>
          <w:bCs/>
          <w:kern w:val="24"/>
          <w:position w:val="7"/>
          <w:lang w:eastAsia="en-US"/>
        </w:rPr>
        <w:t>2</w:t>
      </w:r>
      <w:r w:rsidRPr="00A85C5A">
        <w:rPr>
          <w:rFonts w:eastAsia="MS Mincho"/>
          <w:bCs/>
          <w:kern w:val="24"/>
          <w:position w:val="7"/>
          <w:vertAlign w:val="superscript"/>
          <w:lang w:eastAsia="en-US"/>
        </w:rPr>
        <w:t xml:space="preserve"> </w:t>
      </w:r>
      <w:r w:rsidRPr="00A85C5A">
        <w:rPr>
          <w:rFonts w:eastAsia="MS Mincho"/>
          <w:bCs/>
          <w:kern w:val="24"/>
          <w:lang w:eastAsia="en-US"/>
        </w:rPr>
        <w:t>mol</w:t>
      </w:r>
      <w:r w:rsidRPr="00A85C5A">
        <w:rPr>
          <w:rFonts w:eastAsia="MS Mincho"/>
          <w:bCs/>
          <w:kern w:val="24"/>
          <w:position w:val="7"/>
          <w:vertAlign w:val="superscript"/>
          <w:lang w:eastAsia="en-US"/>
        </w:rPr>
        <w:t>-1</w:t>
      </w:r>
      <w:r w:rsidRPr="00A85C5A">
        <w:rPr>
          <w:rFonts w:eastAsia="MS Mincho"/>
          <w:lang w:eastAsia="en-US"/>
        </w:rPr>
        <w:t xml:space="preserve">: 32.71. </w:t>
      </w:r>
      <w:r w:rsidRPr="00A85C5A">
        <w:rPr>
          <w:rFonts w:eastAsia="AdvTimes"/>
          <w:lang w:eastAsia="en-IN"/>
        </w:rPr>
        <w:t>ESI-MS Mass (</w:t>
      </w:r>
      <w:r w:rsidRPr="00A85C5A">
        <w:rPr>
          <w:rFonts w:eastAsia="AdvTimes"/>
          <w:bCs/>
          <w:lang w:eastAsia="en-IN"/>
        </w:rPr>
        <w:t>m/z</w:t>
      </w:r>
      <w:r w:rsidRPr="00A85C5A">
        <w:rPr>
          <w:rFonts w:eastAsia="AdvTimes"/>
          <w:lang w:eastAsia="en-IN"/>
        </w:rPr>
        <w:t xml:space="preserve">), </w:t>
      </w:r>
      <w:r w:rsidRPr="00A85C5A">
        <w:rPr>
          <w:rFonts w:eastAsia="AdvTimes"/>
          <w:bCs/>
          <w:lang w:eastAsia="en-IN"/>
        </w:rPr>
        <w:t>Found:</w:t>
      </w:r>
      <w:r w:rsidRPr="00A85C5A">
        <w:rPr>
          <w:bCs/>
          <w:kern w:val="24"/>
          <w:lang w:eastAsia="en-US"/>
        </w:rPr>
        <w:t xml:space="preserve"> 538.42 </w:t>
      </w:r>
      <w:r w:rsidRPr="00A85C5A">
        <w:rPr>
          <w:rFonts w:eastAsia="MS Mincho"/>
          <w:bCs/>
          <w:kern w:val="24"/>
          <w:lang w:eastAsia="en-US"/>
        </w:rPr>
        <w:t>(</w:t>
      </w:r>
      <w:r w:rsidRPr="00A85C5A">
        <w:rPr>
          <w:rFonts w:eastAsia="AdvTimes"/>
          <w:bCs/>
          <w:lang w:eastAsia="en-IN"/>
        </w:rPr>
        <w:t>M+1</w:t>
      </w:r>
      <w:r w:rsidRPr="00A85C5A">
        <w:rPr>
          <w:rFonts w:eastAsia="MS Mincho"/>
          <w:bCs/>
          <w:kern w:val="24"/>
          <w:lang w:eastAsia="en-US"/>
        </w:rPr>
        <w:t>).</w:t>
      </w:r>
      <w:r w:rsidRPr="00A85C5A">
        <w:rPr>
          <w:lang w:eastAsia="en-US"/>
        </w:rPr>
        <w:t xml:space="preserve"> </w:t>
      </w:r>
      <w:r w:rsidRPr="00A85C5A">
        <w:rPr>
          <w:rFonts w:eastAsia="AdvTimes"/>
          <w:bCs/>
          <w:lang w:eastAsia="en-IN"/>
        </w:rPr>
        <w:t>Anal.Cacld (%) for</w:t>
      </w:r>
      <w:r w:rsidRPr="00A85C5A">
        <w:rPr>
          <w:bCs/>
          <w:kern w:val="24"/>
          <w:lang w:eastAsia="en-US"/>
        </w:rPr>
        <w:t xml:space="preserve"> </w:t>
      </w:r>
      <w:r w:rsidRPr="00A85C5A">
        <w:rPr>
          <w:bCs/>
          <w:lang w:eastAsia="en-US"/>
        </w:rPr>
        <w:t>Zn</w:t>
      </w:r>
      <w:r w:rsidRPr="00A85C5A">
        <w:rPr>
          <w:bCs/>
          <w:kern w:val="24"/>
          <w:lang w:eastAsia="en-US"/>
        </w:rPr>
        <w:t>C</w:t>
      </w:r>
      <w:r w:rsidRPr="00A85C5A">
        <w:rPr>
          <w:bCs/>
          <w:kern w:val="24"/>
          <w:vertAlign w:val="subscript"/>
          <w:lang w:eastAsia="en-US"/>
        </w:rPr>
        <w:t>27</w:t>
      </w:r>
      <w:r w:rsidRPr="00A85C5A">
        <w:rPr>
          <w:bCs/>
          <w:kern w:val="24"/>
          <w:lang w:eastAsia="en-US"/>
        </w:rPr>
        <w:t>H</w:t>
      </w:r>
      <w:r w:rsidRPr="00A85C5A">
        <w:rPr>
          <w:bCs/>
          <w:kern w:val="24"/>
          <w:vertAlign w:val="subscript"/>
          <w:lang w:eastAsia="en-US"/>
        </w:rPr>
        <w:t>32</w:t>
      </w:r>
      <w:r w:rsidRPr="00A85C5A">
        <w:rPr>
          <w:bCs/>
          <w:kern w:val="24"/>
          <w:lang w:eastAsia="en-US"/>
        </w:rPr>
        <w:t>N</w:t>
      </w:r>
      <w:r w:rsidRPr="00A85C5A">
        <w:rPr>
          <w:bCs/>
          <w:kern w:val="24"/>
          <w:vertAlign w:val="subscript"/>
          <w:lang w:eastAsia="en-US"/>
        </w:rPr>
        <w:t>4</w:t>
      </w:r>
      <w:r w:rsidRPr="00A85C5A">
        <w:rPr>
          <w:bCs/>
          <w:kern w:val="24"/>
          <w:lang w:eastAsia="en-US"/>
        </w:rPr>
        <w:t>O</w:t>
      </w:r>
      <w:r w:rsidRPr="00A85C5A">
        <w:rPr>
          <w:bCs/>
          <w:kern w:val="24"/>
          <w:vertAlign w:val="subscript"/>
          <w:lang w:eastAsia="en-US"/>
        </w:rPr>
        <w:t>6</w:t>
      </w:r>
      <w:r w:rsidRPr="00A85C5A">
        <w:rPr>
          <w:bCs/>
          <w:kern w:val="24"/>
          <w:lang w:eastAsia="en-US"/>
        </w:rPr>
        <w:t>:</w:t>
      </w:r>
      <w:r w:rsidRPr="00A85C5A">
        <w:rPr>
          <w:bCs/>
          <w:lang w:eastAsia="en-US"/>
        </w:rPr>
        <w:t xml:space="preserve"> C, 56.50; H, 05.58; N, 09.76; Zn, 11.40.</w:t>
      </w:r>
      <w:r w:rsidRPr="00A85C5A">
        <w:rPr>
          <w:rFonts w:eastAsia="MS Mincho"/>
          <w:bCs/>
          <w:kern w:val="24"/>
          <w:lang w:eastAsia="en-US"/>
        </w:rPr>
        <w:t xml:space="preserve"> Found (%):</w:t>
      </w:r>
      <w:r w:rsidRPr="00A85C5A">
        <w:rPr>
          <w:bCs/>
          <w:lang w:eastAsia="en-US"/>
        </w:rPr>
        <w:t xml:space="preserve"> C, 56.66; H, 05.48; N, 09.84; Zn, 11.35. </w:t>
      </w:r>
    </w:p>
    <w:p w:rsidR="00EC3D99" w:rsidRPr="00A85C5A" w:rsidRDefault="00EC3D99" w:rsidP="000D6F59">
      <w:pPr>
        <w:overflowPunct w:val="0"/>
        <w:autoSpaceDE w:val="0"/>
        <w:autoSpaceDN w:val="0"/>
        <w:adjustRightInd w:val="0"/>
        <w:jc w:val="both"/>
        <w:textAlignment w:val="baseline"/>
        <w:rPr>
          <w:bCs/>
          <w:lang w:eastAsia="en-US"/>
        </w:rPr>
      </w:pPr>
    </w:p>
    <w:p w:rsidR="00EC6E98" w:rsidRPr="00A85C5A" w:rsidRDefault="00EC6E98" w:rsidP="00EC6E98">
      <w:pPr>
        <w:overflowPunct w:val="0"/>
        <w:autoSpaceDE w:val="0"/>
        <w:autoSpaceDN w:val="0"/>
        <w:adjustRightInd w:val="0"/>
        <w:jc w:val="both"/>
        <w:textAlignment w:val="baseline"/>
        <w:rPr>
          <w:b/>
          <w:bCs/>
          <w:i/>
          <w:iCs/>
          <w:lang w:val="en-IN" w:eastAsia="en-US" w:bidi="ta-IN"/>
        </w:rPr>
      </w:pPr>
      <w:r w:rsidRPr="00A85C5A">
        <w:rPr>
          <w:b/>
          <w:bCs/>
          <w:i/>
          <w:iCs/>
          <w:lang w:eastAsia="en-US"/>
        </w:rPr>
        <w:t xml:space="preserve">Electro spray ionization </w:t>
      </w:r>
      <w:r w:rsidRPr="00A85C5A">
        <w:rPr>
          <w:b/>
          <w:bCs/>
          <w:i/>
          <w:iCs/>
          <w:lang w:val="en-IN" w:eastAsia="en-US" w:bidi="ta-IN"/>
        </w:rPr>
        <w:t>mass spectra</w:t>
      </w:r>
    </w:p>
    <w:p w:rsidR="00EC6E98" w:rsidRPr="00A85C5A" w:rsidRDefault="00EC6E98" w:rsidP="00EC6E98">
      <w:pPr>
        <w:overflowPunct w:val="0"/>
        <w:autoSpaceDE w:val="0"/>
        <w:autoSpaceDN w:val="0"/>
        <w:adjustRightInd w:val="0"/>
        <w:jc w:val="both"/>
        <w:textAlignment w:val="baseline"/>
        <w:rPr>
          <w:rFonts w:eastAsia="MS Mincho"/>
          <w:bCs/>
          <w:kern w:val="24"/>
          <w:lang w:eastAsia="en-US"/>
        </w:rPr>
      </w:pPr>
      <w:r w:rsidRPr="00A85C5A">
        <w:rPr>
          <w:lang w:eastAsia="en-US"/>
        </w:rPr>
        <w:t>ESI-MS spectrum of ligand (</w:t>
      </w:r>
      <w:r w:rsidRPr="00A85C5A">
        <w:rPr>
          <w:b/>
          <w:bCs/>
          <w:lang w:eastAsia="en-US"/>
        </w:rPr>
        <w:t>LH</w:t>
      </w:r>
      <w:r w:rsidRPr="00A85C5A">
        <w:rPr>
          <w:lang w:eastAsia="en-US"/>
        </w:rPr>
        <w:t xml:space="preserve">) shows the molecular ion peak at </w:t>
      </w:r>
      <w:r w:rsidRPr="00A85C5A">
        <w:rPr>
          <w:i/>
          <w:iCs/>
          <w:lang w:eastAsia="en-US"/>
        </w:rPr>
        <w:t>m/z</w:t>
      </w:r>
      <w:r w:rsidRPr="00A85C5A">
        <w:rPr>
          <w:lang w:eastAsia="en-US"/>
        </w:rPr>
        <w:t xml:space="preserve"> 235.10 </w:t>
      </w:r>
      <w:r w:rsidRPr="00A85C5A">
        <w:rPr>
          <w:rFonts w:eastAsia="MS Mincho"/>
          <w:bCs/>
          <w:kern w:val="24"/>
          <w:lang w:eastAsia="en-US"/>
        </w:rPr>
        <w:t>(</w:t>
      </w:r>
      <w:r w:rsidRPr="00A85C5A">
        <w:rPr>
          <w:rFonts w:eastAsia="AdvTimes"/>
          <w:bCs/>
          <w:lang w:eastAsia="en-IN"/>
        </w:rPr>
        <w:t>M+1</w:t>
      </w:r>
      <w:r w:rsidRPr="00A85C5A">
        <w:rPr>
          <w:rFonts w:eastAsia="MS Mincho"/>
          <w:bCs/>
          <w:kern w:val="24"/>
          <w:lang w:eastAsia="en-US"/>
        </w:rPr>
        <w:t xml:space="preserve">) </w:t>
      </w:r>
      <w:r w:rsidRPr="00A85C5A">
        <w:rPr>
          <w:lang w:eastAsia="en-US"/>
        </w:rPr>
        <w:t xml:space="preserve">corresponding to </w:t>
      </w:r>
      <w:r w:rsidRPr="00A85C5A">
        <w:rPr>
          <w:kern w:val="24"/>
          <w:lang w:eastAsia="en-US"/>
        </w:rPr>
        <w:t>C</w:t>
      </w:r>
      <w:r w:rsidRPr="00A85C5A">
        <w:rPr>
          <w:kern w:val="24"/>
          <w:vertAlign w:val="subscript"/>
          <w:lang w:eastAsia="en-US"/>
        </w:rPr>
        <w:t>13</w:t>
      </w:r>
      <w:r w:rsidRPr="00A85C5A">
        <w:rPr>
          <w:kern w:val="24"/>
          <w:lang w:eastAsia="en-US"/>
        </w:rPr>
        <w:t>H</w:t>
      </w:r>
      <w:r w:rsidRPr="00A85C5A">
        <w:rPr>
          <w:kern w:val="24"/>
          <w:vertAlign w:val="subscript"/>
          <w:lang w:eastAsia="en-US"/>
        </w:rPr>
        <w:t>18</w:t>
      </w:r>
      <w:r w:rsidRPr="00A85C5A">
        <w:rPr>
          <w:kern w:val="24"/>
          <w:lang w:eastAsia="en-US"/>
        </w:rPr>
        <w:t>N</w:t>
      </w:r>
      <w:r w:rsidRPr="00A85C5A">
        <w:rPr>
          <w:kern w:val="24"/>
          <w:vertAlign w:val="subscript"/>
          <w:lang w:eastAsia="en-US"/>
        </w:rPr>
        <w:t>2</w:t>
      </w:r>
      <w:r w:rsidRPr="00A85C5A">
        <w:rPr>
          <w:kern w:val="24"/>
          <w:lang w:eastAsia="en-US"/>
        </w:rPr>
        <w:t>O</w:t>
      </w:r>
      <w:r w:rsidRPr="00A85C5A">
        <w:rPr>
          <w:kern w:val="24"/>
          <w:vertAlign w:val="subscript"/>
          <w:lang w:eastAsia="en-US"/>
        </w:rPr>
        <w:t>2</w:t>
      </w:r>
      <w:r w:rsidRPr="00A85C5A">
        <w:rPr>
          <w:kern w:val="24"/>
          <w:lang w:eastAsia="en-US"/>
        </w:rPr>
        <w:t xml:space="preserve"> and</w:t>
      </w:r>
      <w:r w:rsidRPr="00A85C5A">
        <w:rPr>
          <w:lang w:eastAsia="en-US"/>
        </w:rPr>
        <w:t xml:space="preserve"> complex (</w:t>
      </w:r>
      <w:r w:rsidRPr="00A85C5A">
        <w:rPr>
          <w:b/>
          <w:bCs/>
          <w:lang w:eastAsia="en-US"/>
        </w:rPr>
        <w:t>1</w:t>
      </w:r>
      <w:r w:rsidRPr="00A85C5A">
        <w:rPr>
          <w:lang w:eastAsia="en-US"/>
        </w:rPr>
        <w:t xml:space="preserve">) molecular ion peak at </w:t>
      </w:r>
      <w:r w:rsidRPr="00A85C5A">
        <w:rPr>
          <w:i/>
          <w:iCs/>
          <w:lang w:eastAsia="en-US"/>
        </w:rPr>
        <w:t>m/z</w:t>
      </w:r>
      <w:r w:rsidRPr="00A85C5A">
        <w:rPr>
          <w:lang w:eastAsia="en-US"/>
        </w:rPr>
        <w:t xml:space="preserve"> </w:t>
      </w:r>
      <w:r w:rsidRPr="00A85C5A">
        <w:rPr>
          <w:bCs/>
          <w:lang w:eastAsia="en-US"/>
        </w:rPr>
        <w:t xml:space="preserve">536.62 </w:t>
      </w:r>
      <w:r w:rsidRPr="00A85C5A">
        <w:rPr>
          <w:rFonts w:eastAsia="MS Mincho"/>
          <w:bCs/>
          <w:kern w:val="24"/>
          <w:lang w:eastAsia="en-US"/>
        </w:rPr>
        <w:t>(</w:t>
      </w:r>
      <w:r w:rsidRPr="00A85C5A">
        <w:rPr>
          <w:rFonts w:eastAsia="AdvTimes"/>
          <w:bCs/>
          <w:lang w:eastAsia="en-IN"/>
        </w:rPr>
        <w:t>M+1</w:t>
      </w:r>
      <w:r w:rsidRPr="00A85C5A">
        <w:rPr>
          <w:rFonts w:eastAsia="MS Mincho"/>
          <w:bCs/>
          <w:kern w:val="24"/>
          <w:lang w:eastAsia="en-US"/>
        </w:rPr>
        <w:t xml:space="preserve">) </w:t>
      </w:r>
      <w:r w:rsidRPr="00A85C5A">
        <w:rPr>
          <w:lang w:eastAsia="en-US"/>
        </w:rPr>
        <w:t xml:space="preserve">corresponding to </w:t>
      </w:r>
      <w:r w:rsidRPr="00A85C5A">
        <w:rPr>
          <w:bCs/>
          <w:kern w:val="24"/>
          <w:lang w:eastAsia="en-US"/>
        </w:rPr>
        <w:t xml:space="preserve">molecular formula </w:t>
      </w:r>
      <w:r w:rsidRPr="00A85C5A">
        <w:rPr>
          <w:rFonts w:eastAsia="MS Mincho"/>
          <w:bCs/>
          <w:kern w:val="24"/>
          <w:lang w:eastAsia="en-US"/>
        </w:rPr>
        <w:t>Cu</w:t>
      </w:r>
      <w:r w:rsidRPr="00A85C5A">
        <w:rPr>
          <w:bCs/>
          <w:kern w:val="24"/>
          <w:lang w:eastAsia="en-US"/>
        </w:rPr>
        <w:t>C</w:t>
      </w:r>
      <w:r w:rsidRPr="00A85C5A">
        <w:rPr>
          <w:bCs/>
          <w:kern w:val="24"/>
          <w:vertAlign w:val="subscript"/>
          <w:lang w:eastAsia="en-US"/>
        </w:rPr>
        <w:t>27</w:t>
      </w:r>
      <w:r w:rsidRPr="00A85C5A">
        <w:rPr>
          <w:bCs/>
          <w:kern w:val="24"/>
          <w:lang w:eastAsia="en-US"/>
        </w:rPr>
        <w:t>H</w:t>
      </w:r>
      <w:r w:rsidRPr="00A85C5A">
        <w:rPr>
          <w:bCs/>
          <w:kern w:val="24"/>
          <w:vertAlign w:val="subscript"/>
          <w:lang w:eastAsia="en-US"/>
        </w:rPr>
        <w:t>28</w:t>
      </w:r>
      <w:r w:rsidRPr="00A85C5A">
        <w:rPr>
          <w:bCs/>
          <w:kern w:val="24"/>
          <w:lang w:eastAsia="en-US"/>
        </w:rPr>
        <w:t>N</w:t>
      </w:r>
      <w:r w:rsidRPr="00A85C5A">
        <w:rPr>
          <w:bCs/>
          <w:kern w:val="24"/>
          <w:vertAlign w:val="subscript"/>
          <w:lang w:eastAsia="en-US"/>
        </w:rPr>
        <w:t>4</w:t>
      </w:r>
      <w:r w:rsidRPr="00A85C5A">
        <w:rPr>
          <w:bCs/>
          <w:kern w:val="24"/>
          <w:lang w:eastAsia="en-US"/>
        </w:rPr>
        <w:t>O</w:t>
      </w:r>
      <w:r w:rsidRPr="00A85C5A">
        <w:rPr>
          <w:bCs/>
          <w:kern w:val="24"/>
          <w:vertAlign w:val="subscript"/>
          <w:lang w:eastAsia="en-US"/>
        </w:rPr>
        <w:t xml:space="preserve">4 </w:t>
      </w:r>
      <w:r w:rsidRPr="00A85C5A">
        <w:rPr>
          <w:rFonts w:eastAsia="MS Mincho"/>
          <w:kern w:val="24"/>
          <w:lang w:eastAsia="en-US"/>
        </w:rPr>
        <w:t>which</w:t>
      </w:r>
      <w:r w:rsidRPr="00A85C5A">
        <w:rPr>
          <w:lang w:eastAsia="en-US"/>
        </w:rPr>
        <w:t xml:space="preserve"> is confirmed the formation of MLL</w:t>
      </w:r>
      <w:r w:rsidRPr="00A85C5A">
        <w:rPr>
          <w:b/>
          <w:bCs/>
          <w:vertAlign w:val="superscript"/>
          <w:rtl/>
          <w:lang w:eastAsia="en-US" w:bidi="he-IL"/>
        </w:rPr>
        <w:t>′</w:t>
      </w:r>
      <w:r w:rsidRPr="00A85C5A">
        <w:rPr>
          <w:lang w:eastAsia="en-US"/>
        </w:rPr>
        <w:t xml:space="preserve"> type stoichiometry </w:t>
      </w:r>
      <w:r w:rsidRPr="00A85C5A">
        <w:rPr>
          <w:rFonts w:eastAsia="TimesNewRoman"/>
          <w:bCs/>
          <w:lang w:eastAsia="en-IN" w:bidi="ta-IN"/>
        </w:rPr>
        <w:t>(</w:t>
      </w:r>
      <w:r w:rsidRPr="00A85C5A">
        <w:rPr>
          <w:lang w:val="rm-CH" w:eastAsia="rm-CH"/>
        </w:rPr>
        <w:t>Fig. S1)</w:t>
      </w:r>
      <w:r w:rsidRPr="00A85C5A">
        <w:rPr>
          <w:lang w:eastAsia="en-US"/>
        </w:rPr>
        <w:t xml:space="preserve"> and other fragmented molecular ion (M+1) peaks in the complex (</w:t>
      </w:r>
      <w:r w:rsidRPr="00A85C5A">
        <w:rPr>
          <w:b/>
          <w:bCs/>
          <w:lang w:eastAsia="en-US"/>
        </w:rPr>
        <w:t>1</w:t>
      </w:r>
      <w:r w:rsidRPr="00A85C5A">
        <w:rPr>
          <w:lang w:eastAsia="en-US"/>
        </w:rPr>
        <w:t>) are found at 131.1, 298.1, 338.6 and 476.1 which are responsible for C</w:t>
      </w:r>
      <w:r w:rsidRPr="00A85C5A">
        <w:rPr>
          <w:vertAlign w:val="subscript"/>
          <w:lang w:eastAsia="en-US"/>
        </w:rPr>
        <w:t>6</w:t>
      </w:r>
      <w:r w:rsidRPr="00A85C5A">
        <w:rPr>
          <w:lang w:eastAsia="en-US"/>
        </w:rPr>
        <w:t>H</w:t>
      </w:r>
      <w:r w:rsidRPr="00A85C5A">
        <w:rPr>
          <w:vertAlign w:val="subscript"/>
          <w:lang w:eastAsia="en-US"/>
        </w:rPr>
        <w:t>14</w:t>
      </w:r>
      <w:r w:rsidRPr="00A85C5A">
        <w:rPr>
          <w:lang w:eastAsia="en-US"/>
        </w:rPr>
        <w:t>N</w:t>
      </w:r>
      <w:r w:rsidRPr="00A85C5A">
        <w:rPr>
          <w:vertAlign w:val="subscript"/>
          <w:lang w:eastAsia="en-US"/>
        </w:rPr>
        <w:t>2</w:t>
      </w:r>
      <w:r w:rsidRPr="00A85C5A">
        <w:rPr>
          <w:lang w:eastAsia="en-US"/>
        </w:rPr>
        <w:t>O</w:t>
      </w:r>
      <w:r w:rsidRPr="00A85C5A">
        <w:rPr>
          <w:vertAlign w:val="superscript"/>
          <w:lang w:eastAsia="en-US"/>
        </w:rPr>
        <w:t>+</w:t>
      </w:r>
      <w:r w:rsidRPr="00A85C5A">
        <w:rPr>
          <w:lang w:eastAsia="en-US"/>
        </w:rPr>
        <w:t>, C</w:t>
      </w:r>
      <w:r w:rsidRPr="00A85C5A">
        <w:rPr>
          <w:vertAlign w:val="subscript"/>
          <w:lang w:eastAsia="en-US"/>
        </w:rPr>
        <w:t>13</w:t>
      </w:r>
      <w:r w:rsidRPr="00A85C5A">
        <w:rPr>
          <w:lang w:eastAsia="en-US"/>
        </w:rPr>
        <w:t>H</w:t>
      </w:r>
      <w:r w:rsidRPr="00A85C5A">
        <w:rPr>
          <w:vertAlign w:val="subscript"/>
          <w:lang w:eastAsia="en-US"/>
        </w:rPr>
        <w:t>18</w:t>
      </w:r>
      <w:r w:rsidRPr="00A85C5A">
        <w:rPr>
          <w:lang w:eastAsia="en-US"/>
        </w:rPr>
        <w:t>N</w:t>
      </w:r>
      <w:r w:rsidRPr="00A85C5A">
        <w:rPr>
          <w:vertAlign w:val="subscript"/>
          <w:lang w:eastAsia="en-US"/>
        </w:rPr>
        <w:t>2</w:t>
      </w:r>
      <w:r w:rsidRPr="00A85C5A">
        <w:rPr>
          <w:lang w:eastAsia="en-US"/>
        </w:rPr>
        <w:t>O</w:t>
      </w:r>
      <w:r w:rsidRPr="00A85C5A">
        <w:rPr>
          <w:vertAlign w:val="subscript"/>
          <w:lang w:eastAsia="en-US"/>
        </w:rPr>
        <w:t>2</w:t>
      </w:r>
      <w:r w:rsidRPr="00A85C5A">
        <w:rPr>
          <w:lang w:eastAsia="en-US"/>
        </w:rPr>
        <w:t>Cu</w:t>
      </w:r>
      <w:r w:rsidRPr="00A85C5A">
        <w:rPr>
          <w:vertAlign w:val="superscript"/>
          <w:lang w:eastAsia="en-US"/>
        </w:rPr>
        <w:t>2+</w:t>
      </w:r>
      <w:r w:rsidRPr="00A85C5A">
        <w:rPr>
          <w:lang w:eastAsia="en-US"/>
        </w:rPr>
        <w:t>, C</w:t>
      </w:r>
      <w:r w:rsidRPr="00A85C5A">
        <w:rPr>
          <w:vertAlign w:val="subscript"/>
          <w:lang w:eastAsia="en-US"/>
        </w:rPr>
        <w:t>18</w:t>
      </w:r>
      <w:r w:rsidRPr="00A85C5A">
        <w:rPr>
          <w:lang w:eastAsia="en-US"/>
        </w:rPr>
        <w:t>H</w:t>
      </w:r>
      <w:r w:rsidRPr="00A85C5A">
        <w:rPr>
          <w:vertAlign w:val="subscript"/>
          <w:lang w:eastAsia="en-US"/>
        </w:rPr>
        <w:t>13</w:t>
      </w:r>
      <w:r w:rsidRPr="00A85C5A">
        <w:rPr>
          <w:lang w:eastAsia="en-US"/>
        </w:rPr>
        <w:t>N</w:t>
      </w:r>
      <w:r w:rsidRPr="00A85C5A">
        <w:rPr>
          <w:vertAlign w:val="subscript"/>
          <w:lang w:eastAsia="en-US"/>
        </w:rPr>
        <w:t>2</w:t>
      </w:r>
      <w:r w:rsidRPr="00A85C5A">
        <w:rPr>
          <w:lang w:eastAsia="en-US"/>
        </w:rPr>
        <w:t>OCu</w:t>
      </w:r>
      <w:r w:rsidRPr="00A85C5A">
        <w:rPr>
          <w:vertAlign w:val="superscript"/>
          <w:lang w:eastAsia="en-US"/>
        </w:rPr>
        <w:t>2+</w:t>
      </w:r>
      <w:r w:rsidRPr="00A85C5A">
        <w:rPr>
          <w:lang w:eastAsia="en-US"/>
        </w:rPr>
        <w:t xml:space="preserve"> and C</w:t>
      </w:r>
      <w:r w:rsidRPr="00A85C5A">
        <w:rPr>
          <w:vertAlign w:val="subscript"/>
          <w:lang w:eastAsia="en-US"/>
        </w:rPr>
        <w:t>25</w:t>
      </w:r>
      <w:r w:rsidRPr="00A85C5A">
        <w:rPr>
          <w:lang w:eastAsia="en-US"/>
        </w:rPr>
        <w:t>H</w:t>
      </w:r>
      <w:r w:rsidRPr="00A85C5A">
        <w:rPr>
          <w:vertAlign w:val="subscript"/>
          <w:lang w:eastAsia="en-US"/>
        </w:rPr>
        <w:t>25</w:t>
      </w:r>
      <w:r w:rsidRPr="00A85C5A">
        <w:rPr>
          <w:lang w:eastAsia="en-US"/>
        </w:rPr>
        <w:t>N</w:t>
      </w:r>
      <w:r w:rsidRPr="00A85C5A">
        <w:rPr>
          <w:vertAlign w:val="subscript"/>
          <w:lang w:eastAsia="en-US"/>
        </w:rPr>
        <w:t>4</w:t>
      </w:r>
      <w:r w:rsidRPr="00A85C5A">
        <w:rPr>
          <w:lang w:eastAsia="en-US"/>
        </w:rPr>
        <w:t>O</w:t>
      </w:r>
      <w:r w:rsidRPr="00A85C5A">
        <w:rPr>
          <w:vertAlign w:val="subscript"/>
          <w:lang w:eastAsia="en-US"/>
        </w:rPr>
        <w:t>2</w:t>
      </w:r>
      <w:r w:rsidRPr="00A85C5A">
        <w:rPr>
          <w:lang w:eastAsia="en-US"/>
        </w:rPr>
        <w:t>Cu</w:t>
      </w:r>
      <w:r w:rsidRPr="00A85C5A">
        <w:rPr>
          <w:vertAlign w:val="superscript"/>
          <w:lang w:eastAsia="en-US"/>
        </w:rPr>
        <w:t>2+</w:t>
      </w:r>
      <w:r w:rsidRPr="00A85C5A">
        <w:rPr>
          <w:lang w:eastAsia="en-US"/>
        </w:rPr>
        <w:t xml:space="preserve"> molecular ions respectively. </w:t>
      </w:r>
      <w:r w:rsidRPr="00A85C5A">
        <w:rPr>
          <w:rFonts w:eastAsia="TimesNewRoman"/>
          <w:lang w:eastAsia="en-IN" w:bidi="ta-IN"/>
        </w:rPr>
        <w:t>The molecular ion peaks of complexes (</w:t>
      </w:r>
      <w:r w:rsidRPr="00A85C5A">
        <w:rPr>
          <w:rFonts w:eastAsia="TimesNewRoman"/>
          <w:b/>
          <w:bCs/>
          <w:lang w:eastAsia="en-IN" w:bidi="ta-IN"/>
        </w:rPr>
        <w:t>2-5</w:t>
      </w:r>
      <w:r w:rsidRPr="00A85C5A">
        <w:rPr>
          <w:rFonts w:eastAsia="TimesNewRoman"/>
          <w:lang w:eastAsia="en-IN" w:bidi="ta-IN"/>
        </w:rPr>
        <w:t xml:space="preserve">) were observed at </w:t>
      </w:r>
      <w:r w:rsidRPr="00A85C5A">
        <w:rPr>
          <w:rFonts w:eastAsia="TimesNewRoman"/>
          <w:i/>
          <w:iCs/>
          <w:lang w:eastAsia="en-IN" w:bidi="ta-IN"/>
        </w:rPr>
        <w:t>m/z</w:t>
      </w:r>
      <w:r w:rsidRPr="00A85C5A">
        <w:rPr>
          <w:rFonts w:eastAsia="TimesNewRoman"/>
          <w:lang w:eastAsia="en-IN" w:bidi="ta-IN"/>
        </w:rPr>
        <w:t xml:space="preserve"> </w:t>
      </w:r>
      <w:r w:rsidRPr="00A85C5A">
        <w:rPr>
          <w:rFonts w:eastAsia="MS Mincho"/>
          <w:bCs/>
          <w:kern w:val="24"/>
          <w:lang w:eastAsia="en-US"/>
        </w:rPr>
        <w:t>(</w:t>
      </w:r>
      <w:r w:rsidRPr="00A85C5A">
        <w:rPr>
          <w:rFonts w:eastAsia="AdvTimes"/>
          <w:bCs/>
          <w:lang w:eastAsia="en-IN"/>
        </w:rPr>
        <w:t>M+1</w:t>
      </w:r>
      <w:r w:rsidRPr="00A85C5A">
        <w:rPr>
          <w:rFonts w:eastAsia="MS Mincho"/>
          <w:bCs/>
          <w:kern w:val="24"/>
          <w:lang w:eastAsia="en-US"/>
        </w:rPr>
        <w:t xml:space="preserve">) </w:t>
      </w:r>
      <w:r w:rsidRPr="00A85C5A">
        <w:rPr>
          <w:rFonts w:eastAsia="TimesNewRoman"/>
          <w:lang w:eastAsia="en-IN" w:bidi="ta-IN"/>
        </w:rPr>
        <w:t xml:space="preserve">with relative abundance </w:t>
      </w:r>
      <w:r w:rsidRPr="00A85C5A">
        <w:rPr>
          <w:bCs/>
          <w:kern w:val="24"/>
          <w:lang w:eastAsia="en-US"/>
        </w:rPr>
        <w:t xml:space="preserve">531.98 </w:t>
      </w:r>
      <w:r w:rsidRPr="00A85C5A">
        <w:rPr>
          <w:rFonts w:eastAsia="TimesNewRoman"/>
          <w:lang w:eastAsia="en-IN" w:bidi="ta-IN"/>
        </w:rPr>
        <w:t>(</w:t>
      </w:r>
      <w:r w:rsidRPr="00A85C5A">
        <w:rPr>
          <w:rFonts w:eastAsia="TimesNewRoman"/>
          <w:b/>
          <w:bCs/>
          <w:lang w:eastAsia="en-IN" w:bidi="ta-IN"/>
        </w:rPr>
        <w:t>2</w:t>
      </w:r>
      <w:r w:rsidRPr="00A85C5A">
        <w:rPr>
          <w:rFonts w:eastAsia="TimesNewRoman"/>
          <w:lang w:eastAsia="en-IN" w:bidi="ta-IN"/>
        </w:rPr>
        <w:t xml:space="preserve">), </w:t>
      </w:r>
      <w:r w:rsidRPr="00A85C5A">
        <w:rPr>
          <w:bCs/>
          <w:kern w:val="24"/>
          <w:lang w:eastAsia="en-US"/>
        </w:rPr>
        <w:t xml:space="preserve">527.98 </w:t>
      </w:r>
      <w:r w:rsidRPr="00A85C5A">
        <w:rPr>
          <w:rFonts w:eastAsia="TimesNewRoman"/>
          <w:lang w:eastAsia="en-IN" w:bidi="ta-IN"/>
        </w:rPr>
        <w:t>(</w:t>
      </w:r>
      <w:r w:rsidRPr="00A85C5A">
        <w:rPr>
          <w:rFonts w:eastAsia="TimesNewRoman"/>
          <w:b/>
          <w:bCs/>
          <w:lang w:eastAsia="en-IN" w:bidi="ta-IN"/>
        </w:rPr>
        <w:t>3</w:t>
      </w:r>
      <w:r w:rsidRPr="00A85C5A">
        <w:rPr>
          <w:rFonts w:eastAsia="TimesNewRoman"/>
          <w:lang w:eastAsia="en-IN" w:bidi="ta-IN"/>
        </w:rPr>
        <w:t xml:space="preserve">), </w:t>
      </w:r>
      <w:r w:rsidRPr="00A85C5A">
        <w:rPr>
          <w:bCs/>
          <w:kern w:val="24"/>
          <w:lang w:eastAsia="en-US"/>
        </w:rPr>
        <w:t xml:space="preserve">531.73 </w:t>
      </w:r>
      <w:r w:rsidRPr="00A85C5A">
        <w:rPr>
          <w:rFonts w:eastAsia="TimesNewRoman"/>
          <w:bCs/>
          <w:lang w:eastAsia="en-IN" w:bidi="ta-IN"/>
        </w:rPr>
        <w:t>(</w:t>
      </w:r>
      <w:r w:rsidRPr="00A85C5A">
        <w:rPr>
          <w:rFonts w:eastAsia="TimesNewRoman"/>
          <w:b/>
          <w:lang w:eastAsia="en-IN" w:bidi="ta-IN"/>
        </w:rPr>
        <w:t>4</w:t>
      </w:r>
      <w:r w:rsidRPr="00A85C5A">
        <w:rPr>
          <w:rFonts w:eastAsia="TimesNewRoman"/>
          <w:bCs/>
          <w:lang w:eastAsia="en-IN" w:bidi="ta-IN"/>
        </w:rPr>
        <w:t xml:space="preserve">) </w:t>
      </w:r>
      <w:r w:rsidRPr="00A85C5A">
        <w:rPr>
          <w:rFonts w:eastAsia="TimesNewRoman"/>
          <w:lang w:eastAsia="en-IN" w:bidi="ta-IN"/>
        </w:rPr>
        <w:t xml:space="preserve">and </w:t>
      </w:r>
      <w:r w:rsidRPr="00A85C5A">
        <w:rPr>
          <w:bCs/>
          <w:kern w:val="24"/>
          <w:lang w:eastAsia="en-US"/>
        </w:rPr>
        <w:t xml:space="preserve">538.42 </w:t>
      </w:r>
      <w:r w:rsidRPr="00A85C5A">
        <w:rPr>
          <w:rFonts w:eastAsia="TimesNewRoman"/>
          <w:bCs/>
          <w:lang w:eastAsia="en-IN" w:bidi="ta-IN"/>
        </w:rPr>
        <w:t>(</w:t>
      </w:r>
      <w:r w:rsidRPr="00A85C5A">
        <w:rPr>
          <w:rFonts w:eastAsia="TimesNewRoman"/>
          <w:b/>
          <w:lang w:eastAsia="en-IN" w:bidi="ta-IN"/>
        </w:rPr>
        <w:t>5</w:t>
      </w:r>
      <w:r w:rsidRPr="00A85C5A">
        <w:rPr>
          <w:rFonts w:eastAsia="TimesNewRoman"/>
          <w:bCs/>
          <w:lang w:eastAsia="en-IN" w:bidi="ta-IN"/>
        </w:rPr>
        <w:t>)</w:t>
      </w:r>
      <w:r w:rsidRPr="00A85C5A">
        <w:rPr>
          <w:rFonts w:eastAsia="TimesNewRoman"/>
          <w:lang w:eastAsia="en-IN" w:bidi="ta-IN"/>
        </w:rPr>
        <w:t>.</w:t>
      </w:r>
      <w:r w:rsidRPr="00A85C5A">
        <w:rPr>
          <w:rFonts w:eastAsia="MS Mincho"/>
          <w:bCs/>
          <w:kern w:val="24"/>
          <w:lang w:eastAsia="en-US"/>
        </w:rPr>
        <w:t xml:space="preserve"> </w:t>
      </w:r>
    </w:p>
    <w:p w:rsidR="00CF7068" w:rsidRPr="00A85C5A" w:rsidRDefault="00CF7068" w:rsidP="00CF7068">
      <w:pPr>
        <w:overflowPunct w:val="0"/>
        <w:autoSpaceDE w:val="0"/>
        <w:autoSpaceDN w:val="0"/>
        <w:adjustRightInd w:val="0"/>
        <w:spacing w:line="240" w:lineRule="auto"/>
        <w:contextualSpacing/>
        <w:jc w:val="both"/>
        <w:textAlignment w:val="baseline"/>
        <w:rPr>
          <w:b/>
          <w:bCs/>
          <w:lang w:eastAsia="en-US"/>
        </w:rPr>
      </w:pPr>
    </w:p>
    <w:tbl>
      <w:tblPr>
        <w:tblStyle w:val="TableGrid10"/>
        <w:tblW w:w="0" w:type="auto"/>
        <w:jc w:val="center"/>
        <w:tblLook w:val="04A0" w:firstRow="1" w:lastRow="0" w:firstColumn="1" w:lastColumn="0" w:noHBand="0" w:noVBand="1"/>
      </w:tblPr>
      <w:tblGrid>
        <w:gridCol w:w="8106"/>
      </w:tblGrid>
      <w:tr w:rsidR="00CF7068" w:rsidRPr="00A85C5A" w:rsidTr="00867F16">
        <w:trPr>
          <w:jc w:val="center"/>
        </w:trPr>
        <w:tc>
          <w:tcPr>
            <w:tcW w:w="8106" w:type="dxa"/>
            <w:tcBorders>
              <w:top w:val="nil"/>
              <w:left w:val="nil"/>
              <w:bottom w:val="nil"/>
              <w:right w:val="nil"/>
            </w:tcBorders>
          </w:tcPr>
          <w:p w:rsidR="00CF7068" w:rsidRPr="00A85C5A" w:rsidRDefault="00CF7068" w:rsidP="00867F16">
            <w:pPr>
              <w:kinsoku w:val="0"/>
              <w:overflowPunct w:val="0"/>
              <w:autoSpaceDE w:val="0"/>
              <w:autoSpaceDN w:val="0"/>
              <w:adjustRightInd w:val="0"/>
              <w:spacing w:line="240" w:lineRule="auto"/>
              <w:contextualSpacing/>
              <w:jc w:val="both"/>
              <w:textAlignment w:val="baseline"/>
              <w:rPr>
                <w:bCs/>
                <w:kern w:val="24"/>
                <w:lang w:eastAsia="en-US"/>
              </w:rPr>
            </w:pPr>
            <w:r w:rsidRPr="00A85C5A">
              <w:rPr>
                <w:bCs/>
                <w:noProof/>
                <w:kern w:val="24"/>
                <w:lang w:val="en-US" w:eastAsia="en-US"/>
              </w:rPr>
              <w:drawing>
                <wp:inline distT="0" distB="0" distL="0" distR="0">
                  <wp:extent cx="4854875" cy="2829464"/>
                  <wp:effectExtent l="38100" t="57150" r="117175" b="104236"/>
                  <wp:docPr id="1" name="Picture 1" descr="C:\Users\elcot\Desktop\very final cu (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cot\Desktop\very final cu (PHEN).JPG"/>
                          <pic:cNvPicPr>
                            <a:picLocks noChangeAspect="1" noChangeArrowheads="1"/>
                          </pic:cNvPicPr>
                        </pic:nvPicPr>
                        <pic:blipFill>
                          <a:blip r:embed="rId10" cstate="print"/>
                          <a:srcRect/>
                          <a:stretch>
                            <a:fillRect/>
                          </a:stretch>
                        </pic:blipFill>
                        <pic:spPr bwMode="auto">
                          <a:xfrm>
                            <a:off x="0" y="0"/>
                            <a:ext cx="4857750" cy="2831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F7068" w:rsidRPr="00A85C5A" w:rsidRDefault="00CF7068" w:rsidP="00867F16">
            <w:pPr>
              <w:tabs>
                <w:tab w:val="left" w:pos="3945"/>
              </w:tabs>
              <w:overflowPunct w:val="0"/>
              <w:autoSpaceDE w:val="0"/>
              <w:autoSpaceDN w:val="0"/>
              <w:adjustRightInd w:val="0"/>
              <w:spacing w:line="240" w:lineRule="auto"/>
              <w:jc w:val="center"/>
              <w:textAlignment w:val="baseline"/>
              <w:rPr>
                <w:rFonts w:ascii="Times New Roman" w:hAnsi="Times New Roman"/>
                <w:kern w:val="24"/>
                <w:lang w:eastAsia="en-US"/>
              </w:rPr>
            </w:pPr>
            <w:r w:rsidRPr="00A85C5A">
              <w:rPr>
                <w:rFonts w:ascii="Times New Roman" w:hAnsi="Times New Roman"/>
                <w:b/>
                <w:lang w:eastAsia="en-US"/>
              </w:rPr>
              <w:t>Fig. S1</w:t>
            </w:r>
            <w:r w:rsidRPr="00A85C5A">
              <w:rPr>
                <w:rFonts w:ascii="Times New Roman" w:hAnsi="Times New Roman"/>
                <w:lang w:eastAsia="en-US"/>
              </w:rPr>
              <w:t xml:space="preserve"> ESI-MS Mass spectrum of </w:t>
            </w:r>
            <w:r w:rsidRPr="00A85C5A">
              <w:rPr>
                <w:rFonts w:ascii="Times New Roman" w:hAnsi="Times New Roman"/>
                <w:kern w:val="24"/>
                <w:lang w:eastAsia="en-US"/>
              </w:rPr>
              <w:t>complex (</w:t>
            </w:r>
            <w:r w:rsidRPr="00A85C5A">
              <w:rPr>
                <w:rFonts w:ascii="Times New Roman" w:hAnsi="Times New Roman"/>
                <w:b/>
                <w:bCs/>
                <w:kern w:val="24"/>
                <w:lang w:eastAsia="en-US"/>
              </w:rPr>
              <w:t>1)</w:t>
            </w:r>
          </w:p>
        </w:tc>
      </w:tr>
    </w:tbl>
    <w:p w:rsidR="00CF7068" w:rsidRPr="00A85C5A" w:rsidRDefault="00CF7068" w:rsidP="00CF7068">
      <w:pPr>
        <w:overflowPunct w:val="0"/>
        <w:autoSpaceDE w:val="0"/>
        <w:autoSpaceDN w:val="0"/>
        <w:adjustRightInd w:val="0"/>
        <w:spacing w:line="240" w:lineRule="auto"/>
        <w:contextualSpacing/>
        <w:jc w:val="both"/>
        <w:textAlignment w:val="baseline"/>
        <w:rPr>
          <w:i/>
          <w:iCs/>
          <w:lang w:val="en-IN" w:eastAsia="en-US" w:bidi="ta-IN"/>
        </w:rPr>
      </w:pPr>
    </w:p>
    <w:p w:rsidR="00EC6E98" w:rsidRPr="00A85C5A" w:rsidRDefault="00EC6E98" w:rsidP="00EC6E98">
      <w:pPr>
        <w:overflowPunct w:val="0"/>
        <w:autoSpaceDE w:val="0"/>
        <w:autoSpaceDN w:val="0"/>
        <w:adjustRightInd w:val="0"/>
        <w:contextualSpacing/>
        <w:jc w:val="both"/>
        <w:textAlignment w:val="baseline"/>
        <w:rPr>
          <w:i/>
          <w:iCs/>
          <w:lang w:val="en-IN" w:eastAsia="en-US" w:bidi="ta-IN"/>
        </w:rPr>
      </w:pPr>
    </w:p>
    <w:p w:rsidR="00EC6E98" w:rsidRPr="00A85C5A" w:rsidRDefault="00EC6E98" w:rsidP="00EC6E98">
      <w:pPr>
        <w:overflowPunct w:val="0"/>
        <w:autoSpaceDE w:val="0"/>
        <w:autoSpaceDN w:val="0"/>
        <w:adjustRightInd w:val="0"/>
        <w:contextualSpacing/>
        <w:jc w:val="both"/>
        <w:textAlignment w:val="baseline"/>
        <w:rPr>
          <w:b/>
          <w:bCs/>
          <w:i/>
          <w:iCs/>
          <w:lang w:val="en-IN" w:eastAsia="en-US" w:bidi="ta-IN"/>
        </w:rPr>
      </w:pPr>
      <w:r w:rsidRPr="00A85C5A">
        <w:rPr>
          <w:i/>
          <w:iCs/>
          <w:lang w:val="en-IN" w:eastAsia="en-US" w:bidi="ta-IN"/>
        </w:rPr>
        <w:t xml:space="preserve"> </w:t>
      </w:r>
      <w:r w:rsidRPr="00A85C5A">
        <w:rPr>
          <w:b/>
          <w:bCs/>
          <w:i/>
          <w:iCs/>
          <w:lang w:val="en-IN" w:eastAsia="en-US" w:bidi="ta-IN"/>
        </w:rPr>
        <w:t xml:space="preserve">Proton nuclear magnetic resonance spectra </w:t>
      </w:r>
    </w:p>
    <w:p w:rsidR="00EC6E98" w:rsidRPr="00A85C5A" w:rsidRDefault="00EC6E98" w:rsidP="00EC6E98">
      <w:pPr>
        <w:overflowPunct w:val="0"/>
        <w:autoSpaceDE w:val="0"/>
        <w:autoSpaceDN w:val="0"/>
        <w:adjustRightInd w:val="0"/>
        <w:contextualSpacing/>
        <w:jc w:val="both"/>
        <w:textAlignment w:val="baseline"/>
        <w:rPr>
          <w:lang w:val="en-IN" w:eastAsia="en-US" w:bidi="ta-IN"/>
        </w:rPr>
      </w:pPr>
      <w:r w:rsidRPr="00A85C5A">
        <w:rPr>
          <w:lang w:eastAsia="en-US"/>
        </w:rPr>
        <w:t xml:space="preserve">The </w:t>
      </w:r>
      <w:r w:rsidRPr="00A85C5A">
        <w:rPr>
          <w:vertAlign w:val="superscript"/>
          <w:lang w:eastAsia="en-US"/>
        </w:rPr>
        <w:t>1</w:t>
      </w:r>
      <w:r w:rsidRPr="00A85C5A">
        <w:rPr>
          <w:lang w:eastAsia="en-US"/>
        </w:rPr>
        <w:t>H NMR spectra of the Schiff base ligand (</w:t>
      </w:r>
      <w:r w:rsidRPr="00A85C5A">
        <w:rPr>
          <w:b/>
          <w:bCs/>
          <w:lang w:eastAsia="en-US"/>
        </w:rPr>
        <w:t>LH</w:t>
      </w:r>
      <w:r w:rsidRPr="00A85C5A">
        <w:rPr>
          <w:lang w:eastAsia="en-US"/>
        </w:rPr>
        <w:t>) and its complex (</w:t>
      </w:r>
      <w:r w:rsidRPr="00A85C5A">
        <w:rPr>
          <w:b/>
          <w:bCs/>
          <w:lang w:eastAsia="en-US"/>
        </w:rPr>
        <w:t>5</w:t>
      </w:r>
      <w:r w:rsidRPr="00A85C5A">
        <w:rPr>
          <w:lang w:eastAsia="en-US"/>
        </w:rPr>
        <w:t>) show the following signals: δ values of ligand (</w:t>
      </w:r>
      <w:r w:rsidRPr="00A85C5A">
        <w:rPr>
          <w:b/>
          <w:bCs/>
          <w:lang w:eastAsia="en-US"/>
        </w:rPr>
        <w:t>LH</w:t>
      </w:r>
      <w:r w:rsidRPr="00A85C5A">
        <w:rPr>
          <w:lang w:eastAsia="en-US"/>
        </w:rPr>
        <w:t xml:space="preserve">): </w:t>
      </w:r>
      <w:r w:rsidRPr="00A85C5A">
        <w:rPr>
          <w:lang w:val="pt-BR" w:eastAsia="en-US"/>
        </w:rPr>
        <w:t xml:space="preserve">aromatic protons </w:t>
      </w:r>
      <w:r w:rsidRPr="00A85C5A">
        <w:rPr>
          <w:lang w:eastAsia="en-US"/>
        </w:rPr>
        <w:t>(m, 4H) at 6.84–7.32 ppm; azomethine proton (</w:t>
      </w:r>
      <w:r w:rsidRPr="00A85C5A">
        <w:rPr>
          <w:lang w:val="pt-BR" w:eastAsia="en-US"/>
        </w:rPr>
        <w:t xml:space="preserve">-HC=N-) </w:t>
      </w:r>
      <w:r w:rsidRPr="00A85C5A">
        <w:rPr>
          <w:lang w:eastAsia="en-US"/>
        </w:rPr>
        <w:t xml:space="preserve">(s, 1H) at </w:t>
      </w:r>
      <w:r w:rsidRPr="00A85C5A">
        <w:rPr>
          <w:rFonts w:eastAsia="AdvGulliv-R"/>
          <w:lang w:val="en-IN" w:eastAsia="en-US"/>
        </w:rPr>
        <w:t xml:space="preserve">8.35 </w:t>
      </w:r>
      <w:r w:rsidRPr="00A85C5A">
        <w:rPr>
          <w:lang w:eastAsia="en-US"/>
        </w:rPr>
        <w:t>ppm; morpholinic-OCH</w:t>
      </w:r>
      <w:r w:rsidRPr="00A85C5A">
        <w:rPr>
          <w:vertAlign w:val="subscript"/>
          <w:lang w:eastAsia="en-US"/>
        </w:rPr>
        <w:t xml:space="preserve">2 </w:t>
      </w:r>
      <w:r w:rsidRPr="00A85C5A">
        <w:rPr>
          <w:lang w:val="pt-BR" w:eastAsia="en-US"/>
        </w:rPr>
        <w:t xml:space="preserve">protons </w:t>
      </w:r>
      <w:r w:rsidRPr="00A85C5A">
        <w:rPr>
          <w:lang w:eastAsia="en-US"/>
        </w:rPr>
        <w:t>(t, 4H) at 3.72 ppm; morpholinic-N-CH</w:t>
      </w:r>
      <w:r w:rsidRPr="00A85C5A">
        <w:rPr>
          <w:vertAlign w:val="subscript"/>
          <w:lang w:eastAsia="en-US"/>
        </w:rPr>
        <w:t xml:space="preserve">2 </w:t>
      </w:r>
      <w:r w:rsidRPr="00A85C5A">
        <w:rPr>
          <w:lang w:eastAsia="en-US"/>
        </w:rPr>
        <w:t>(t, 4H) at 2.44 ppm; -CH</w:t>
      </w:r>
      <w:r w:rsidRPr="00A85C5A">
        <w:rPr>
          <w:vertAlign w:val="subscript"/>
          <w:lang w:eastAsia="en-US"/>
        </w:rPr>
        <w:t>2</w:t>
      </w:r>
      <w:r w:rsidRPr="00A85C5A">
        <w:rPr>
          <w:lang w:eastAsia="en-US"/>
        </w:rPr>
        <w:t>-CH</w:t>
      </w:r>
      <w:r w:rsidRPr="00A85C5A">
        <w:rPr>
          <w:vertAlign w:val="subscript"/>
          <w:lang w:eastAsia="en-US"/>
        </w:rPr>
        <w:t>2</w:t>
      </w:r>
      <w:r w:rsidRPr="00A85C5A">
        <w:rPr>
          <w:lang w:eastAsia="en-US"/>
        </w:rPr>
        <w:t xml:space="preserve"> protons (p, 2H) at 2.22 ppm; </w:t>
      </w:r>
      <w:r w:rsidRPr="00A85C5A">
        <w:rPr>
          <w:lang w:val="pt-BR" w:eastAsia="en-US"/>
        </w:rPr>
        <w:t>phenolic-OH</w:t>
      </w:r>
      <w:r w:rsidRPr="00A85C5A">
        <w:rPr>
          <w:lang w:eastAsia="en-US"/>
        </w:rPr>
        <w:t xml:space="preserve"> proton (s, 1H) at 13.52 ppm. </w:t>
      </w:r>
      <w:r w:rsidRPr="00A85C5A">
        <w:rPr>
          <w:rFonts w:eastAsia="MS Mincho"/>
          <w:kern w:val="24"/>
          <w:lang w:eastAsia="en-US"/>
        </w:rPr>
        <w:t>Complex (</w:t>
      </w:r>
      <w:r w:rsidRPr="00A85C5A">
        <w:rPr>
          <w:rFonts w:eastAsia="MS Mincho"/>
          <w:b/>
          <w:bCs/>
          <w:kern w:val="24"/>
          <w:lang w:eastAsia="en-US"/>
        </w:rPr>
        <w:t>5</w:t>
      </w:r>
      <w:r w:rsidRPr="00A85C5A">
        <w:rPr>
          <w:rFonts w:eastAsia="MS Mincho"/>
          <w:kern w:val="24"/>
          <w:lang w:eastAsia="en-US"/>
        </w:rPr>
        <w:t>):</w:t>
      </w:r>
      <w:r w:rsidRPr="00A85C5A">
        <w:rPr>
          <w:lang w:val="pt-BR" w:eastAsia="en-US"/>
        </w:rPr>
        <w:t xml:space="preserve"> aromatic protons </w:t>
      </w:r>
      <w:r w:rsidRPr="00A85C5A">
        <w:rPr>
          <w:lang w:eastAsia="en-US"/>
        </w:rPr>
        <w:t>(m, 12H) at 6.88 – 7.88 ppm; azomethine proton (</w:t>
      </w:r>
      <w:r w:rsidRPr="00A85C5A">
        <w:rPr>
          <w:lang w:val="pt-BR" w:eastAsia="en-US"/>
        </w:rPr>
        <w:t xml:space="preserve">-HC=N-) </w:t>
      </w:r>
      <w:r w:rsidRPr="00A85C5A">
        <w:rPr>
          <w:lang w:eastAsia="en-US"/>
        </w:rPr>
        <w:t>(s, 1H) at 8.50 ppm; phen-CH=N proton (s, 2H) at 9.27 ppm; morpholinic-O-CH</w:t>
      </w:r>
      <w:r w:rsidRPr="00A85C5A">
        <w:rPr>
          <w:vertAlign w:val="subscript"/>
          <w:lang w:eastAsia="en-US"/>
        </w:rPr>
        <w:t xml:space="preserve">2 </w:t>
      </w:r>
      <w:r w:rsidRPr="00A85C5A">
        <w:rPr>
          <w:lang w:eastAsia="en-US"/>
        </w:rPr>
        <w:t>protons (t, 4H) at 3.73 ppm; morpholinic-N-CH</w:t>
      </w:r>
      <w:r w:rsidRPr="00A85C5A">
        <w:rPr>
          <w:vertAlign w:val="subscript"/>
          <w:lang w:eastAsia="en-US"/>
        </w:rPr>
        <w:t>2</w:t>
      </w:r>
      <w:r w:rsidRPr="00A85C5A">
        <w:rPr>
          <w:lang w:eastAsia="en-US"/>
        </w:rPr>
        <w:t xml:space="preserve"> protons</w:t>
      </w:r>
      <w:r w:rsidRPr="00A85C5A">
        <w:rPr>
          <w:vertAlign w:val="subscript"/>
          <w:lang w:eastAsia="en-US"/>
        </w:rPr>
        <w:t xml:space="preserve"> </w:t>
      </w:r>
      <w:r w:rsidRPr="00A85C5A">
        <w:rPr>
          <w:lang w:eastAsia="en-US"/>
        </w:rPr>
        <w:t xml:space="preserve">(t, 4H) at 2.94 ppm; </w:t>
      </w:r>
      <w:r w:rsidRPr="00A85C5A">
        <w:rPr>
          <w:lang w:val="pt-BR" w:eastAsia="en-US"/>
        </w:rPr>
        <w:t xml:space="preserve">acetate </w:t>
      </w:r>
      <w:r w:rsidRPr="00A85C5A">
        <w:rPr>
          <w:lang w:eastAsia="en-US"/>
        </w:rPr>
        <w:t>protons</w:t>
      </w:r>
      <w:r w:rsidRPr="00A85C5A">
        <w:rPr>
          <w:lang w:val="pt-BR" w:eastAsia="en-US"/>
        </w:rPr>
        <w:t xml:space="preserve"> </w:t>
      </w:r>
      <w:r w:rsidRPr="00A85C5A">
        <w:rPr>
          <w:lang w:eastAsia="en-US"/>
        </w:rPr>
        <w:t xml:space="preserve">(s, 3H) at 2.04 ppm. </w:t>
      </w:r>
      <w:r w:rsidRPr="00A85C5A">
        <w:rPr>
          <w:rFonts w:eastAsia="AdvTimes"/>
          <w:lang w:eastAsia="en-US"/>
        </w:rPr>
        <w:t xml:space="preserve">The observed </w:t>
      </w:r>
      <w:r w:rsidRPr="00A85C5A">
        <w:rPr>
          <w:rFonts w:eastAsia="AdvTimes"/>
          <w:vertAlign w:val="superscript"/>
          <w:lang w:eastAsia="en-US"/>
        </w:rPr>
        <w:t>1</w:t>
      </w:r>
      <w:r w:rsidRPr="00A85C5A">
        <w:rPr>
          <w:rFonts w:eastAsia="AdvTimes"/>
          <w:lang w:eastAsia="en-US"/>
        </w:rPr>
        <w:t xml:space="preserve">H NMR spectra data </w:t>
      </w:r>
      <w:r w:rsidRPr="00A85C5A">
        <w:rPr>
          <w:lang w:eastAsia="en-US"/>
        </w:rPr>
        <w:t>of the complex (</w:t>
      </w:r>
      <w:r w:rsidRPr="00A85C5A">
        <w:rPr>
          <w:b/>
          <w:bCs/>
          <w:lang w:eastAsia="en-US"/>
        </w:rPr>
        <w:t>5</w:t>
      </w:r>
      <w:r w:rsidRPr="00A85C5A">
        <w:rPr>
          <w:lang w:eastAsia="en-US"/>
        </w:rPr>
        <w:t>)</w:t>
      </w:r>
      <w:r w:rsidRPr="00A85C5A">
        <w:rPr>
          <w:rFonts w:eastAsia="AdvTimes"/>
          <w:lang w:eastAsia="en-US"/>
        </w:rPr>
        <w:t xml:space="preserve"> assigned that </w:t>
      </w:r>
      <w:r w:rsidRPr="00A85C5A">
        <w:rPr>
          <w:lang w:eastAsia="en-US"/>
        </w:rPr>
        <w:t>the azomethine proton (</w:t>
      </w:r>
      <w:r w:rsidRPr="00A85C5A">
        <w:rPr>
          <w:lang w:val="pt-BR" w:eastAsia="en-US"/>
        </w:rPr>
        <w:t xml:space="preserve">-HC=N-) </w:t>
      </w:r>
      <w:r w:rsidRPr="00A85C5A">
        <w:rPr>
          <w:lang w:eastAsia="en-US"/>
        </w:rPr>
        <w:t>and morpholinic-N-CH</w:t>
      </w:r>
      <w:r w:rsidRPr="00A85C5A">
        <w:rPr>
          <w:vertAlign w:val="subscript"/>
          <w:lang w:eastAsia="en-US"/>
        </w:rPr>
        <w:t>2</w:t>
      </w:r>
      <w:r w:rsidRPr="00A85C5A">
        <w:rPr>
          <w:lang w:eastAsia="en-US"/>
        </w:rPr>
        <w:t xml:space="preserve"> proton signals are shifted to down field (deshielding) as compared to free ligand signals because of azomethine and morpholinic nitrogen atoms are taking part in complexation (</w:t>
      </w:r>
      <w:r w:rsidRPr="00A85C5A">
        <w:rPr>
          <w:bCs/>
          <w:lang w:eastAsia="en-US"/>
        </w:rPr>
        <w:t>Singh</w:t>
      </w:r>
      <w:r w:rsidR="001A4ACF" w:rsidRPr="00A85C5A">
        <w:rPr>
          <w:bCs/>
          <w:lang w:eastAsia="en-US"/>
        </w:rPr>
        <w:t xml:space="preserve">, Pandey, </w:t>
      </w:r>
      <w:r w:rsidR="001A4ACF" w:rsidRPr="00A85C5A">
        <w:rPr>
          <w:bCs/>
          <w:lang w:val="en-IN" w:eastAsia="en-US"/>
        </w:rPr>
        <w:t xml:space="preserve">&amp; </w:t>
      </w:r>
      <w:r w:rsidR="001A4ACF" w:rsidRPr="00A85C5A">
        <w:rPr>
          <w:bCs/>
          <w:lang w:eastAsia="en-US"/>
        </w:rPr>
        <w:t>Sengupta,</w:t>
      </w:r>
      <w:r w:rsidRPr="00A85C5A">
        <w:rPr>
          <w:lang w:eastAsia="en-US"/>
        </w:rPr>
        <w:t xml:space="preserve"> 2012). </w:t>
      </w:r>
      <w:r w:rsidRPr="00A85C5A">
        <w:rPr>
          <w:lang w:val="en-IN" w:eastAsia="en-US" w:bidi="ta-IN"/>
        </w:rPr>
        <w:t xml:space="preserve">The absence of </w:t>
      </w:r>
      <w:r w:rsidRPr="00A85C5A">
        <w:rPr>
          <w:lang w:eastAsia="en-US"/>
        </w:rPr>
        <w:t xml:space="preserve">singlet peak at 13.52 ppm </w:t>
      </w:r>
      <w:r w:rsidRPr="00A85C5A">
        <w:rPr>
          <w:lang w:val="en-IN" w:eastAsia="en-US" w:bidi="ta-IN"/>
        </w:rPr>
        <w:t>in the complex (</w:t>
      </w:r>
      <w:r w:rsidRPr="00A85C5A">
        <w:rPr>
          <w:b/>
          <w:bCs/>
          <w:lang w:val="en-IN" w:eastAsia="en-US" w:bidi="ta-IN"/>
        </w:rPr>
        <w:t>5</w:t>
      </w:r>
      <w:r w:rsidRPr="00A85C5A">
        <w:rPr>
          <w:lang w:val="en-IN" w:eastAsia="en-US" w:bidi="ta-IN"/>
        </w:rPr>
        <w:t>) indicates the deprotonation of –OH proton due to complexation and there is no appreciable change in other signals in the complex (</w:t>
      </w:r>
      <w:r w:rsidRPr="00A85C5A">
        <w:rPr>
          <w:b/>
          <w:bCs/>
          <w:lang w:val="en-IN" w:eastAsia="en-US" w:bidi="ta-IN"/>
        </w:rPr>
        <w:t>5</w:t>
      </w:r>
      <w:r w:rsidRPr="00A85C5A">
        <w:rPr>
          <w:lang w:val="en-IN" w:eastAsia="en-US" w:bidi="ta-IN"/>
        </w:rPr>
        <w:t>)</w:t>
      </w:r>
      <w:r w:rsidRPr="00A85C5A">
        <w:rPr>
          <w:rFonts w:eastAsia="TimesNewRoman"/>
          <w:bCs/>
          <w:lang w:eastAsia="en-IN" w:bidi="ta-IN"/>
        </w:rPr>
        <w:t xml:space="preserve"> (</w:t>
      </w:r>
      <w:r w:rsidRPr="00A85C5A">
        <w:rPr>
          <w:lang w:val="rm-CH" w:eastAsia="rm-CH"/>
        </w:rPr>
        <w:t>Fig. S2)</w:t>
      </w:r>
      <w:r w:rsidRPr="00A85C5A">
        <w:rPr>
          <w:lang w:val="en-IN" w:eastAsia="en-US" w:bidi="ta-IN"/>
        </w:rPr>
        <w:t>.</w:t>
      </w:r>
    </w:p>
    <w:tbl>
      <w:tblPr>
        <w:tblStyle w:val="TableGrid10"/>
        <w:tblW w:w="0" w:type="auto"/>
        <w:jc w:val="center"/>
        <w:tblLook w:val="04A0" w:firstRow="1" w:lastRow="0" w:firstColumn="1" w:lastColumn="0" w:noHBand="0" w:noVBand="1"/>
      </w:tblPr>
      <w:tblGrid>
        <w:gridCol w:w="7326"/>
      </w:tblGrid>
      <w:tr w:rsidR="00CF7068" w:rsidRPr="00A85C5A" w:rsidTr="00867F16">
        <w:trPr>
          <w:jc w:val="center"/>
        </w:trPr>
        <w:tc>
          <w:tcPr>
            <w:tcW w:w="7326" w:type="dxa"/>
            <w:tcBorders>
              <w:top w:val="nil"/>
              <w:left w:val="nil"/>
              <w:bottom w:val="nil"/>
              <w:right w:val="nil"/>
            </w:tcBorders>
          </w:tcPr>
          <w:p w:rsidR="00CF7068" w:rsidRPr="00A85C5A" w:rsidRDefault="00CF7068" w:rsidP="00867F16">
            <w:pPr>
              <w:overflowPunct w:val="0"/>
              <w:autoSpaceDE w:val="0"/>
              <w:autoSpaceDN w:val="0"/>
              <w:adjustRightInd w:val="0"/>
              <w:spacing w:line="240" w:lineRule="auto"/>
              <w:contextualSpacing/>
              <w:jc w:val="both"/>
              <w:textAlignment w:val="baseline"/>
              <w:rPr>
                <w:lang w:eastAsia="en-US"/>
              </w:rPr>
            </w:pPr>
            <w:r w:rsidRPr="00A85C5A">
              <w:rPr>
                <w:noProof/>
                <w:lang w:val="en-US" w:eastAsia="en-US"/>
              </w:rPr>
              <w:drawing>
                <wp:inline distT="0" distB="0" distL="0" distR="0">
                  <wp:extent cx="4355550" cy="2656936"/>
                  <wp:effectExtent l="38100" t="57150" r="121200" b="86264"/>
                  <wp:docPr id="8" name="Picture 2" descr="E:\back up 2017 onwards\1 RUSSIAN JOURNAL OF APPLIED CHEMISTRY\manuscript preparation\111 New preparation russian j applied chem\all spectral datas\3.HNMR\New folder\very final co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ack up 2017 onwards\1 RUSSIAN JOURNAL OF APPLIED CHEMISTRY\manuscript preparation\111 New preparation russian j applied chem\all spectral datas\3.HNMR\New folder\very final com5.jpg"/>
                          <pic:cNvPicPr>
                            <a:picLocks noChangeAspect="1" noChangeArrowheads="1"/>
                          </pic:cNvPicPr>
                        </pic:nvPicPr>
                        <pic:blipFill>
                          <a:blip r:embed="rId11" cstate="print"/>
                          <a:srcRect/>
                          <a:stretch>
                            <a:fillRect/>
                          </a:stretch>
                        </pic:blipFill>
                        <pic:spPr bwMode="auto">
                          <a:xfrm>
                            <a:off x="0" y="0"/>
                            <a:ext cx="4360660" cy="26600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F7068" w:rsidRPr="00A85C5A" w:rsidRDefault="00CF7068" w:rsidP="00867F16">
            <w:pPr>
              <w:tabs>
                <w:tab w:val="left" w:pos="3525"/>
              </w:tabs>
              <w:overflowPunct w:val="0"/>
              <w:autoSpaceDE w:val="0"/>
              <w:autoSpaceDN w:val="0"/>
              <w:adjustRightInd w:val="0"/>
              <w:spacing w:line="240" w:lineRule="auto"/>
              <w:textAlignment w:val="baseline"/>
              <w:rPr>
                <w:rFonts w:ascii="Times New Roman" w:hAnsi="Times New Roman"/>
                <w:bCs/>
                <w:lang w:eastAsia="en-US"/>
              </w:rPr>
            </w:pPr>
            <w:r w:rsidRPr="00A85C5A">
              <w:rPr>
                <w:rFonts w:ascii="Times New Roman" w:hAnsi="Times New Roman"/>
                <w:b/>
                <w:lang w:eastAsia="en-US"/>
              </w:rPr>
              <w:t>Fig. S2</w:t>
            </w:r>
            <w:r w:rsidRPr="00A85C5A">
              <w:rPr>
                <w:rFonts w:ascii="Times New Roman" w:hAnsi="Times New Roman"/>
                <w:lang w:eastAsia="en-US"/>
              </w:rPr>
              <w:t xml:space="preserve"> </w:t>
            </w:r>
            <w:r w:rsidRPr="00A85C5A">
              <w:rPr>
                <w:rFonts w:ascii="Times New Roman" w:hAnsi="Times New Roman"/>
                <w:bCs/>
                <w:vertAlign w:val="superscript"/>
                <w:lang w:val="pt-BR" w:eastAsia="en-US"/>
              </w:rPr>
              <w:t>1</w:t>
            </w:r>
            <w:r w:rsidRPr="00A85C5A">
              <w:rPr>
                <w:rFonts w:ascii="Times New Roman" w:hAnsi="Times New Roman"/>
                <w:bCs/>
                <w:lang w:val="pt-BR" w:eastAsia="en-US"/>
              </w:rPr>
              <w:t>H-NMR-Spectra of ligand (</w:t>
            </w:r>
            <w:r w:rsidRPr="00A85C5A">
              <w:rPr>
                <w:rFonts w:ascii="Times New Roman" w:hAnsi="Times New Roman"/>
                <w:b/>
                <w:bCs/>
                <w:lang w:val="pt-BR" w:eastAsia="en-US"/>
              </w:rPr>
              <w:t>LH</w:t>
            </w:r>
            <w:r w:rsidRPr="00A85C5A">
              <w:rPr>
                <w:rFonts w:ascii="Times New Roman" w:hAnsi="Times New Roman"/>
                <w:bCs/>
                <w:lang w:val="pt-BR" w:eastAsia="en-US"/>
              </w:rPr>
              <w:t xml:space="preserve">) and its </w:t>
            </w:r>
            <w:r w:rsidRPr="00A85C5A">
              <w:rPr>
                <w:rFonts w:ascii="Times New Roman" w:hAnsi="Times New Roman"/>
                <w:bCs/>
                <w:lang w:eastAsia="en-US"/>
              </w:rPr>
              <w:t>complex (</w:t>
            </w:r>
            <w:r w:rsidRPr="00A85C5A">
              <w:rPr>
                <w:rFonts w:ascii="Times New Roman" w:hAnsi="Times New Roman"/>
                <w:b/>
                <w:bCs/>
                <w:lang w:eastAsia="en-US"/>
              </w:rPr>
              <w:t>5</w:t>
            </w:r>
            <w:r w:rsidRPr="00A85C5A">
              <w:rPr>
                <w:rFonts w:ascii="Times New Roman" w:hAnsi="Times New Roman"/>
                <w:bCs/>
                <w:lang w:eastAsia="en-US"/>
              </w:rPr>
              <w:t>)</w:t>
            </w:r>
          </w:p>
        </w:tc>
      </w:tr>
    </w:tbl>
    <w:p w:rsidR="00CF7068" w:rsidRPr="00A85C5A" w:rsidRDefault="00CF7068" w:rsidP="00CF7068">
      <w:pPr>
        <w:overflowPunct w:val="0"/>
        <w:autoSpaceDE w:val="0"/>
        <w:autoSpaceDN w:val="0"/>
        <w:adjustRightInd w:val="0"/>
        <w:spacing w:line="240" w:lineRule="auto"/>
        <w:jc w:val="center"/>
        <w:textAlignment w:val="baseline"/>
        <w:rPr>
          <w:lang w:eastAsia="en-US"/>
        </w:rPr>
      </w:pPr>
    </w:p>
    <w:p w:rsidR="00CF7068" w:rsidRPr="00A85C5A" w:rsidRDefault="00CF7068" w:rsidP="00CF7068">
      <w:pPr>
        <w:overflowPunct w:val="0"/>
        <w:autoSpaceDE w:val="0"/>
        <w:autoSpaceDN w:val="0"/>
        <w:adjustRightInd w:val="0"/>
        <w:spacing w:line="240" w:lineRule="auto"/>
        <w:jc w:val="center"/>
        <w:textAlignment w:val="baseline"/>
        <w:rPr>
          <w:lang w:eastAsia="en-US"/>
        </w:rPr>
      </w:pPr>
    </w:p>
    <w:p w:rsidR="00CF7068" w:rsidRPr="00A85C5A" w:rsidRDefault="00CF7068" w:rsidP="00CF7068">
      <w:pPr>
        <w:overflowPunct w:val="0"/>
        <w:autoSpaceDE w:val="0"/>
        <w:autoSpaceDN w:val="0"/>
        <w:adjustRightInd w:val="0"/>
        <w:spacing w:line="240" w:lineRule="auto"/>
        <w:contextualSpacing/>
        <w:jc w:val="both"/>
        <w:textAlignment w:val="baseline"/>
        <w:rPr>
          <w:lang w:eastAsia="en-US"/>
        </w:rPr>
      </w:pPr>
    </w:p>
    <w:p w:rsidR="00EC6E98" w:rsidRPr="00A85C5A" w:rsidRDefault="00EC6E98" w:rsidP="00EC6E98">
      <w:pPr>
        <w:overflowPunct w:val="0"/>
        <w:autoSpaceDE w:val="0"/>
        <w:autoSpaceDN w:val="0"/>
        <w:adjustRightInd w:val="0"/>
        <w:contextualSpacing/>
        <w:jc w:val="both"/>
        <w:textAlignment w:val="baseline"/>
        <w:rPr>
          <w:b/>
          <w:bCs/>
          <w:i/>
          <w:iCs/>
          <w:lang w:eastAsia="en-US"/>
        </w:rPr>
      </w:pPr>
      <w:r w:rsidRPr="00A85C5A">
        <w:rPr>
          <w:b/>
          <w:bCs/>
          <w:i/>
          <w:iCs/>
          <w:lang w:val="en-IN" w:eastAsia="en-US" w:bidi="ta-IN"/>
        </w:rPr>
        <w:t>Fourier Transform infrared spectra</w:t>
      </w:r>
      <w:r w:rsidRPr="00A85C5A">
        <w:rPr>
          <w:b/>
          <w:bCs/>
          <w:i/>
          <w:iCs/>
          <w:lang w:eastAsia="en-US"/>
        </w:rPr>
        <w:t xml:space="preserve"> </w:t>
      </w:r>
    </w:p>
    <w:p w:rsidR="00EC6E98" w:rsidRPr="00A85C5A" w:rsidRDefault="00EC6E98" w:rsidP="00EC6E98">
      <w:pPr>
        <w:overflowPunct w:val="0"/>
        <w:autoSpaceDE w:val="0"/>
        <w:autoSpaceDN w:val="0"/>
        <w:adjustRightInd w:val="0"/>
        <w:contextualSpacing/>
        <w:jc w:val="both"/>
        <w:textAlignment w:val="baseline"/>
        <w:rPr>
          <w:lang w:eastAsia="en-US"/>
        </w:rPr>
      </w:pPr>
      <w:r w:rsidRPr="00A85C5A">
        <w:rPr>
          <w:lang w:eastAsia="en-US"/>
        </w:rPr>
        <w:t>In the FT-</w:t>
      </w:r>
      <w:r w:rsidRPr="00A85C5A">
        <w:rPr>
          <w:rFonts w:eastAsia="AdvTimes"/>
          <w:lang w:eastAsia="en-US"/>
        </w:rPr>
        <w:t xml:space="preserve">IR Spectrum of ligand </w:t>
      </w:r>
      <w:r w:rsidRPr="00A85C5A">
        <w:rPr>
          <w:lang w:eastAsia="en-US"/>
        </w:rPr>
        <w:t>(</w:t>
      </w:r>
      <w:r w:rsidRPr="00A85C5A">
        <w:rPr>
          <w:b/>
          <w:bCs/>
          <w:lang w:eastAsia="en-US"/>
        </w:rPr>
        <w:t>LH</w:t>
      </w:r>
      <w:r w:rsidRPr="00A85C5A">
        <w:rPr>
          <w:lang w:eastAsia="en-US"/>
        </w:rPr>
        <w:t xml:space="preserve">) </w:t>
      </w:r>
      <w:r w:rsidRPr="00A85C5A">
        <w:rPr>
          <w:rFonts w:eastAsia="AdvTimes"/>
          <w:lang w:eastAsia="en-US"/>
        </w:rPr>
        <w:t xml:space="preserve">a strong </w:t>
      </w:r>
      <w:r w:rsidRPr="00A85C5A">
        <w:rPr>
          <w:lang w:val="en-IN" w:eastAsia="en-US"/>
        </w:rPr>
        <w:t>sharp</w:t>
      </w:r>
      <w:r w:rsidRPr="00A85C5A">
        <w:rPr>
          <w:rFonts w:eastAsia="AdvTimes"/>
          <w:lang w:eastAsia="en-US"/>
        </w:rPr>
        <w:t xml:space="preserve"> band was observed </w:t>
      </w:r>
      <w:r w:rsidRPr="00A85C5A">
        <w:rPr>
          <w:lang w:val="en-IN" w:eastAsia="en-US"/>
        </w:rPr>
        <w:t xml:space="preserve">at </w:t>
      </w:r>
      <w:r w:rsidRPr="00A85C5A">
        <w:rPr>
          <w:rFonts w:eastAsia="AdvTimes"/>
          <w:lang w:eastAsia="en-US"/>
        </w:rPr>
        <w:t>1635 cm</w:t>
      </w:r>
      <w:r w:rsidRPr="00A85C5A">
        <w:rPr>
          <w:rFonts w:eastAsia="AdvTimes"/>
          <w:vertAlign w:val="superscript"/>
          <w:lang w:eastAsia="en-US"/>
        </w:rPr>
        <w:t>-1</w:t>
      </w:r>
      <w:r w:rsidRPr="00A85C5A">
        <w:rPr>
          <w:rFonts w:eastAsia="AdvTimes"/>
          <w:lang w:eastAsia="en-US"/>
        </w:rPr>
        <w:t xml:space="preserve"> which </w:t>
      </w:r>
      <w:r w:rsidRPr="00A85C5A">
        <w:rPr>
          <w:lang w:val="en-IN" w:eastAsia="en-US"/>
        </w:rPr>
        <w:t>is assigned to the azomethine group (</w:t>
      </w:r>
      <w:r w:rsidRPr="00A85C5A">
        <w:rPr>
          <w:rFonts w:eastAsia="AdvTimes"/>
          <w:lang w:eastAsia="en-US"/>
        </w:rPr>
        <w:t>-HC=N-)</w:t>
      </w:r>
      <w:r w:rsidRPr="00A85C5A">
        <w:rPr>
          <w:lang w:val="en-IN" w:eastAsia="en-US"/>
        </w:rPr>
        <w:t xml:space="preserve"> and </w:t>
      </w:r>
      <w:r w:rsidRPr="00A85C5A">
        <w:rPr>
          <w:rFonts w:eastAsia="AdvTimes"/>
          <w:lang w:eastAsia="en-US"/>
        </w:rPr>
        <w:t>shifted to lower frequencies in the spectra of the complexes (</w:t>
      </w:r>
      <w:r w:rsidRPr="00A85C5A">
        <w:rPr>
          <w:rFonts w:eastAsia="AdvTimes"/>
          <w:b/>
          <w:bCs/>
          <w:lang w:eastAsia="en-US"/>
        </w:rPr>
        <w:t>1-5</w:t>
      </w:r>
      <w:r w:rsidRPr="00A85C5A">
        <w:rPr>
          <w:rFonts w:eastAsia="AdvTimes"/>
          <w:lang w:eastAsia="en-US"/>
        </w:rPr>
        <w:t>) indicating the involvement of imino nitrogen in coordination to the central metal ion (</w:t>
      </w:r>
      <w:r w:rsidRPr="00A85C5A">
        <w:rPr>
          <w:rFonts w:eastAsia="AdvTimes"/>
          <w:bCs/>
          <w:lang w:eastAsia="en-US"/>
        </w:rPr>
        <w:t>Aazam</w:t>
      </w:r>
      <w:r w:rsidRPr="00A85C5A">
        <w:rPr>
          <w:lang w:eastAsia="en-US"/>
        </w:rPr>
        <w:t>,</w:t>
      </w:r>
      <w:r w:rsidR="001A4ACF" w:rsidRPr="00A85C5A">
        <w:rPr>
          <w:rFonts w:eastAsia="AdvTimes"/>
          <w:bCs/>
          <w:lang w:eastAsia="en-US"/>
        </w:rPr>
        <w:t xml:space="preserve"> </w:t>
      </w:r>
      <w:r w:rsidR="001A4ACF" w:rsidRPr="00A85C5A">
        <w:rPr>
          <w:bCs/>
          <w:lang w:eastAsia="en-US"/>
        </w:rPr>
        <w:t xml:space="preserve">EL Husseiny, </w:t>
      </w:r>
      <w:r w:rsidR="001A4ACF" w:rsidRPr="00A85C5A">
        <w:rPr>
          <w:bCs/>
          <w:lang w:val="en-IN" w:eastAsia="en-US"/>
        </w:rPr>
        <w:t>&amp;</w:t>
      </w:r>
      <w:r w:rsidR="001A4ACF" w:rsidRPr="00A85C5A">
        <w:rPr>
          <w:bCs/>
          <w:lang w:eastAsia="en-US"/>
        </w:rPr>
        <w:t xml:space="preserve"> Al-Amri,</w:t>
      </w:r>
      <w:r w:rsidR="001A4ACF" w:rsidRPr="00A85C5A">
        <w:rPr>
          <w:lang w:eastAsia="en-US"/>
        </w:rPr>
        <w:t xml:space="preserve"> </w:t>
      </w:r>
      <w:r w:rsidRPr="00A85C5A">
        <w:rPr>
          <w:lang w:eastAsia="en-US"/>
        </w:rPr>
        <w:t>2012</w:t>
      </w:r>
      <w:r w:rsidRPr="00A85C5A">
        <w:rPr>
          <w:rFonts w:eastAsia="AdvTimes"/>
          <w:lang w:eastAsia="en-US"/>
        </w:rPr>
        <w:t>)</w:t>
      </w:r>
      <w:r w:rsidRPr="00A85C5A">
        <w:rPr>
          <w:lang w:eastAsia="en-US"/>
        </w:rPr>
        <w:t xml:space="preserve"> </w:t>
      </w:r>
      <w:r w:rsidRPr="00A85C5A">
        <w:rPr>
          <w:bCs/>
          <w:lang w:eastAsia="en-US"/>
        </w:rPr>
        <w:t xml:space="preserve">and </w:t>
      </w:r>
      <w:r w:rsidRPr="00A85C5A">
        <w:rPr>
          <w:lang w:eastAsia="en-US"/>
        </w:rPr>
        <w:t xml:space="preserve">morpholinic-C-N-C band found at 1342 </w:t>
      </w:r>
      <w:r w:rsidRPr="00A85C5A">
        <w:rPr>
          <w:rFonts w:eastAsia="AdvTimes"/>
          <w:lang w:eastAsia="en-US"/>
        </w:rPr>
        <w:t>cm</w:t>
      </w:r>
      <w:r w:rsidRPr="00A85C5A">
        <w:rPr>
          <w:rFonts w:eastAsia="AdvTimes"/>
          <w:vertAlign w:val="superscript"/>
          <w:lang w:eastAsia="en-US"/>
        </w:rPr>
        <w:t>-1</w:t>
      </w:r>
      <w:r w:rsidRPr="00A85C5A">
        <w:rPr>
          <w:lang w:eastAsia="en-US"/>
        </w:rPr>
        <w:t xml:space="preserve"> in the ligand (</w:t>
      </w:r>
      <w:r w:rsidRPr="00A85C5A">
        <w:rPr>
          <w:b/>
          <w:bCs/>
          <w:lang w:eastAsia="en-US"/>
        </w:rPr>
        <w:t>LH</w:t>
      </w:r>
      <w:r w:rsidRPr="00A85C5A">
        <w:rPr>
          <w:lang w:eastAsia="en-US"/>
        </w:rPr>
        <w:t xml:space="preserve">) which is shifted to </w:t>
      </w:r>
      <w:r w:rsidRPr="00A85C5A">
        <w:rPr>
          <w:rFonts w:eastAsia="AdvTimes"/>
          <w:lang w:eastAsia="en-US"/>
        </w:rPr>
        <w:t>lower frequency in the spectra of the complexes (</w:t>
      </w:r>
      <w:r w:rsidRPr="00A85C5A">
        <w:rPr>
          <w:rFonts w:eastAsia="AdvTimes"/>
          <w:b/>
          <w:bCs/>
          <w:lang w:eastAsia="en-US"/>
        </w:rPr>
        <w:t>1-5</w:t>
      </w:r>
      <w:r w:rsidRPr="00A85C5A">
        <w:rPr>
          <w:rFonts w:eastAsia="AdvTimes"/>
          <w:lang w:eastAsia="en-US"/>
        </w:rPr>
        <w:t xml:space="preserve">) indicating the involvement of </w:t>
      </w:r>
      <w:r w:rsidRPr="00A85C5A">
        <w:rPr>
          <w:lang w:eastAsia="en-US"/>
        </w:rPr>
        <w:t>morpholinic</w:t>
      </w:r>
      <w:r w:rsidRPr="00A85C5A">
        <w:rPr>
          <w:rFonts w:eastAsia="AdvTimes"/>
          <w:lang w:eastAsia="en-US"/>
        </w:rPr>
        <w:t xml:space="preserve"> nitrogen in </w:t>
      </w:r>
      <w:r w:rsidRPr="00A85C5A">
        <w:rPr>
          <w:lang w:val="en-IN" w:eastAsia="en-US" w:bidi="ta-IN"/>
        </w:rPr>
        <w:t>complexation.</w:t>
      </w:r>
      <w:r w:rsidRPr="00A85C5A">
        <w:rPr>
          <w:rFonts w:eastAsia="AdvTimes"/>
          <w:lang w:eastAsia="en-US"/>
        </w:rPr>
        <w:t xml:space="preserve"> </w:t>
      </w:r>
      <w:r w:rsidRPr="00A85C5A">
        <w:rPr>
          <w:rFonts w:eastAsia="AdvTimes"/>
          <w:lang w:val="pt-BR" w:eastAsia="en-US"/>
        </w:rPr>
        <w:t>The observed peak at 3676 cm</w:t>
      </w:r>
      <w:r w:rsidRPr="00A85C5A">
        <w:rPr>
          <w:rFonts w:eastAsia="AdvTimes"/>
          <w:vertAlign w:val="superscript"/>
          <w:lang w:val="pt-BR" w:eastAsia="en-US"/>
        </w:rPr>
        <w:t>-1</w:t>
      </w:r>
      <w:r w:rsidRPr="00A85C5A">
        <w:rPr>
          <w:rFonts w:eastAsia="AdvTimes"/>
          <w:lang w:val="pt-BR" w:eastAsia="en-US"/>
        </w:rPr>
        <w:t xml:space="preserve"> in the ligand (</w:t>
      </w:r>
      <w:r w:rsidRPr="00A85C5A">
        <w:rPr>
          <w:rFonts w:eastAsia="AdvTimes"/>
          <w:b/>
          <w:bCs/>
          <w:lang w:val="pt-BR" w:eastAsia="en-US"/>
        </w:rPr>
        <w:t>HL</w:t>
      </w:r>
      <w:r w:rsidRPr="00A85C5A">
        <w:rPr>
          <w:rFonts w:eastAsia="AdvTimes"/>
          <w:lang w:val="pt-BR" w:eastAsia="en-US"/>
        </w:rPr>
        <w:t>) is responsible for -OH group and it is disappeared in spectra of the complexes (</w:t>
      </w:r>
      <w:r w:rsidRPr="00A85C5A">
        <w:rPr>
          <w:rFonts w:eastAsia="AdvTimes"/>
          <w:b/>
          <w:bCs/>
          <w:lang w:val="pt-BR" w:eastAsia="en-US"/>
        </w:rPr>
        <w:t>1-5</w:t>
      </w:r>
      <w:r w:rsidRPr="00A85C5A">
        <w:rPr>
          <w:rFonts w:eastAsia="AdvTimes"/>
          <w:lang w:val="pt-BR" w:eastAsia="en-US"/>
        </w:rPr>
        <w:t xml:space="preserve">) which indicates the deprotonation of -OH group due to complexation </w:t>
      </w:r>
      <w:r w:rsidRPr="00A85C5A">
        <w:rPr>
          <w:rFonts w:eastAsia="AdvTimes"/>
          <w:lang w:eastAsia="en-US"/>
        </w:rPr>
        <w:t xml:space="preserve">and </w:t>
      </w:r>
      <w:r w:rsidRPr="00A85C5A">
        <w:rPr>
          <w:lang w:val="pt-BR" w:eastAsia="en-US"/>
        </w:rPr>
        <w:t>the peak at 1278 cm</w:t>
      </w:r>
      <w:r w:rsidRPr="00A85C5A">
        <w:rPr>
          <w:vertAlign w:val="superscript"/>
          <w:lang w:val="pt-BR" w:eastAsia="en-US"/>
        </w:rPr>
        <w:t>-1</w:t>
      </w:r>
      <w:r w:rsidRPr="00A85C5A">
        <w:rPr>
          <w:lang w:val="pt-BR" w:eastAsia="en-US"/>
        </w:rPr>
        <w:t xml:space="preserve"> for the phenolic C-O group</w:t>
      </w:r>
      <w:r w:rsidRPr="00A85C5A">
        <w:rPr>
          <w:lang w:eastAsia="en-US"/>
        </w:rPr>
        <w:t xml:space="preserve"> in the ligand (</w:t>
      </w:r>
      <w:r w:rsidRPr="00A85C5A">
        <w:rPr>
          <w:b/>
          <w:bCs/>
          <w:lang w:eastAsia="en-US"/>
        </w:rPr>
        <w:t>LH</w:t>
      </w:r>
      <w:r w:rsidRPr="00A85C5A">
        <w:rPr>
          <w:lang w:eastAsia="en-US"/>
        </w:rPr>
        <w:t xml:space="preserve">) </w:t>
      </w:r>
      <w:r w:rsidRPr="00A85C5A">
        <w:rPr>
          <w:lang w:val="pt-BR" w:eastAsia="en-US"/>
        </w:rPr>
        <w:t xml:space="preserve">is shifted to </w:t>
      </w:r>
      <w:r w:rsidRPr="00A85C5A">
        <w:rPr>
          <w:rFonts w:eastAsia="AdvTimes"/>
          <w:lang w:eastAsia="en-US"/>
        </w:rPr>
        <w:t>higher frequencies in the spectra of the complexes (</w:t>
      </w:r>
      <w:r w:rsidRPr="00A85C5A">
        <w:rPr>
          <w:rFonts w:eastAsia="AdvTimes"/>
          <w:b/>
          <w:bCs/>
          <w:lang w:eastAsia="en-US"/>
        </w:rPr>
        <w:t>1-5</w:t>
      </w:r>
      <w:r w:rsidRPr="00A85C5A">
        <w:rPr>
          <w:rFonts w:eastAsia="AdvTimes"/>
          <w:lang w:eastAsia="en-US"/>
        </w:rPr>
        <w:t xml:space="preserve">) </w:t>
      </w:r>
      <w:r w:rsidRPr="00A85C5A">
        <w:rPr>
          <w:lang w:eastAsia="en-US"/>
        </w:rPr>
        <w:t xml:space="preserve">confirming deprotonation of the phenolic–OH on chelation. In the spectra of complexes </w:t>
      </w:r>
      <w:r w:rsidRPr="00A85C5A">
        <w:rPr>
          <w:rFonts w:eastAsia="AdvTimes"/>
          <w:lang w:eastAsia="en-US"/>
        </w:rPr>
        <w:t>(</w:t>
      </w:r>
      <w:r w:rsidRPr="00A85C5A">
        <w:rPr>
          <w:rFonts w:eastAsia="AdvTimes"/>
          <w:b/>
          <w:bCs/>
          <w:lang w:eastAsia="en-US"/>
        </w:rPr>
        <w:t>1-5</w:t>
      </w:r>
      <w:r w:rsidRPr="00A85C5A">
        <w:rPr>
          <w:rFonts w:eastAsia="AdvTimes"/>
          <w:lang w:eastAsia="en-US"/>
        </w:rPr>
        <w:t xml:space="preserve">) </w:t>
      </w:r>
      <w:r w:rsidRPr="00A85C5A">
        <w:rPr>
          <w:lang w:eastAsia="en-US"/>
        </w:rPr>
        <w:t xml:space="preserve">a broad </w:t>
      </w:r>
      <w:r w:rsidRPr="00A85C5A">
        <w:rPr>
          <w:rFonts w:eastAsia="AdvGulliv-R"/>
          <w:lang w:val="en-IN" w:eastAsia="en-US"/>
        </w:rPr>
        <w:t>diffuse</w:t>
      </w:r>
      <w:r w:rsidRPr="00A85C5A">
        <w:rPr>
          <w:rFonts w:eastAsia="AdvTimes"/>
          <w:lang w:eastAsia="en-US"/>
        </w:rPr>
        <w:t xml:space="preserve"> band</w:t>
      </w:r>
      <w:r w:rsidRPr="00A85C5A">
        <w:rPr>
          <w:lang w:eastAsia="en-US"/>
        </w:rPr>
        <w:t xml:space="preserve"> was identified</w:t>
      </w:r>
      <w:r w:rsidRPr="00A85C5A">
        <w:rPr>
          <w:rFonts w:eastAsia="AdvGulliv-R"/>
          <w:lang w:val="en-IN" w:eastAsia="en-US"/>
        </w:rPr>
        <w:t xml:space="preserve"> </w:t>
      </w:r>
      <w:r w:rsidRPr="00A85C5A">
        <w:rPr>
          <w:rFonts w:eastAsia="AdvTimes"/>
          <w:lang w:eastAsia="en-US"/>
        </w:rPr>
        <w:t xml:space="preserve">in the range of </w:t>
      </w:r>
      <w:r w:rsidRPr="00A85C5A">
        <w:rPr>
          <w:lang w:eastAsia="en-US"/>
        </w:rPr>
        <w:t>3426–3446 cm</w:t>
      </w:r>
      <w:r w:rsidRPr="00A85C5A">
        <w:rPr>
          <w:vertAlign w:val="superscript"/>
          <w:lang w:eastAsia="en-US"/>
        </w:rPr>
        <w:t>-1</w:t>
      </w:r>
      <w:r w:rsidRPr="00A85C5A">
        <w:rPr>
          <w:lang w:eastAsia="en-US"/>
        </w:rPr>
        <w:t xml:space="preserve">, followed by </w:t>
      </w:r>
      <w:r w:rsidRPr="00A85C5A">
        <w:rPr>
          <w:rFonts w:eastAsia="AdvTimes"/>
          <w:lang w:eastAsia="en-US"/>
        </w:rPr>
        <w:t>another weak band</w:t>
      </w:r>
      <w:r w:rsidRPr="00A85C5A">
        <w:rPr>
          <w:rFonts w:eastAsia="AdvGulliv-R"/>
          <w:lang w:val="en-IN" w:eastAsia="en-US"/>
        </w:rPr>
        <w:t xml:space="preserve"> in-plane bending (rocking)</w:t>
      </w:r>
      <w:r w:rsidRPr="00A85C5A">
        <w:rPr>
          <w:rFonts w:eastAsia="AdvTimes"/>
          <w:lang w:eastAsia="en-US"/>
        </w:rPr>
        <w:t xml:space="preserve"> at 844–854 </w:t>
      </w:r>
      <w:r w:rsidRPr="00A85C5A">
        <w:rPr>
          <w:lang w:eastAsia="en-US"/>
        </w:rPr>
        <w:t>cm</w:t>
      </w:r>
      <w:r w:rsidRPr="00A85C5A">
        <w:rPr>
          <w:vertAlign w:val="superscript"/>
          <w:lang w:eastAsia="en-US"/>
        </w:rPr>
        <w:t>-1</w:t>
      </w:r>
      <w:r w:rsidRPr="00A85C5A">
        <w:rPr>
          <w:rFonts w:eastAsia="AdvGulliv-R"/>
          <w:lang w:val="en-IN" w:eastAsia="en-US"/>
        </w:rPr>
        <w:t xml:space="preserve"> that</w:t>
      </w:r>
      <w:r w:rsidRPr="00A85C5A">
        <w:rPr>
          <w:vertAlign w:val="superscript"/>
          <w:lang w:eastAsia="en-US"/>
        </w:rPr>
        <w:t xml:space="preserve"> </w:t>
      </w:r>
      <w:r w:rsidRPr="00A85C5A">
        <w:rPr>
          <w:rFonts w:eastAsia="AdvTimes"/>
          <w:lang w:eastAsia="en-US"/>
        </w:rPr>
        <w:t>suggests the presence of water molecules in the complexes (</w:t>
      </w:r>
      <w:r w:rsidRPr="00A85C5A">
        <w:rPr>
          <w:rFonts w:eastAsia="AdvTimes"/>
          <w:b/>
          <w:bCs/>
          <w:lang w:eastAsia="en-US"/>
        </w:rPr>
        <w:t>1-5</w:t>
      </w:r>
      <w:r w:rsidRPr="00A85C5A">
        <w:rPr>
          <w:rFonts w:eastAsia="AdvTimes"/>
          <w:lang w:eastAsia="en-US"/>
        </w:rPr>
        <w:t>).</w:t>
      </w:r>
      <w:r w:rsidRPr="00A85C5A">
        <w:rPr>
          <w:lang w:eastAsia="en-US"/>
        </w:rPr>
        <w:t xml:space="preserve"> </w:t>
      </w:r>
      <w:r w:rsidRPr="00A85C5A">
        <w:rPr>
          <w:lang w:val="en-IN" w:eastAsia="en-US"/>
        </w:rPr>
        <w:t>In the complexes (</w:t>
      </w:r>
      <w:r w:rsidRPr="00A85C5A">
        <w:rPr>
          <w:b/>
          <w:bCs/>
          <w:lang w:val="en-IN" w:eastAsia="en-US"/>
        </w:rPr>
        <w:t>1-5</w:t>
      </w:r>
      <w:r w:rsidRPr="00A85C5A">
        <w:rPr>
          <w:lang w:val="en-IN" w:eastAsia="en-US"/>
        </w:rPr>
        <w:t xml:space="preserve">) </w:t>
      </w:r>
      <w:r w:rsidRPr="00A85C5A">
        <w:rPr>
          <w:lang w:eastAsia="en-US"/>
        </w:rPr>
        <w:t xml:space="preserve">two bands appeared </w:t>
      </w:r>
      <w:r w:rsidRPr="00A85C5A">
        <w:rPr>
          <w:rFonts w:eastAsia="AdvTimes"/>
          <w:lang w:eastAsia="en-US"/>
        </w:rPr>
        <w:t xml:space="preserve">in the region </w:t>
      </w:r>
      <w:r w:rsidRPr="00A85C5A">
        <w:rPr>
          <w:lang w:eastAsia="en-US"/>
        </w:rPr>
        <w:t xml:space="preserve">1641–1654 </w:t>
      </w:r>
      <w:r w:rsidRPr="00A85C5A">
        <w:rPr>
          <w:lang w:val="en-IN" w:eastAsia="en-US"/>
        </w:rPr>
        <w:t>cm</w:t>
      </w:r>
      <w:r w:rsidRPr="00A85C5A">
        <w:rPr>
          <w:vertAlign w:val="superscript"/>
          <w:lang w:val="en-IN" w:eastAsia="en-US"/>
        </w:rPr>
        <w:t xml:space="preserve">-1 </w:t>
      </w:r>
      <w:r w:rsidRPr="00A85C5A">
        <w:rPr>
          <w:lang w:val="en-IN" w:eastAsia="en-US"/>
        </w:rPr>
        <w:t>(</w:t>
      </w:r>
      <w:r w:rsidRPr="00A85C5A">
        <w:rPr>
          <w:i/>
          <w:iCs/>
          <w:lang w:eastAsia="en-US"/>
        </w:rPr>
        <w:t>γ</w:t>
      </w:r>
      <w:r w:rsidRPr="00A85C5A">
        <w:rPr>
          <w:rFonts w:eastAsia="AdvTimes"/>
          <w:i/>
          <w:iCs/>
          <w:vertAlign w:val="subscript"/>
          <w:lang w:eastAsia="en-US"/>
        </w:rPr>
        <w:t>asymmetry</w:t>
      </w:r>
      <w:r w:rsidRPr="00A85C5A">
        <w:rPr>
          <w:lang w:val="en-IN" w:eastAsia="en-US"/>
        </w:rPr>
        <w:t>)</w:t>
      </w:r>
      <w:r w:rsidRPr="00A85C5A">
        <w:rPr>
          <w:vertAlign w:val="superscript"/>
          <w:lang w:val="en-IN" w:eastAsia="en-US"/>
        </w:rPr>
        <w:t xml:space="preserve"> </w:t>
      </w:r>
      <w:r w:rsidRPr="00A85C5A">
        <w:rPr>
          <w:lang w:val="en-IN" w:eastAsia="en-US"/>
        </w:rPr>
        <w:t>and</w:t>
      </w:r>
      <w:r w:rsidRPr="00A85C5A">
        <w:rPr>
          <w:lang w:eastAsia="en-US"/>
        </w:rPr>
        <w:t xml:space="preserve"> 1402–1430 </w:t>
      </w:r>
      <w:r w:rsidRPr="00A85C5A">
        <w:rPr>
          <w:lang w:val="en-IN" w:eastAsia="en-US"/>
        </w:rPr>
        <w:t>cm</w:t>
      </w:r>
      <w:r w:rsidRPr="00A85C5A">
        <w:rPr>
          <w:vertAlign w:val="superscript"/>
          <w:lang w:val="en-IN" w:eastAsia="en-US"/>
        </w:rPr>
        <w:t xml:space="preserve">-1 </w:t>
      </w:r>
      <w:r w:rsidRPr="00A85C5A">
        <w:rPr>
          <w:lang w:eastAsia="en-US"/>
        </w:rPr>
        <w:t>(</w:t>
      </w:r>
      <w:r w:rsidRPr="00A85C5A">
        <w:rPr>
          <w:i/>
          <w:iCs/>
          <w:lang w:eastAsia="en-US"/>
        </w:rPr>
        <w:t>γ</w:t>
      </w:r>
      <w:r w:rsidRPr="00A85C5A">
        <w:rPr>
          <w:rFonts w:eastAsia="AdvTimes"/>
          <w:i/>
          <w:iCs/>
          <w:vertAlign w:val="subscript"/>
          <w:lang w:eastAsia="en-US"/>
        </w:rPr>
        <w:t>symmetry</w:t>
      </w:r>
      <w:r w:rsidRPr="00A85C5A">
        <w:rPr>
          <w:lang w:eastAsia="en-US"/>
        </w:rPr>
        <w:t xml:space="preserve">) which attribute the carboxylate part in the </w:t>
      </w:r>
      <w:r w:rsidRPr="00A85C5A">
        <w:rPr>
          <w:lang w:val="en-IN" w:eastAsia="en-US"/>
        </w:rPr>
        <w:t>acetate</w:t>
      </w:r>
      <w:r w:rsidRPr="00A85C5A">
        <w:rPr>
          <w:lang w:eastAsia="en-US"/>
        </w:rPr>
        <w:t xml:space="preserve"> group and also</w:t>
      </w:r>
      <w:r w:rsidRPr="00A85C5A">
        <w:rPr>
          <w:lang w:val="en-IN" w:eastAsia="en-US"/>
        </w:rPr>
        <w:t xml:space="preserve"> suggest that </w:t>
      </w:r>
      <w:r w:rsidRPr="00A85C5A">
        <w:rPr>
          <w:lang w:eastAsia="en-US"/>
        </w:rPr>
        <w:t>they are</w:t>
      </w:r>
      <w:r w:rsidRPr="00A85C5A">
        <w:rPr>
          <w:lang w:val="en-IN" w:eastAsia="en-US"/>
        </w:rPr>
        <w:t xml:space="preserve"> </w:t>
      </w:r>
      <w:r w:rsidRPr="00A85C5A">
        <w:rPr>
          <w:lang w:eastAsia="en-US"/>
        </w:rPr>
        <w:t>responsible for the</w:t>
      </w:r>
      <w:r w:rsidRPr="00A85C5A">
        <w:rPr>
          <w:lang w:val="en-IN" w:eastAsia="en-US"/>
        </w:rPr>
        <w:t xml:space="preserve"> consisting of unidentate co-ordination site with the metal ion due to the value of differences (Δ</w:t>
      </w:r>
      <w:r w:rsidRPr="00A85C5A">
        <w:rPr>
          <w:i/>
          <w:iCs/>
          <w:lang w:eastAsia="en-US"/>
        </w:rPr>
        <w:t>γ</w:t>
      </w:r>
      <w:r w:rsidRPr="00A85C5A">
        <w:rPr>
          <w:i/>
          <w:iCs/>
          <w:vertAlign w:val="subscript"/>
          <w:lang w:eastAsia="en-US"/>
        </w:rPr>
        <w:t>a-s</w:t>
      </w:r>
      <w:r w:rsidRPr="00A85C5A">
        <w:rPr>
          <w:lang w:eastAsia="en-US"/>
        </w:rPr>
        <w:t>)</w:t>
      </w:r>
      <w:r w:rsidRPr="00A85C5A">
        <w:rPr>
          <w:lang w:val="en-IN" w:eastAsia="en-US"/>
        </w:rPr>
        <w:t xml:space="preserve"> between asymmetry and symmetry was greater than 200 cm</w:t>
      </w:r>
      <w:r w:rsidRPr="00A85C5A">
        <w:rPr>
          <w:vertAlign w:val="superscript"/>
          <w:lang w:val="en-IN" w:eastAsia="en-US"/>
        </w:rPr>
        <w:t xml:space="preserve">-1 </w:t>
      </w:r>
      <w:r w:rsidRPr="00A85C5A">
        <w:rPr>
          <w:lang w:eastAsia="en-US"/>
        </w:rPr>
        <w:t>(</w:t>
      </w:r>
      <w:r w:rsidRPr="00A85C5A">
        <w:rPr>
          <w:bCs/>
          <w:lang w:eastAsia="en-US"/>
        </w:rPr>
        <w:t>Gupta</w:t>
      </w:r>
      <w:r w:rsidRPr="00A85C5A">
        <w:rPr>
          <w:lang w:eastAsia="en-US"/>
        </w:rPr>
        <w:t>,</w:t>
      </w:r>
      <w:r w:rsidR="008069FD" w:rsidRPr="00A85C5A">
        <w:rPr>
          <w:bCs/>
          <w:lang w:eastAsia="en-US"/>
        </w:rPr>
        <w:t xml:space="preserve"> Bansal, </w:t>
      </w:r>
      <w:r w:rsidR="008069FD" w:rsidRPr="00A85C5A">
        <w:rPr>
          <w:bCs/>
          <w:lang w:val="en-IN" w:eastAsia="en-US"/>
        </w:rPr>
        <w:t>&amp;</w:t>
      </w:r>
      <w:r w:rsidR="008069FD" w:rsidRPr="00A85C5A">
        <w:rPr>
          <w:bCs/>
          <w:lang w:eastAsia="en-US"/>
        </w:rPr>
        <w:t xml:space="preserve"> Chandra,</w:t>
      </w:r>
      <w:r w:rsidRPr="00A85C5A">
        <w:rPr>
          <w:lang w:eastAsia="en-US"/>
        </w:rPr>
        <w:t xml:space="preserve"> 2007). The far IR spectra of the complexes (</w:t>
      </w:r>
      <w:r w:rsidRPr="00A85C5A">
        <w:rPr>
          <w:b/>
          <w:bCs/>
          <w:lang w:eastAsia="en-US"/>
        </w:rPr>
        <w:t>1-5</w:t>
      </w:r>
      <w:r w:rsidRPr="00A85C5A">
        <w:rPr>
          <w:lang w:eastAsia="en-US"/>
        </w:rPr>
        <w:t xml:space="preserve">) show </w:t>
      </w:r>
      <w:r w:rsidRPr="00A85C5A">
        <w:rPr>
          <w:rFonts w:eastAsia="AdvTimes"/>
          <w:lang w:eastAsia="en-US"/>
        </w:rPr>
        <w:t>medium</w:t>
      </w:r>
      <w:r w:rsidRPr="00A85C5A">
        <w:rPr>
          <w:lang w:eastAsia="en-US"/>
        </w:rPr>
        <w:t xml:space="preserve"> bands in the region </w:t>
      </w:r>
      <w:r w:rsidRPr="00A85C5A">
        <w:rPr>
          <w:rFonts w:eastAsia="AdvTimes"/>
          <w:lang w:eastAsia="en-US"/>
        </w:rPr>
        <w:t xml:space="preserve">459–470 </w:t>
      </w:r>
      <w:r w:rsidRPr="00A85C5A">
        <w:rPr>
          <w:lang w:eastAsia="en-US"/>
        </w:rPr>
        <w:t>cm</w:t>
      </w:r>
      <w:r w:rsidRPr="00A85C5A">
        <w:rPr>
          <w:vertAlign w:val="superscript"/>
          <w:lang w:eastAsia="en-US"/>
        </w:rPr>
        <w:t xml:space="preserve">-1 </w:t>
      </w:r>
      <w:r w:rsidRPr="00A85C5A">
        <w:rPr>
          <w:rFonts w:eastAsia="AdvTimes"/>
          <w:lang w:eastAsia="en-US"/>
        </w:rPr>
        <w:t xml:space="preserve">and 497–518 </w:t>
      </w:r>
      <w:r w:rsidRPr="00A85C5A">
        <w:rPr>
          <w:lang w:eastAsia="en-US"/>
        </w:rPr>
        <w:t>cm</w:t>
      </w:r>
      <w:r w:rsidRPr="00A85C5A">
        <w:rPr>
          <w:vertAlign w:val="superscript"/>
          <w:lang w:eastAsia="en-US"/>
        </w:rPr>
        <w:t>-1</w:t>
      </w:r>
      <w:r w:rsidRPr="00A85C5A">
        <w:rPr>
          <w:lang w:eastAsia="en-US"/>
        </w:rPr>
        <w:t xml:space="preserve"> corresponding to M-N and M-O</w:t>
      </w:r>
      <w:r w:rsidRPr="00A85C5A">
        <w:rPr>
          <w:rFonts w:eastAsia="AdvTimes"/>
          <w:lang w:eastAsia="en-US"/>
        </w:rPr>
        <w:t xml:space="preserve"> vibrations respectively (</w:t>
      </w:r>
      <w:r w:rsidRPr="00A85C5A">
        <w:rPr>
          <w:bCs/>
          <w:lang w:eastAsia="en-US"/>
        </w:rPr>
        <w:t>Dede</w:t>
      </w:r>
      <w:r w:rsidRPr="00A85C5A">
        <w:rPr>
          <w:lang w:eastAsia="en-US"/>
        </w:rPr>
        <w:t>,</w:t>
      </w:r>
      <w:r w:rsidR="008069FD" w:rsidRPr="00A85C5A">
        <w:rPr>
          <w:bCs/>
          <w:lang w:eastAsia="en-US"/>
        </w:rPr>
        <w:t xml:space="preserve"> Karipcin, Arabalı, </w:t>
      </w:r>
      <w:r w:rsidR="008069FD" w:rsidRPr="00A85C5A">
        <w:rPr>
          <w:bCs/>
          <w:lang w:val="en-IN" w:eastAsia="en-US"/>
        </w:rPr>
        <w:t xml:space="preserve">&amp; </w:t>
      </w:r>
      <w:r w:rsidR="008069FD" w:rsidRPr="00A85C5A">
        <w:rPr>
          <w:bCs/>
          <w:lang w:eastAsia="en-US"/>
        </w:rPr>
        <w:t>Cengiz,</w:t>
      </w:r>
      <w:r w:rsidR="008069FD" w:rsidRPr="00A85C5A">
        <w:rPr>
          <w:lang w:eastAsia="en-US"/>
        </w:rPr>
        <w:t xml:space="preserve"> </w:t>
      </w:r>
      <w:r w:rsidRPr="00A85C5A">
        <w:rPr>
          <w:lang w:eastAsia="en-US"/>
        </w:rPr>
        <w:t>2010</w:t>
      </w:r>
      <w:r w:rsidR="00D62444" w:rsidRPr="00A85C5A">
        <w:rPr>
          <w:rFonts w:eastAsia="AdvTimes"/>
          <w:lang w:eastAsia="en-US"/>
        </w:rPr>
        <w:t xml:space="preserve">). </w:t>
      </w:r>
      <w:r w:rsidR="00D62444" w:rsidRPr="00A85C5A">
        <w:rPr>
          <w:lang w:val="en-IN" w:eastAsia="en-US"/>
        </w:rPr>
        <w:t>In the FT-IR spectra of complexes (</w:t>
      </w:r>
      <w:r w:rsidR="00D62444" w:rsidRPr="00A85C5A">
        <w:rPr>
          <w:b/>
          <w:bCs/>
          <w:lang w:val="en-IN" w:eastAsia="en-US"/>
        </w:rPr>
        <w:t>1-5</w:t>
      </w:r>
      <w:r w:rsidR="00D62444" w:rsidRPr="00A85C5A">
        <w:rPr>
          <w:lang w:val="en-IN" w:eastAsia="en-US"/>
        </w:rPr>
        <w:t xml:space="preserve">), the peaks corresponding to the </w:t>
      </w:r>
      <w:r w:rsidR="00D62444" w:rsidRPr="00A85C5A">
        <w:rPr>
          <w:lang w:val="en-IN" w:eastAsia="en-US"/>
        </w:rPr>
        <w:lastRenderedPageBreak/>
        <w:t>ring stretching frequencies γ(C=N), γ(C=C) at 1503, 1422 cm</w:t>
      </w:r>
      <w:r w:rsidR="00D62444" w:rsidRPr="00A85C5A">
        <w:rPr>
          <w:vertAlign w:val="superscript"/>
          <w:lang w:val="en-IN" w:eastAsia="en-US"/>
        </w:rPr>
        <w:t>-1</w:t>
      </w:r>
      <w:r w:rsidR="00D62444" w:rsidRPr="00A85C5A">
        <w:rPr>
          <w:lang w:val="en-IN" w:eastAsia="en-US"/>
        </w:rPr>
        <w:t xml:space="preserve"> of free phenanthroline were shifted to higher frequencies in the region 1515</w:t>
      </w:r>
      <w:r w:rsidR="00D62444" w:rsidRPr="00A85C5A">
        <w:rPr>
          <w:lang w:val="en-US" w:eastAsia="en-US"/>
        </w:rPr>
        <w:t>–</w:t>
      </w:r>
      <w:r w:rsidR="00D62444" w:rsidRPr="00A85C5A">
        <w:rPr>
          <w:lang w:val="en-IN" w:eastAsia="en-US"/>
        </w:rPr>
        <w:t>1532 cm</w:t>
      </w:r>
      <w:r w:rsidR="00D62444" w:rsidRPr="00A85C5A">
        <w:rPr>
          <w:vertAlign w:val="superscript"/>
          <w:lang w:val="en-IN" w:eastAsia="en-US"/>
        </w:rPr>
        <w:t xml:space="preserve">-1 </w:t>
      </w:r>
      <w:r w:rsidR="00D62444" w:rsidRPr="00A85C5A">
        <w:rPr>
          <w:lang w:val="en-IN" w:eastAsia="en-US"/>
        </w:rPr>
        <w:t>and 1422</w:t>
      </w:r>
      <w:r w:rsidR="00D62444" w:rsidRPr="00A85C5A">
        <w:rPr>
          <w:lang w:val="en-US" w:eastAsia="en-US"/>
        </w:rPr>
        <w:t>–</w:t>
      </w:r>
      <w:r w:rsidR="00D62444" w:rsidRPr="00A85C5A">
        <w:rPr>
          <w:lang w:val="en-IN" w:eastAsia="en-US"/>
        </w:rPr>
        <w:t>1452 cm</w:t>
      </w:r>
      <w:r w:rsidR="00D62444" w:rsidRPr="00A85C5A">
        <w:rPr>
          <w:vertAlign w:val="superscript"/>
          <w:lang w:val="en-IN" w:eastAsia="en-US"/>
        </w:rPr>
        <w:t>-1</w:t>
      </w:r>
      <w:r w:rsidR="00D62444" w:rsidRPr="00A85C5A">
        <w:rPr>
          <w:lang w:val="en-IN" w:eastAsia="en-US"/>
        </w:rPr>
        <w:t xml:space="preserve"> respectively which indicate the complexation due to coordination of the heterocyclic nitrogen atoms to the metal ion</w:t>
      </w:r>
      <w:r w:rsidR="001A2DD4" w:rsidRPr="00A85C5A">
        <w:rPr>
          <w:lang w:val="en-IN" w:eastAsia="en-US"/>
        </w:rPr>
        <w:t xml:space="preserve"> (</w:t>
      </w:r>
      <w:r w:rsidR="001A2DD4" w:rsidRPr="00A85C5A">
        <w:t>Dimitrov &amp; Atanassova, 2003</w:t>
      </w:r>
      <w:r w:rsidR="001A2DD4" w:rsidRPr="00A85C5A">
        <w:rPr>
          <w:lang w:val="en-IN" w:eastAsia="en-US"/>
        </w:rPr>
        <w:t>;</w:t>
      </w:r>
      <w:r w:rsidR="001A2DD4" w:rsidRPr="00A85C5A">
        <w:rPr>
          <w:bCs/>
          <w:lang w:eastAsia="en-US"/>
        </w:rPr>
        <w:t xml:space="preserve"> Singh,1969</w:t>
      </w:r>
      <w:r w:rsidR="001A2DD4" w:rsidRPr="00A85C5A">
        <w:rPr>
          <w:lang w:val="en-IN" w:eastAsia="en-US"/>
        </w:rPr>
        <w:t>)</w:t>
      </w:r>
      <w:r w:rsidR="00D62444" w:rsidRPr="00A85C5A">
        <w:rPr>
          <w:lang w:val="en-IN" w:eastAsia="en-US"/>
        </w:rPr>
        <w:t xml:space="preserve"> </w:t>
      </w:r>
      <w:r w:rsidR="00D62444" w:rsidRPr="00A85C5A">
        <w:rPr>
          <w:lang w:eastAsia="en-US"/>
        </w:rPr>
        <w:t>and</w:t>
      </w:r>
      <w:r w:rsidR="00D62444" w:rsidRPr="00A85C5A">
        <w:rPr>
          <w:rFonts w:eastAsia="AdvTimes"/>
          <w:lang w:eastAsia="en-US"/>
        </w:rPr>
        <w:t xml:space="preserve"> </w:t>
      </w:r>
      <w:r w:rsidRPr="00A85C5A">
        <w:rPr>
          <w:rFonts w:eastAsia="AdvTimes"/>
          <w:lang w:eastAsia="en-US"/>
        </w:rPr>
        <w:t>other absorption bands are</w:t>
      </w:r>
      <w:r w:rsidRPr="00A85C5A">
        <w:rPr>
          <w:lang w:eastAsia="en-US"/>
        </w:rPr>
        <w:t xml:space="preserve"> no significant change in the metal complexes (</w:t>
      </w:r>
      <w:r w:rsidRPr="00A85C5A">
        <w:rPr>
          <w:b/>
          <w:bCs/>
          <w:lang w:eastAsia="en-US"/>
        </w:rPr>
        <w:t>1-5</w:t>
      </w:r>
      <w:r w:rsidRPr="00A85C5A">
        <w:rPr>
          <w:lang w:eastAsia="en-US"/>
        </w:rPr>
        <w:t>)</w:t>
      </w:r>
      <w:r w:rsidRPr="00A85C5A">
        <w:rPr>
          <w:rFonts w:eastAsia="TimesNewRoman"/>
          <w:bCs/>
          <w:lang w:eastAsia="en-IN" w:bidi="ta-IN"/>
        </w:rPr>
        <w:t xml:space="preserve"> (</w:t>
      </w:r>
      <w:r w:rsidRPr="00A85C5A">
        <w:rPr>
          <w:lang w:val="rm-CH" w:eastAsia="rm-CH"/>
        </w:rPr>
        <w:t>Fig. S3)</w:t>
      </w:r>
      <w:r w:rsidRPr="00A85C5A">
        <w:rPr>
          <w:lang w:eastAsia="en-US"/>
        </w:rPr>
        <w:t>.</w:t>
      </w:r>
    </w:p>
    <w:tbl>
      <w:tblPr>
        <w:tblStyle w:val="TableGrid10"/>
        <w:tblW w:w="0" w:type="auto"/>
        <w:jc w:val="center"/>
        <w:tblLayout w:type="fixed"/>
        <w:tblLook w:val="04A0" w:firstRow="1" w:lastRow="0" w:firstColumn="1" w:lastColumn="0" w:noHBand="0" w:noVBand="1"/>
      </w:tblPr>
      <w:tblGrid>
        <w:gridCol w:w="6912"/>
      </w:tblGrid>
      <w:tr w:rsidR="00CF7068" w:rsidRPr="00A85C5A" w:rsidTr="00D62444">
        <w:trPr>
          <w:trHeight w:val="4523"/>
          <w:jc w:val="center"/>
        </w:trPr>
        <w:tc>
          <w:tcPr>
            <w:tcW w:w="6912" w:type="dxa"/>
            <w:tcBorders>
              <w:top w:val="nil"/>
              <w:left w:val="nil"/>
              <w:bottom w:val="nil"/>
              <w:right w:val="nil"/>
            </w:tcBorders>
          </w:tcPr>
          <w:p w:rsidR="00CF7068" w:rsidRPr="00A85C5A" w:rsidRDefault="00CF7068" w:rsidP="00867F16">
            <w:pPr>
              <w:overflowPunct w:val="0"/>
              <w:autoSpaceDE w:val="0"/>
              <w:autoSpaceDN w:val="0"/>
              <w:adjustRightInd w:val="0"/>
              <w:spacing w:line="240" w:lineRule="auto"/>
              <w:contextualSpacing/>
              <w:jc w:val="both"/>
              <w:textAlignment w:val="baseline"/>
              <w:rPr>
                <w:lang w:eastAsia="en-US"/>
              </w:rPr>
            </w:pPr>
            <w:r w:rsidRPr="00A85C5A">
              <w:rPr>
                <w:noProof/>
                <w:lang w:val="en-US" w:eastAsia="en-US"/>
              </w:rPr>
              <w:drawing>
                <wp:inline distT="0" distB="0" distL="0" distR="0">
                  <wp:extent cx="4251025" cy="2740727"/>
                  <wp:effectExtent l="19050" t="0" r="0" b="0"/>
                  <wp:docPr id="2" name="Picture 1" descr="E:\2013-17 onwards\2017 onwards\2017 onwards part 3\all journal publication\9.chemical paper and madras uni conference bioinorgani and application\phen ir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17 onwards\2017 onwards\2017 onwards part 3\all journal publication\9.chemical paper and madras uni conference bioinorgani and application\phen ir i.jpg"/>
                          <pic:cNvPicPr>
                            <a:picLocks noChangeAspect="1" noChangeArrowheads="1"/>
                          </pic:cNvPicPr>
                        </pic:nvPicPr>
                        <pic:blipFill>
                          <a:blip r:embed="rId12" cstate="print"/>
                          <a:srcRect/>
                          <a:stretch>
                            <a:fillRect/>
                          </a:stretch>
                        </pic:blipFill>
                        <pic:spPr bwMode="auto">
                          <a:xfrm>
                            <a:off x="0" y="0"/>
                            <a:ext cx="4255810" cy="2743812"/>
                          </a:xfrm>
                          <a:prstGeom prst="rect">
                            <a:avLst/>
                          </a:prstGeom>
                          <a:noFill/>
                          <a:ln w="9525">
                            <a:noFill/>
                            <a:miter lim="800000"/>
                            <a:headEnd/>
                            <a:tailEnd/>
                          </a:ln>
                        </pic:spPr>
                      </pic:pic>
                    </a:graphicData>
                  </a:graphic>
                </wp:inline>
              </w:drawing>
            </w:r>
          </w:p>
          <w:p w:rsidR="00CF7068" w:rsidRPr="00A85C5A" w:rsidRDefault="00CF7068" w:rsidP="00867F16">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b/>
                <w:lang w:val="rm-CH" w:eastAsia="en-US"/>
              </w:rPr>
              <w:t>Fig. S3</w:t>
            </w:r>
            <w:r w:rsidRPr="00A85C5A">
              <w:rPr>
                <w:rFonts w:ascii="Times New Roman" w:hAnsi="Times New Roman"/>
                <w:bCs/>
                <w:lang w:val="rm-CH" w:eastAsia="en-US"/>
              </w:rPr>
              <w:t xml:space="preserve">  </w:t>
            </w:r>
            <w:r w:rsidRPr="00A85C5A">
              <w:rPr>
                <w:rFonts w:ascii="Times New Roman" w:hAnsi="Times New Roman"/>
                <w:bCs/>
                <w:lang w:eastAsia="en-US"/>
              </w:rPr>
              <w:t>FT</w:t>
            </w:r>
            <w:r w:rsidRPr="00A85C5A">
              <w:rPr>
                <w:rFonts w:ascii="Times New Roman" w:hAnsi="Times New Roman"/>
                <w:b/>
                <w:lang w:eastAsia="en-US"/>
              </w:rPr>
              <w:t>-</w:t>
            </w:r>
            <w:r w:rsidRPr="00A85C5A">
              <w:rPr>
                <w:rFonts w:ascii="Times New Roman" w:hAnsi="Times New Roman"/>
                <w:lang w:eastAsia="en-US"/>
              </w:rPr>
              <w:t>IR spectra of ligand (</w:t>
            </w:r>
            <w:r w:rsidRPr="00A85C5A">
              <w:rPr>
                <w:rFonts w:ascii="Times New Roman" w:hAnsi="Times New Roman"/>
                <w:b/>
                <w:bCs/>
                <w:lang w:eastAsia="en-US"/>
              </w:rPr>
              <w:t>LH</w:t>
            </w:r>
            <w:r w:rsidRPr="00A85C5A">
              <w:rPr>
                <w:rFonts w:ascii="Times New Roman" w:hAnsi="Times New Roman"/>
                <w:lang w:eastAsia="en-US"/>
              </w:rPr>
              <w:t>) and its complexes (</w:t>
            </w:r>
            <w:r w:rsidRPr="00A85C5A">
              <w:rPr>
                <w:rFonts w:ascii="Times New Roman" w:hAnsi="Times New Roman"/>
                <w:b/>
                <w:bCs/>
                <w:lang w:eastAsia="en-US"/>
              </w:rPr>
              <w:t>1-5)</w:t>
            </w:r>
          </w:p>
        </w:tc>
      </w:tr>
    </w:tbl>
    <w:p w:rsidR="00CF7068" w:rsidRPr="00A85C5A" w:rsidRDefault="00CF7068" w:rsidP="00CF7068">
      <w:pPr>
        <w:overflowPunct w:val="0"/>
        <w:autoSpaceDE w:val="0"/>
        <w:autoSpaceDN w:val="0"/>
        <w:adjustRightInd w:val="0"/>
        <w:spacing w:line="240" w:lineRule="auto"/>
        <w:jc w:val="center"/>
        <w:textAlignment w:val="baseline"/>
        <w:rPr>
          <w:lang w:eastAsia="en-US"/>
        </w:rPr>
      </w:pPr>
    </w:p>
    <w:p w:rsidR="00CF7068" w:rsidRPr="00A85C5A" w:rsidRDefault="00CF7068" w:rsidP="00EC6E98">
      <w:pPr>
        <w:overflowPunct w:val="0"/>
        <w:autoSpaceDE w:val="0"/>
        <w:autoSpaceDN w:val="0"/>
        <w:adjustRightInd w:val="0"/>
        <w:contextualSpacing/>
        <w:jc w:val="both"/>
        <w:textAlignment w:val="baseline"/>
        <w:rPr>
          <w:b/>
          <w:bCs/>
          <w:i/>
          <w:iCs/>
          <w:lang w:val="en-IN" w:eastAsia="en-US" w:bidi="ta-IN"/>
        </w:rPr>
      </w:pPr>
      <w:r w:rsidRPr="00A85C5A">
        <w:rPr>
          <w:b/>
          <w:bCs/>
          <w:i/>
          <w:iCs/>
          <w:lang w:val="en-IN" w:eastAsia="en-US" w:bidi="ta-IN"/>
        </w:rPr>
        <w:t xml:space="preserve"> </w:t>
      </w:r>
    </w:p>
    <w:p w:rsidR="00EC6E98" w:rsidRPr="00A85C5A" w:rsidRDefault="00EC6E98" w:rsidP="00EC6E98">
      <w:pPr>
        <w:overflowPunct w:val="0"/>
        <w:autoSpaceDE w:val="0"/>
        <w:autoSpaceDN w:val="0"/>
        <w:adjustRightInd w:val="0"/>
        <w:contextualSpacing/>
        <w:jc w:val="both"/>
        <w:textAlignment w:val="baseline"/>
        <w:rPr>
          <w:b/>
          <w:bCs/>
          <w:i/>
          <w:iCs/>
          <w:lang w:val="en-IN" w:eastAsia="en-US" w:bidi="ta-IN"/>
        </w:rPr>
      </w:pPr>
      <w:r w:rsidRPr="00A85C5A">
        <w:rPr>
          <w:b/>
          <w:bCs/>
          <w:i/>
          <w:iCs/>
          <w:lang w:val="en-IN" w:eastAsia="en-US" w:bidi="ta-IN"/>
        </w:rPr>
        <w:t xml:space="preserve">Electronic </w:t>
      </w:r>
      <w:r w:rsidRPr="00A85C5A">
        <w:rPr>
          <w:b/>
          <w:bCs/>
          <w:i/>
          <w:iCs/>
          <w:lang w:eastAsia="en-US" w:bidi="ta-IN"/>
        </w:rPr>
        <w:t>absorption</w:t>
      </w:r>
      <w:r w:rsidRPr="00A85C5A">
        <w:rPr>
          <w:b/>
          <w:bCs/>
          <w:i/>
          <w:iCs/>
          <w:lang w:val="en-IN" w:eastAsia="en-US" w:bidi="ta-IN"/>
        </w:rPr>
        <w:t xml:space="preserve"> spectra and magnetic susceptibility</w:t>
      </w:r>
    </w:p>
    <w:p w:rsidR="00EC6E98" w:rsidRPr="00A85C5A" w:rsidRDefault="00EC6E98" w:rsidP="00EC6E98">
      <w:pPr>
        <w:overflowPunct w:val="0"/>
        <w:autoSpaceDE w:val="0"/>
        <w:autoSpaceDN w:val="0"/>
        <w:adjustRightInd w:val="0"/>
        <w:contextualSpacing/>
        <w:jc w:val="both"/>
        <w:textAlignment w:val="baseline"/>
        <w:rPr>
          <w:lang w:eastAsia="en-US"/>
        </w:rPr>
      </w:pPr>
      <w:r w:rsidRPr="00A85C5A">
        <w:rPr>
          <w:rFonts w:eastAsia="AdvGulliv-R"/>
          <w:lang w:eastAsia="en-US"/>
        </w:rPr>
        <w:t xml:space="preserve">Two intense absorption bands were observed in </w:t>
      </w:r>
      <w:r w:rsidRPr="00A85C5A">
        <w:rPr>
          <w:lang w:eastAsia="en-US"/>
        </w:rPr>
        <w:t xml:space="preserve">the electronic </w:t>
      </w:r>
      <w:r w:rsidRPr="00A85C5A">
        <w:rPr>
          <w:rFonts w:eastAsia="AdvGulliv-R"/>
          <w:lang w:eastAsia="en-US"/>
        </w:rPr>
        <w:t>absorption</w:t>
      </w:r>
      <w:r w:rsidRPr="00A85C5A">
        <w:rPr>
          <w:lang w:eastAsia="en-US"/>
        </w:rPr>
        <w:t xml:space="preserve"> spectrum of the ligand (</w:t>
      </w:r>
      <w:r w:rsidRPr="00A85C5A">
        <w:rPr>
          <w:b/>
          <w:bCs/>
          <w:lang w:eastAsia="en-US"/>
        </w:rPr>
        <w:t>LH</w:t>
      </w:r>
      <w:r w:rsidRPr="00A85C5A">
        <w:rPr>
          <w:lang w:eastAsia="en-US"/>
        </w:rPr>
        <w:t xml:space="preserve">). </w:t>
      </w:r>
      <w:r w:rsidRPr="00A85C5A">
        <w:rPr>
          <w:rFonts w:eastAsia="AdvGulliv-R"/>
          <w:lang w:eastAsia="en-US"/>
        </w:rPr>
        <w:t xml:space="preserve">One less intense ILCT band appeared at </w:t>
      </w:r>
      <w:r w:rsidRPr="00A85C5A">
        <w:rPr>
          <w:lang w:eastAsia="en-US"/>
        </w:rPr>
        <w:t>319 nm (</w:t>
      </w:r>
      <w:r w:rsidRPr="00A85C5A">
        <w:rPr>
          <w:rFonts w:eastAsia="MS Mincho"/>
          <w:lang w:eastAsia="en-US"/>
        </w:rPr>
        <w:t>31348 cm</w:t>
      </w:r>
      <w:r w:rsidRPr="00A85C5A">
        <w:rPr>
          <w:rFonts w:eastAsia="MS Mincho"/>
          <w:vertAlign w:val="superscript"/>
          <w:lang w:eastAsia="en-US"/>
        </w:rPr>
        <w:t>-1</w:t>
      </w:r>
      <w:r w:rsidRPr="00A85C5A">
        <w:rPr>
          <w:rFonts w:eastAsia="MS Mincho"/>
          <w:lang w:eastAsia="en-US"/>
        </w:rPr>
        <w:t>)</w:t>
      </w:r>
      <w:r w:rsidRPr="00A85C5A">
        <w:rPr>
          <w:bCs/>
          <w:lang w:eastAsia="en-US"/>
        </w:rPr>
        <w:t xml:space="preserve"> </w:t>
      </w:r>
      <w:r w:rsidRPr="00A85C5A">
        <w:rPr>
          <w:rFonts w:eastAsia="AdvGulliv-R"/>
          <w:lang w:eastAsia="en-US"/>
        </w:rPr>
        <w:t xml:space="preserve">which assigned to </w:t>
      </w:r>
      <w:r w:rsidRPr="00A85C5A">
        <w:rPr>
          <w:rFonts w:eastAsia="AdvGulliv-R"/>
          <w:i/>
          <w:iCs/>
          <w:lang w:eastAsia="en-US"/>
        </w:rPr>
        <w:t>n –π*</w:t>
      </w:r>
      <w:r w:rsidRPr="00A85C5A">
        <w:rPr>
          <w:rFonts w:eastAsia="AdvGulliv-R"/>
          <w:lang w:eastAsia="en-US"/>
        </w:rPr>
        <w:t xml:space="preserve"> transition and another one more intense LMCT band </w:t>
      </w:r>
      <w:r w:rsidRPr="00A85C5A">
        <w:rPr>
          <w:lang w:eastAsia="en-US"/>
        </w:rPr>
        <w:t>at 258 nm (</w:t>
      </w:r>
      <w:r w:rsidRPr="00A85C5A">
        <w:rPr>
          <w:rFonts w:eastAsia="MS Mincho"/>
          <w:lang w:eastAsia="en-US"/>
        </w:rPr>
        <w:t>38760 cm</w:t>
      </w:r>
      <w:r w:rsidRPr="00A85C5A">
        <w:rPr>
          <w:rFonts w:eastAsia="MS Mincho"/>
          <w:vertAlign w:val="superscript"/>
          <w:lang w:eastAsia="en-US"/>
        </w:rPr>
        <w:t>-1</w:t>
      </w:r>
      <w:r w:rsidRPr="00A85C5A">
        <w:rPr>
          <w:rFonts w:eastAsia="MS Mincho"/>
          <w:lang w:eastAsia="en-US"/>
        </w:rPr>
        <w:t>)</w:t>
      </w:r>
      <w:r w:rsidRPr="00A85C5A">
        <w:rPr>
          <w:lang w:eastAsia="en-US"/>
        </w:rPr>
        <w:t xml:space="preserve"> </w:t>
      </w:r>
      <w:r w:rsidRPr="00A85C5A">
        <w:rPr>
          <w:rFonts w:eastAsia="AdvGulliv-R"/>
          <w:lang w:eastAsia="en-US"/>
        </w:rPr>
        <w:t xml:space="preserve">which attributes </w:t>
      </w:r>
      <w:r w:rsidRPr="00A85C5A">
        <w:rPr>
          <w:rFonts w:eastAsia="AdvGulliv-R"/>
          <w:i/>
          <w:iCs/>
          <w:lang w:eastAsia="en-US"/>
        </w:rPr>
        <w:t>π –π*</w:t>
      </w:r>
      <w:r w:rsidRPr="00A85C5A">
        <w:rPr>
          <w:rFonts w:eastAsia="AdvGulliv-R"/>
          <w:lang w:eastAsia="en-US"/>
        </w:rPr>
        <w:t xml:space="preserve"> transition and they are responsible for</w:t>
      </w:r>
      <w:r w:rsidRPr="00A85C5A">
        <w:rPr>
          <w:bCs/>
          <w:lang w:eastAsia="en-US"/>
        </w:rPr>
        <w:t xml:space="preserve"> </w:t>
      </w:r>
      <w:r w:rsidRPr="00A85C5A">
        <w:rPr>
          <w:lang w:eastAsia="en-US"/>
        </w:rPr>
        <w:t>azomethine (–CH=N–) and phenyl ring chromophore respectively (</w:t>
      </w:r>
      <w:r w:rsidRPr="00A85C5A">
        <w:rPr>
          <w:bCs/>
          <w:lang w:eastAsia="en-US"/>
        </w:rPr>
        <w:t>Shakir</w:t>
      </w:r>
      <w:r w:rsidRPr="00A85C5A">
        <w:rPr>
          <w:lang w:eastAsia="en-US"/>
        </w:rPr>
        <w:t>,</w:t>
      </w:r>
      <w:r w:rsidR="00F040EE" w:rsidRPr="00A85C5A">
        <w:rPr>
          <w:bCs/>
          <w:lang w:eastAsia="en-US"/>
        </w:rPr>
        <w:t xml:space="preserve"> Abbasi, Azam, </w:t>
      </w:r>
      <w:r w:rsidR="00F040EE" w:rsidRPr="00A85C5A">
        <w:rPr>
          <w:bCs/>
          <w:lang w:val="en-IN" w:eastAsia="en-US"/>
        </w:rPr>
        <w:t>&amp;</w:t>
      </w:r>
      <w:r w:rsidR="00F040EE" w:rsidRPr="00A85C5A">
        <w:rPr>
          <w:bCs/>
          <w:lang w:eastAsia="en-US"/>
        </w:rPr>
        <w:t xml:space="preserve"> Khan, </w:t>
      </w:r>
      <w:r w:rsidRPr="00A85C5A">
        <w:rPr>
          <w:lang w:eastAsia="en-US"/>
        </w:rPr>
        <w:t>2011)</w:t>
      </w:r>
      <w:r w:rsidRPr="00A85C5A">
        <w:rPr>
          <w:lang w:val="rm-CH" w:eastAsia="rm-CH"/>
        </w:rPr>
        <w:t xml:space="preserve"> (Fig. S4)</w:t>
      </w:r>
      <w:r w:rsidRPr="00A85C5A">
        <w:rPr>
          <w:lang w:eastAsia="en-US"/>
        </w:rPr>
        <w:t>. The bands for the complexes (</w:t>
      </w:r>
      <w:r w:rsidRPr="00A85C5A">
        <w:rPr>
          <w:b/>
          <w:bCs/>
          <w:lang w:eastAsia="en-US"/>
        </w:rPr>
        <w:t>1-2</w:t>
      </w:r>
      <w:r w:rsidRPr="00A85C5A">
        <w:rPr>
          <w:lang w:eastAsia="en-US"/>
        </w:rPr>
        <w:t>) and (</w:t>
      </w:r>
      <w:r w:rsidRPr="00A85C5A">
        <w:rPr>
          <w:b/>
          <w:bCs/>
          <w:lang w:eastAsia="en-US"/>
        </w:rPr>
        <w:t>4</w:t>
      </w:r>
      <w:r w:rsidRPr="00A85C5A">
        <w:rPr>
          <w:lang w:eastAsia="en-US"/>
        </w:rPr>
        <w:t xml:space="preserve">) are shifted to a longer wavelength which are attributed the donation of lone pair electron from the </w:t>
      </w:r>
      <w:r w:rsidRPr="00A85C5A">
        <w:rPr>
          <w:i/>
          <w:iCs/>
          <w:lang w:eastAsia="en-US"/>
        </w:rPr>
        <w:t>sp</w:t>
      </w:r>
      <w:r w:rsidRPr="00A85C5A">
        <w:rPr>
          <w:i/>
          <w:iCs/>
          <w:vertAlign w:val="superscript"/>
          <w:lang w:eastAsia="en-US"/>
        </w:rPr>
        <w:t>2</w:t>
      </w:r>
      <w:r w:rsidRPr="00A85C5A">
        <w:rPr>
          <w:lang w:eastAsia="en-US"/>
        </w:rPr>
        <w:t>-hybridized orbital of imino nitrogen in the ligand to the metal ion. Complex (</w:t>
      </w:r>
      <w:r w:rsidRPr="00A85C5A">
        <w:rPr>
          <w:b/>
          <w:bCs/>
          <w:lang w:eastAsia="en-US"/>
        </w:rPr>
        <w:t>1</w:t>
      </w:r>
      <w:r w:rsidRPr="00A85C5A">
        <w:rPr>
          <w:lang w:eastAsia="en-US"/>
        </w:rPr>
        <w:t xml:space="preserve">) exhibited only one </w:t>
      </w:r>
      <w:r w:rsidRPr="00A85C5A">
        <w:rPr>
          <w:lang w:val="en-IN" w:eastAsia="en-US"/>
        </w:rPr>
        <w:t>low intensity</w:t>
      </w:r>
      <w:r w:rsidRPr="00A85C5A">
        <w:rPr>
          <w:lang w:eastAsia="en-US"/>
        </w:rPr>
        <w:t xml:space="preserve"> broad band </w:t>
      </w:r>
      <w:r w:rsidRPr="00A85C5A">
        <w:rPr>
          <w:i/>
          <w:iCs/>
          <w:lang w:eastAsia="en-US"/>
        </w:rPr>
        <w:t>d-d</w:t>
      </w:r>
      <w:r w:rsidRPr="00A85C5A">
        <w:rPr>
          <w:lang w:eastAsia="en-US"/>
        </w:rPr>
        <w:t xml:space="preserve"> transition at 650 nm (15,384 </w:t>
      </w:r>
      <w:r w:rsidRPr="00A85C5A">
        <w:rPr>
          <w:rFonts w:eastAsia="MS Mincho"/>
          <w:lang w:eastAsia="en-US"/>
        </w:rPr>
        <w:t>cm</w:t>
      </w:r>
      <w:r w:rsidRPr="00A85C5A">
        <w:rPr>
          <w:rFonts w:eastAsia="MS Mincho"/>
          <w:vertAlign w:val="superscript"/>
          <w:lang w:eastAsia="en-US"/>
        </w:rPr>
        <w:t>-1</w:t>
      </w:r>
      <w:r w:rsidRPr="00A85C5A">
        <w:rPr>
          <w:lang w:eastAsia="en-US"/>
        </w:rPr>
        <w:t xml:space="preserve">) </w:t>
      </w:r>
      <w:r w:rsidRPr="00A85C5A">
        <w:rPr>
          <w:lang w:val="en-IN" w:eastAsia="en-US"/>
        </w:rPr>
        <w:t>corresponding to</w:t>
      </w:r>
      <w:r w:rsidRPr="00A85C5A">
        <w:rPr>
          <w:lang w:eastAsia="en-US"/>
        </w:rPr>
        <w:t xml:space="preserve"> </w:t>
      </w:r>
      <w:r w:rsidRPr="00A85C5A">
        <w:rPr>
          <w:rFonts w:eastAsia="MS Mincho"/>
          <w:i/>
          <w:iCs/>
          <w:vertAlign w:val="superscript"/>
          <w:lang w:eastAsia="en-US"/>
        </w:rPr>
        <w:t>2</w:t>
      </w:r>
      <w:r w:rsidRPr="00A85C5A">
        <w:rPr>
          <w:rFonts w:eastAsia="MS Mincho"/>
          <w:i/>
          <w:iCs/>
          <w:lang w:eastAsia="en-US"/>
        </w:rPr>
        <w:t>E</w:t>
      </w:r>
      <w:r w:rsidRPr="00A85C5A">
        <w:rPr>
          <w:rFonts w:eastAsia="MS Mincho"/>
          <w:i/>
          <w:iCs/>
          <w:vertAlign w:val="subscript"/>
          <w:lang w:eastAsia="en-US"/>
        </w:rPr>
        <w:t>g</w:t>
      </w:r>
      <w:r w:rsidRPr="00A85C5A">
        <w:rPr>
          <w:i/>
          <w:iCs/>
          <w:lang w:eastAsia="en-US"/>
        </w:rPr>
        <w:t>→</w:t>
      </w:r>
      <w:r w:rsidRPr="00A85C5A">
        <w:rPr>
          <w:i/>
          <w:iCs/>
          <w:vertAlign w:val="superscript"/>
          <w:lang w:eastAsia="en-US"/>
        </w:rPr>
        <w:t>2</w:t>
      </w:r>
      <w:r w:rsidRPr="00A85C5A">
        <w:rPr>
          <w:i/>
          <w:iCs/>
          <w:lang w:eastAsia="en-US"/>
        </w:rPr>
        <w:t>T</w:t>
      </w:r>
      <w:r w:rsidRPr="00A85C5A">
        <w:rPr>
          <w:i/>
          <w:iCs/>
          <w:vertAlign w:val="subscript"/>
          <w:lang w:eastAsia="en-US"/>
        </w:rPr>
        <w:t>2g</w:t>
      </w:r>
      <w:r w:rsidRPr="00A85C5A">
        <w:rPr>
          <w:rFonts w:eastAsia="MS Mincho"/>
          <w:vertAlign w:val="superscript"/>
          <w:lang w:eastAsia="en-US"/>
        </w:rPr>
        <w:t xml:space="preserve"> </w:t>
      </w:r>
      <w:r w:rsidRPr="00A85C5A">
        <w:rPr>
          <w:lang w:eastAsia="en-US"/>
        </w:rPr>
        <w:t xml:space="preserve">transition </w:t>
      </w:r>
      <w:r w:rsidRPr="00A85C5A">
        <w:rPr>
          <w:rFonts w:eastAsia="AdvTimes"/>
          <w:lang w:eastAsia="en-US"/>
        </w:rPr>
        <w:lastRenderedPageBreak/>
        <w:t xml:space="preserve">due to dynamic Jahn–Teller distortion </w:t>
      </w:r>
      <w:r w:rsidRPr="00A85C5A">
        <w:rPr>
          <w:lang w:val="en-IN" w:eastAsia="en-US"/>
        </w:rPr>
        <w:t>and its observed μ</w:t>
      </w:r>
      <w:r w:rsidRPr="00A85C5A">
        <w:rPr>
          <w:vertAlign w:val="subscript"/>
          <w:lang w:val="en-IN" w:eastAsia="en-US"/>
        </w:rPr>
        <w:t>eff</w:t>
      </w:r>
      <w:r w:rsidRPr="00A85C5A">
        <w:rPr>
          <w:lang w:val="en-IN" w:eastAsia="en-US"/>
        </w:rPr>
        <w:t xml:space="preserve">  value was 1.75 B.M and slightly higher than the spin-only value 1.73 BM, which </w:t>
      </w:r>
      <w:r w:rsidRPr="00A85C5A">
        <w:rPr>
          <w:lang w:eastAsia="en-US"/>
        </w:rPr>
        <w:t>suggest</w:t>
      </w:r>
      <w:r w:rsidRPr="00A85C5A">
        <w:rPr>
          <w:lang w:val="en-IN" w:eastAsia="en-US"/>
        </w:rPr>
        <w:t xml:space="preserve"> possibility of </w:t>
      </w:r>
      <w:r w:rsidRPr="00A85C5A">
        <w:rPr>
          <w:lang w:eastAsia="en-US"/>
        </w:rPr>
        <w:t>distorted</w:t>
      </w:r>
      <w:r w:rsidRPr="00A85C5A">
        <w:rPr>
          <w:lang w:val="en-IN" w:eastAsia="en-US"/>
        </w:rPr>
        <w:t xml:space="preserve"> octahedral geometry</w:t>
      </w:r>
      <w:r w:rsidRPr="00A85C5A">
        <w:rPr>
          <w:lang w:eastAsia="en-US"/>
        </w:rPr>
        <w:t xml:space="preserve">. </w:t>
      </w:r>
      <w:r w:rsidRPr="00A85C5A">
        <w:rPr>
          <w:lang w:val="en-IN" w:eastAsia="en-US"/>
        </w:rPr>
        <w:t>Complex (</w:t>
      </w:r>
      <w:r w:rsidRPr="00A85C5A">
        <w:rPr>
          <w:b/>
          <w:bCs/>
          <w:lang w:val="en-IN" w:eastAsia="en-US"/>
        </w:rPr>
        <w:t>2</w:t>
      </w:r>
      <w:r w:rsidRPr="00A85C5A">
        <w:rPr>
          <w:lang w:val="en-IN" w:eastAsia="en-US"/>
        </w:rPr>
        <w:t xml:space="preserve">) showed bands at </w:t>
      </w:r>
      <w:r w:rsidRPr="00A85C5A">
        <w:rPr>
          <w:lang w:eastAsia="en-US"/>
        </w:rPr>
        <w:t>646 nm (15,479 cm</w:t>
      </w:r>
      <w:r w:rsidRPr="00A85C5A">
        <w:rPr>
          <w:vertAlign w:val="superscript"/>
          <w:lang w:eastAsia="en-US"/>
        </w:rPr>
        <w:t>-1</w:t>
      </w:r>
      <w:r w:rsidRPr="00A85C5A">
        <w:rPr>
          <w:lang w:eastAsia="en-US"/>
        </w:rPr>
        <w:t>) and 496 nm (20,161 cm</w:t>
      </w:r>
      <w:r w:rsidRPr="00A85C5A">
        <w:rPr>
          <w:vertAlign w:val="superscript"/>
          <w:lang w:eastAsia="en-US"/>
        </w:rPr>
        <w:t>-1</w:t>
      </w:r>
      <w:r w:rsidRPr="00A85C5A">
        <w:rPr>
          <w:lang w:eastAsia="en-US"/>
        </w:rPr>
        <w:t xml:space="preserve">) </w:t>
      </w:r>
      <w:r w:rsidRPr="00A85C5A">
        <w:rPr>
          <w:lang w:val="en-IN" w:eastAsia="en-US"/>
        </w:rPr>
        <w:t xml:space="preserve">corresponding to </w:t>
      </w:r>
      <w:r w:rsidRPr="00A85C5A">
        <w:rPr>
          <w:i/>
          <w:iCs/>
          <w:vertAlign w:val="superscript"/>
          <w:lang w:eastAsia="en-US"/>
        </w:rPr>
        <w:t>4</w:t>
      </w:r>
      <w:r w:rsidRPr="00A85C5A">
        <w:rPr>
          <w:i/>
          <w:iCs/>
          <w:lang w:eastAsia="en-US"/>
        </w:rPr>
        <w:t>T</w:t>
      </w:r>
      <w:r w:rsidRPr="00A85C5A">
        <w:rPr>
          <w:i/>
          <w:iCs/>
          <w:vertAlign w:val="subscript"/>
          <w:lang w:eastAsia="en-US"/>
        </w:rPr>
        <w:t xml:space="preserve">1g </w:t>
      </w:r>
      <w:r w:rsidRPr="00A85C5A">
        <w:rPr>
          <w:i/>
          <w:iCs/>
          <w:lang w:eastAsia="en-US"/>
        </w:rPr>
        <w:t xml:space="preserve">(F) → </w:t>
      </w:r>
      <w:r w:rsidRPr="00A85C5A">
        <w:rPr>
          <w:i/>
          <w:iCs/>
          <w:vertAlign w:val="superscript"/>
          <w:lang w:eastAsia="en-US"/>
        </w:rPr>
        <w:t>4</w:t>
      </w:r>
      <w:r w:rsidRPr="00A85C5A">
        <w:rPr>
          <w:i/>
          <w:iCs/>
          <w:lang w:eastAsia="en-US"/>
        </w:rPr>
        <w:t>A</w:t>
      </w:r>
      <w:r w:rsidRPr="00A85C5A">
        <w:rPr>
          <w:i/>
          <w:iCs/>
          <w:vertAlign w:val="subscript"/>
          <w:lang w:eastAsia="en-US"/>
        </w:rPr>
        <w:t xml:space="preserve">2g </w:t>
      </w:r>
      <w:r w:rsidRPr="00A85C5A">
        <w:rPr>
          <w:i/>
          <w:iCs/>
          <w:lang w:eastAsia="en-US"/>
        </w:rPr>
        <w:t>(F) (</w:t>
      </w:r>
      <w:r w:rsidRPr="00A85C5A">
        <w:rPr>
          <w:lang w:val="en-IN" w:eastAsia="en-US"/>
        </w:rPr>
        <w:t>υ</w:t>
      </w:r>
      <w:r w:rsidRPr="00A85C5A">
        <w:rPr>
          <w:vertAlign w:val="subscript"/>
          <w:lang w:val="en-IN" w:eastAsia="en-US"/>
        </w:rPr>
        <w:t>2</w:t>
      </w:r>
      <w:r w:rsidRPr="00A85C5A">
        <w:rPr>
          <w:i/>
          <w:iCs/>
          <w:lang w:eastAsia="en-US"/>
        </w:rPr>
        <w:t xml:space="preserve">) and </w:t>
      </w:r>
      <w:r w:rsidRPr="00A85C5A">
        <w:rPr>
          <w:i/>
          <w:iCs/>
          <w:vertAlign w:val="superscript"/>
          <w:lang w:eastAsia="en-US"/>
        </w:rPr>
        <w:t>4</w:t>
      </w:r>
      <w:r w:rsidRPr="00A85C5A">
        <w:rPr>
          <w:i/>
          <w:iCs/>
          <w:lang w:eastAsia="en-US"/>
        </w:rPr>
        <w:t>T</w:t>
      </w:r>
      <w:r w:rsidRPr="00A85C5A">
        <w:rPr>
          <w:i/>
          <w:iCs/>
          <w:vertAlign w:val="subscript"/>
          <w:lang w:eastAsia="en-US"/>
        </w:rPr>
        <w:t xml:space="preserve">1g </w:t>
      </w:r>
      <w:r w:rsidRPr="00A85C5A">
        <w:rPr>
          <w:i/>
          <w:iCs/>
          <w:lang w:eastAsia="en-US"/>
        </w:rPr>
        <w:t xml:space="preserve">(F) → </w:t>
      </w:r>
      <w:r w:rsidRPr="00A85C5A">
        <w:rPr>
          <w:i/>
          <w:iCs/>
          <w:vertAlign w:val="superscript"/>
          <w:lang w:eastAsia="en-US"/>
        </w:rPr>
        <w:t>4</w:t>
      </w:r>
      <w:r w:rsidRPr="00A85C5A">
        <w:rPr>
          <w:i/>
          <w:iCs/>
          <w:lang w:eastAsia="en-US"/>
        </w:rPr>
        <w:t>T</w:t>
      </w:r>
      <w:r w:rsidRPr="00A85C5A">
        <w:rPr>
          <w:i/>
          <w:iCs/>
          <w:vertAlign w:val="subscript"/>
          <w:lang w:eastAsia="en-US"/>
        </w:rPr>
        <w:t>1g</w:t>
      </w:r>
      <w:r w:rsidRPr="00A85C5A">
        <w:rPr>
          <w:i/>
          <w:iCs/>
          <w:lang w:eastAsia="en-US"/>
        </w:rPr>
        <w:t xml:space="preserve"> (P) (</w:t>
      </w:r>
      <w:r w:rsidRPr="00A85C5A">
        <w:rPr>
          <w:lang w:val="en-IN" w:eastAsia="en-US"/>
        </w:rPr>
        <w:t>υ</w:t>
      </w:r>
      <w:r w:rsidRPr="00A85C5A">
        <w:rPr>
          <w:vertAlign w:val="subscript"/>
          <w:lang w:val="en-IN" w:eastAsia="en-US"/>
        </w:rPr>
        <w:t>3</w:t>
      </w:r>
      <w:r w:rsidRPr="00A85C5A">
        <w:rPr>
          <w:i/>
          <w:iCs/>
          <w:lang w:eastAsia="en-US"/>
        </w:rPr>
        <w:t>)</w:t>
      </w:r>
      <w:r w:rsidRPr="00A85C5A">
        <w:rPr>
          <w:lang w:val="en-IN" w:eastAsia="en-US"/>
        </w:rPr>
        <w:t xml:space="preserve"> transitions</w:t>
      </w:r>
      <w:r w:rsidRPr="00A85C5A">
        <w:rPr>
          <w:lang w:eastAsia="en-US"/>
        </w:rPr>
        <w:t xml:space="preserve">. </w:t>
      </w:r>
      <w:r w:rsidRPr="00A85C5A">
        <w:rPr>
          <w:lang w:val="en-IN" w:eastAsia="en-US"/>
        </w:rPr>
        <w:t xml:space="preserve">However, </w:t>
      </w:r>
      <w:r w:rsidRPr="00A85C5A">
        <w:rPr>
          <w:lang w:eastAsia="en-US"/>
        </w:rPr>
        <w:t xml:space="preserve">the lowest energy band corresponding to </w:t>
      </w:r>
      <w:r w:rsidRPr="00A85C5A">
        <w:rPr>
          <w:i/>
          <w:iCs/>
          <w:vertAlign w:val="superscript"/>
          <w:lang w:eastAsia="en-US"/>
        </w:rPr>
        <w:t>4</w:t>
      </w:r>
      <w:r w:rsidRPr="00A85C5A">
        <w:rPr>
          <w:i/>
          <w:iCs/>
          <w:lang w:eastAsia="en-US"/>
        </w:rPr>
        <w:t>T</w:t>
      </w:r>
      <w:r w:rsidRPr="00A85C5A">
        <w:rPr>
          <w:i/>
          <w:iCs/>
          <w:vertAlign w:val="subscript"/>
          <w:lang w:eastAsia="en-US"/>
        </w:rPr>
        <w:t xml:space="preserve">1g </w:t>
      </w:r>
      <w:r w:rsidRPr="00A85C5A">
        <w:rPr>
          <w:i/>
          <w:iCs/>
          <w:lang w:eastAsia="en-US"/>
        </w:rPr>
        <w:t xml:space="preserve">(F) → </w:t>
      </w:r>
      <w:r w:rsidRPr="00A85C5A">
        <w:rPr>
          <w:i/>
          <w:iCs/>
          <w:vertAlign w:val="superscript"/>
          <w:lang w:eastAsia="en-US"/>
        </w:rPr>
        <w:t>4</w:t>
      </w:r>
      <w:r w:rsidRPr="00A85C5A">
        <w:rPr>
          <w:i/>
          <w:iCs/>
          <w:lang w:eastAsia="en-US"/>
        </w:rPr>
        <w:t>T</w:t>
      </w:r>
      <w:r w:rsidRPr="00A85C5A">
        <w:rPr>
          <w:i/>
          <w:iCs/>
          <w:vertAlign w:val="subscript"/>
          <w:lang w:eastAsia="en-US"/>
        </w:rPr>
        <w:t xml:space="preserve">2g </w:t>
      </w:r>
      <w:r w:rsidRPr="00A85C5A">
        <w:rPr>
          <w:i/>
          <w:iCs/>
          <w:lang w:eastAsia="en-US"/>
        </w:rPr>
        <w:t>(F) (</w:t>
      </w:r>
      <w:r w:rsidRPr="00A85C5A">
        <w:rPr>
          <w:lang w:val="en-IN" w:eastAsia="en-US"/>
        </w:rPr>
        <w:t>υ</w:t>
      </w:r>
      <w:r w:rsidRPr="00A85C5A">
        <w:rPr>
          <w:vertAlign w:val="subscript"/>
          <w:lang w:val="en-IN" w:eastAsia="en-US"/>
        </w:rPr>
        <w:t xml:space="preserve">1) </w:t>
      </w:r>
      <w:r w:rsidRPr="00A85C5A">
        <w:rPr>
          <w:lang w:val="en-IN" w:eastAsia="en-US"/>
        </w:rPr>
        <w:t xml:space="preserve">transition </w:t>
      </w:r>
      <w:r w:rsidRPr="00A85C5A">
        <w:rPr>
          <w:lang w:eastAsia="en-US"/>
        </w:rPr>
        <w:t>was not observed possibly</w:t>
      </w:r>
      <w:r w:rsidRPr="00A85C5A">
        <w:rPr>
          <w:lang w:val="en-IN" w:eastAsia="en-US"/>
        </w:rPr>
        <w:t xml:space="preserve"> </w:t>
      </w:r>
      <w:r w:rsidRPr="00A85C5A">
        <w:rPr>
          <w:lang w:eastAsia="en-US"/>
        </w:rPr>
        <w:t>because it is band outside the range of the spectrometer (IR region &gt;1000 nm) and</w:t>
      </w:r>
      <w:r w:rsidRPr="00A85C5A">
        <w:rPr>
          <w:lang w:val="en-IN" w:eastAsia="en-US"/>
        </w:rPr>
        <w:t xml:space="preserve"> the observed μ</w:t>
      </w:r>
      <w:r w:rsidRPr="00A85C5A">
        <w:rPr>
          <w:vertAlign w:val="subscript"/>
          <w:lang w:val="en-IN" w:eastAsia="en-US"/>
        </w:rPr>
        <w:t>eff</w:t>
      </w:r>
      <w:r w:rsidRPr="00A85C5A">
        <w:rPr>
          <w:lang w:val="en-IN" w:eastAsia="en-US"/>
        </w:rPr>
        <w:t xml:space="preserve"> value of the complex (</w:t>
      </w:r>
      <w:r w:rsidRPr="00A85C5A">
        <w:rPr>
          <w:b/>
          <w:bCs/>
          <w:lang w:val="en-IN" w:eastAsia="en-US"/>
        </w:rPr>
        <w:t>2</w:t>
      </w:r>
      <w:r w:rsidRPr="00A85C5A">
        <w:rPr>
          <w:lang w:val="en-IN" w:eastAsia="en-US"/>
        </w:rPr>
        <w:t xml:space="preserve">) was 4.73 B.M </w:t>
      </w:r>
      <w:r w:rsidRPr="00A85C5A">
        <w:rPr>
          <w:lang w:eastAsia="en-US"/>
        </w:rPr>
        <w:t>which is higher than the spin-only value due to orbital angular momentum contribution in d</w:t>
      </w:r>
      <w:r w:rsidRPr="00A85C5A">
        <w:rPr>
          <w:vertAlign w:val="superscript"/>
          <w:lang w:eastAsia="en-US"/>
        </w:rPr>
        <w:t>7</w:t>
      </w:r>
      <w:r w:rsidRPr="00A85C5A">
        <w:rPr>
          <w:lang w:eastAsia="en-US"/>
        </w:rPr>
        <w:t xml:space="preserve"> system and close to the value required for an octahedral structure </w:t>
      </w:r>
      <w:r w:rsidRPr="00A85C5A">
        <w:rPr>
          <w:lang w:val="en-IN" w:eastAsia="en-US"/>
        </w:rPr>
        <w:t>(</w:t>
      </w:r>
      <w:r w:rsidRPr="00A85C5A">
        <w:rPr>
          <w:rFonts w:eastAsia="AdvGulliv-R"/>
          <w:lang w:val="en-IN" w:eastAsia="en-US"/>
        </w:rPr>
        <w:t>Raman</w:t>
      </w:r>
      <w:r w:rsidRPr="00A85C5A">
        <w:rPr>
          <w:lang w:eastAsia="en-US"/>
        </w:rPr>
        <w:t>,</w:t>
      </w:r>
      <w:r w:rsidR="00F040EE" w:rsidRPr="00A85C5A">
        <w:rPr>
          <w:rFonts w:eastAsia="AdvGulliv-R"/>
          <w:bCs/>
          <w:lang w:val="en-IN" w:eastAsia="en-US"/>
        </w:rPr>
        <w:t xml:space="preserve"> Kulandaisami, Shunmugasundaram, &amp; Jeyasubramanian,</w:t>
      </w:r>
      <w:r w:rsidRPr="00A85C5A">
        <w:rPr>
          <w:lang w:eastAsia="en-US"/>
        </w:rPr>
        <w:t xml:space="preserve"> 2001</w:t>
      </w:r>
      <w:r w:rsidRPr="00A85C5A">
        <w:rPr>
          <w:lang w:val="en-IN" w:eastAsia="en-US"/>
        </w:rPr>
        <w:t>). Complex (</w:t>
      </w:r>
      <w:r w:rsidRPr="00A85C5A">
        <w:rPr>
          <w:b/>
          <w:bCs/>
          <w:lang w:val="en-IN" w:eastAsia="en-US"/>
        </w:rPr>
        <w:t>4</w:t>
      </w:r>
      <w:r w:rsidRPr="00A85C5A">
        <w:rPr>
          <w:lang w:val="en-IN" w:eastAsia="en-US"/>
        </w:rPr>
        <w:t>) showed three bands at 910</w:t>
      </w:r>
      <w:r w:rsidRPr="00A85C5A">
        <w:rPr>
          <w:lang w:eastAsia="en-US"/>
        </w:rPr>
        <w:t xml:space="preserve"> nm (10,989 cm</w:t>
      </w:r>
      <w:r w:rsidRPr="00A85C5A">
        <w:rPr>
          <w:vertAlign w:val="superscript"/>
          <w:lang w:eastAsia="en-US"/>
        </w:rPr>
        <w:t>-1</w:t>
      </w:r>
      <w:r w:rsidRPr="00A85C5A">
        <w:rPr>
          <w:lang w:eastAsia="en-US"/>
        </w:rPr>
        <w:t>), 560 nm (17,857 cm</w:t>
      </w:r>
      <w:r w:rsidRPr="00A85C5A">
        <w:rPr>
          <w:vertAlign w:val="superscript"/>
          <w:lang w:eastAsia="en-US"/>
        </w:rPr>
        <w:t>-1</w:t>
      </w:r>
      <w:r w:rsidRPr="00A85C5A">
        <w:rPr>
          <w:lang w:eastAsia="en-US"/>
        </w:rPr>
        <w:t>) and 417 nm (23,980 cm</w:t>
      </w:r>
      <w:r w:rsidRPr="00A85C5A">
        <w:rPr>
          <w:vertAlign w:val="superscript"/>
          <w:lang w:eastAsia="en-US"/>
        </w:rPr>
        <w:t>-1</w:t>
      </w:r>
      <w:r w:rsidRPr="00A85C5A">
        <w:rPr>
          <w:lang w:eastAsia="en-US"/>
        </w:rPr>
        <w:t xml:space="preserve">) </w:t>
      </w:r>
      <w:r w:rsidRPr="00A85C5A">
        <w:rPr>
          <w:lang w:val="en-IN" w:eastAsia="en-US"/>
        </w:rPr>
        <w:t xml:space="preserve">corresponding to </w:t>
      </w:r>
      <w:r w:rsidRPr="00A85C5A">
        <w:rPr>
          <w:i/>
          <w:iCs/>
          <w:vertAlign w:val="superscript"/>
          <w:lang w:eastAsia="en-US"/>
        </w:rPr>
        <w:t>3</w:t>
      </w:r>
      <w:r w:rsidRPr="00A85C5A">
        <w:rPr>
          <w:i/>
          <w:iCs/>
          <w:lang w:eastAsia="en-US"/>
        </w:rPr>
        <w:t>A</w:t>
      </w:r>
      <w:r w:rsidRPr="00A85C5A">
        <w:rPr>
          <w:i/>
          <w:iCs/>
          <w:vertAlign w:val="subscript"/>
          <w:lang w:eastAsia="en-US"/>
        </w:rPr>
        <w:t xml:space="preserve">2g </w:t>
      </w:r>
      <w:r w:rsidRPr="00A85C5A">
        <w:rPr>
          <w:i/>
          <w:iCs/>
          <w:lang w:eastAsia="en-US"/>
        </w:rPr>
        <w:t xml:space="preserve">(F) → </w:t>
      </w:r>
      <w:r w:rsidRPr="00A85C5A">
        <w:rPr>
          <w:i/>
          <w:iCs/>
          <w:vertAlign w:val="superscript"/>
          <w:lang w:eastAsia="en-US"/>
        </w:rPr>
        <w:t>3</w:t>
      </w:r>
      <w:r w:rsidRPr="00A85C5A">
        <w:rPr>
          <w:i/>
          <w:iCs/>
          <w:lang w:eastAsia="en-US"/>
        </w:rPr>
        <w:t>T</w:t>
      </w:r>
      <w:r w:rsidRPr="00A85C5A">
        <w:rPr>
          <w:i/>
          <w:iCs/>
          <w:vertAlign w:val="subscript"/>
          <w:lang w:eastAsia="en-US"/>
        </w:rPr>
        <w:t xml:space="preserve">2g </w:t>
      </w:r>
      <w:r w:rsidRPr="00A85C5A">
        <w:rPr>
          <w:i/>
          <w:iCs/>
          <w:lang w:eastAsia="en-US"/>
        </w:rPr>
        <w:t xml:space="preserve">(F), </w:t>
      </w:r>
      <w:r w:rsidRPr="00A85C5A">
        <w:rPr>
          <w:i/>
          <w:iCs/>
          <w:vertAlign w:val="superscript"/>
          <w:lang w:eastAsia="en-US"/>
        </w:rPr>
        <w:t>3</w:t>
      </w:r>
      <w:r w:rsidRPr="00A85C5A">
        <w:rPr>
          <w:i/>
          <w:iCs/>
          <w:lang w:eastAsia="en-US"/>
        </w:rPr>
        <w:t>A</w:t>
      </w:r>
      <w:r w:rsidRPr="00A85C5A">
        <w:rPr>
          <w:i/>
          <w:iCs/>
          <w:vertAlign w:val="subscript"/>
          <w:lang w:eastAsia="en-US"/>
        </w:rPr>
        <w:t xml:space="preserve">2g </w:t>
      </w:r>
      <w:r w:rsidRPr="00A85C5A">
        <w:rPr>
          <w:i/>
          <w:iCs/>
          <w:lang w:eastAsia="en-US"/>
        </w:rPr>
        <w:t xml:space="preserve">(F) → </w:t>
      </w:r>
      <w:r w:rsidRPr="00A85C5A">
        <w:rPr>
          <w:i/>
          <w:iCs/>
          <w:vertAlign w:val="superscript"/>
          <w:lang w:eastAsia="en-US"/>
        </w:rPr>
        <w:t>3</w:t>
      </w:r>
      <w:r w:rsidRPr="00A85C5A">
        <w:rPr>
          <w:i/>
          <w:iCs/>
          <w:lang w:eastAsia="en-US"/>
        </w:rPr>
        <w:t>T</w:t>
      </w:r>
      <w:r w:rsidRPr="00A85C5A">
        <w:rPr>
          <w:i/>
          <w:iCs/>
          <w:vertAlign w:val="subscript"/>
          <w:lang w:eastAsia="en-US"/>
        </w:rPr>
        <w:t xml:space="preserve">1g </w:t>
      </w:r>
      <w:r w:rsidRPr="00A85C5A">
        <w:rPr>
          <w:i/>
          <w:iCs/>
          <w:lang w:eastAsia="en-US"/>
        </w:rPr>
        <w:t xml:space="preserve">(F) and </w:t>
      </w:r>
      <w:r w:rsidRPr="00A85C5A">
        <w:rPr>
          <w:i/>
          <w:iCs/>
          <w:vertAlign w:val="superscript"/>
          <w:lang w:eastAsia="en-US"/>
        </w:rPr>
        <w:t>3</w:t>
      </w:r>
      <w:r w:rsidRPr="00A85C5A">
        <w:rPr>
          <w:i/>
          <w:iCs/>
          <w:lang w:eastAsia="en-US"/>
        </w:rPr>
        <w:t>A</w:t>
      </w:r>
      <w:r w:rsidRPr="00A85C5A">
        <w:rPr>
          <w:i/>
          <w:iCs/>
          <w:vertAlign w:val="subscript"/>
          <w:lang w:eastAsia="en-US"/>
        </w:rPr>
        <w:t xml:space="preserve">2g </w:t>
      </w:r>
      <w:r w:rsidRPr="00A85C5A">
        <w:rPr>
          <w:i/>
          <w:iCs/>
          <w:lang w:eastAsia="en-US"/>
        </w:rPr>
        <w:t xml:space="preserve">(F) → </w:t>
      </w:r>
      <w:r w:rsidRPr="00A85C5A">
        <w:rPr>
          <w:i/>
          <w:iCs/>
          <w:vertAlign w:val="superscript"/>
          <w:lang w:eastAsia="en-US"/>
        </w:rPr>
        <w:t>3</w:t>
      </w:r>
      <w:r w:rsidRPr="00A85C5A">
        <w:rPr>
          <w:i/>
          <w:iCs/>
          <w:lang w:eastAsia="en-US"/>
        </w:rPr>
        <w:t>T</w:t>
      </w:r>
      <w:r w:rsidRPr="00A85C5A">
        <w:rPr>
          <w:i/>
          <w:iCs/>
          <w:vertAlign w:val="subscript"/>
          <w:lang w:eastAsia="en-US"/>
        </w:rPr>
        <w:t xml:space="preserve">1g </w:t>
      </w:r>
      <w:r w:rsidRPr="00A85C5A">
        <w:rPr>
          <w:i/>
          <w:iCs/>
          <w:lang w:eastAsia="en-US"/>
        </w:rPr>
        <w:t>(P)</w:t>
      </w:r>
      <w:r w:rsidRPr="00A85C5A">
        <w:rPr>
          <w:lang w:val="en-IN" w:eastAsia="en-US"/>
        </w:rPr>
        <w:t xml:space="preserve"> transitions</w:t>
      </w:r>
      <w:r w:rsidRPr="00A85C5A">
        <w:rPr>
          <w:i/>
          <w:iCs/>
          <w:lang w:eastAsia="en-US"/>
        </w:rPr>
        <w:t xml:space="preserve"> </w:t>
      </w:r>
      <w:r w:rsidRPr="00A85C5A">
        <w:rPr>
          <w:lang w:eastAsia="en-US"/>
        </w:rPr>
        <w:t xml:space="preserve">and </w:t>
      </w:r>
      <w:r w:rsidRPr="00A85C5A">
        <w:rPr>
          <w:lang w:val="en-IN" w:eastAsia="en-US"/>
        </w:rPr>
        <w:t>μ</w:t>
      </w:r>
      <w:r w:rsidRPr="00A85C5A">
        <w:rPr>
          <w:vertAlign w:val="subscript"/>
          <w:lang w:val="en-IN" w:eastAsia="en-US"/>
        </w:rPr>
        <w:t>eff</w:t>
      </w:r>
      <w:r w:rsidRPr="00A85C5A">
        <w:rPr>
          <w:lang w:val="en-IN" w:eastAsia="en-US"/>
        </w:rPr>
        <w:t xml:space="preserve"> value of the complex (</w:t>
      </w:r>
      <w:r w:rsidRPr="00A85C5A">
        <w:rPr>
          <w:b/>
          <w:bCs/>
          <w:lang w:val="en-IN" w:eastAsia="en-US"/>
        </w:rPr>
        <w:t>4</w:t>
      </w:r>
      <w:r w:rsidRPr="00A85C5A">
        <w:rPr>
          <w:lang w:val="en-IN" w:eastAsia="en-US"/>
        </w:rPr>
        <w:t xml:space="preserve">) was observed at 3.18 B.M </w:t>
      </w:r>
      <w:r w:rsidRPr="00A85C5A">
        <w:rPr>
          <w:rFonts w:eastAsia="AdvTimes"/>
          <w:lang w:eastAsia="en-US"/>
        </w:rPr>
        <w:t>(</w:t>
      </w:r>
      <w:r w:rsidRPr="00A85C5A">
        <w:rPr>
          <w:bCs/>
          <w:lang w:eastAsia="en-US"/>
        </w:rPr>
        <w:t>Lever</w:t>
      </w:r>
      <w:r w:rsidRPr="00A85C5A">
        <w:rPr>
          <w:lang w:eastAsia="en-US"/>
        </w:rPr>
        <w:t>, 1968</w:t>
      </w:r>
      <w:r w:rsidRPr="00A85C5A">
        <w:rPr>
          <w:rFonts w:eastAsia="AdvTimes"/>
          <w:lang w:eastAsia="en-US"/>
        </w:rPr>
        <w:t>)</w:t>
      </w:r>
      <w:r w:rsidRPr="00A85C5A">
        <w:rPr>
          <w:lang w:val="en-IN" w:eastAsia="en-US"/>
        </w:rPr>
        <w:t xml:space="preserve">. </w:t>
      </w:r>
      <w:r w:rsidRPr="00A85C5A">
        <w:rPr>
          <w:lang w:eastAsia="en-US"/>
        </w:rPr>
        <w:t>Complexes (</w:t>
      </w:r>
      <w:r w:rsidRPr="00A85C5A">
        <w:rPr>
          <w:b/>
          <w:bCs/>
          <w:lang w:eastAsia="en-US"/>
        </w:rPr>
        <w:t>3</w:t>
      </w:r>
      <w:r w:rsidRPr="00A85C5A">
        <w:rPr>
          <w:lang w:eastAsia="en-US"/>
        </w:rPr>
        <w:t>) and (</w:t>
      </w:r>
      <w:r w:rsidRPr="00A85C5A">
        <w:rPr>
          <w:b/>
          <w:bCs/>
          <w:lang w:eastAsia="en-US"/>
        </w:rPr>
        <w:t>5</w:t>
      </w:r>
      <w:r w:rsidRPr="00A85C5A">
        <w:rPr>
          <w:lang w:eastAsia="en-US"/>
        </w:rPr>
        <w:t>) have no absorption in the visible region and crystal field theory does not predict the d-d transitions of the complexes (</w:t>
      </w:r>
      <w:r w:rsidRPr="00A85C5A">
        <w:rPr>
          <w:b/>
          <w:bCs/>
          <w:lang w:eastAsia="en-US"/>
        </w:rPr>
        <w:t>3</w:t>
      </w:r>
      <w:r w:rsidRPr="00A85C5A">
        <w:rPr>
          <w:lang w:eastAsia="en-US"/>
        </w:rPr>
        <w:t>) and (</w:t>
      </w:r>
      <w:r w:rsidRPr="00A85C5A">
        <w:rPr>
          <w:b/>
          <w:bCs/>
          <w:lang w:eastAsia="en-US"/>
        </w:rPr>
        <w:t>5</w:t>
      </w:r>
      <w:r w:rsidRPr="00A85C5A">
        <w:rPr>
          <w:lang w:eastAsia="en-US"/>
        </w:rPr>
        <w:t xml:space="preserve">) due to </w:t>
      </w:r>
      <w:r w:rsidRPr="00A85C5A">
        <w:rPr>
          <w:i/>
          <w:iCs/>
          <w:lang w:eastAsia="en-US"/>
        </w:rPr>
        <w:t>d</w:t>
      </w:r>
      <w:r w:rsidRPr="00A85C5A">
        <w:rPr>
          <w:i/>
          <w:iCs/>
          <w:vertAlign w:val="superscript"/>
          <w:lang w:eastAsia="en-US"/>
        </w:rPr>
        <w:t>5</w:t>
      </w:r>
      <w:r w:rsidRPr="00A85C5A">
        <w:rPr>
          <w:lang w:eastAsia="en-US"/>
        </w:rPr>
        <w:t xml:space="preserve"> and </w:t>
      </w:r>
      <w:r w:rsidRPr="00A85C5A">
        <w:rPr>
          <w:i/>
          <w:iCs/>
          <w:lang w:eastAsia="en-US"/>
        </w:rPr>
        <w:t>d</w:t>
      </w:r>
      <w:r w:rsidRPr="00A85C5A">
        <w:rPr>
          <w:i/>
          <w:iCs/>
          <w:vertAlign w:val="superscript"/>
          <w:lang w:eastAsia="en-US"/>
        </w:rPr>
        <w:t>10</w:t>
      </w:r>
      <w:r w:rsidRPr="00A85C5A">
        <w:rPr>
          <w:lang w:eastAsia="en-US"/>
        </w:rPr>
        <w:t xml:space="preserve"> electronic configurations respectively and the observed magnetic </w:t>
      </w:r>
      <w:r w:rsidRPr="00A85C5A">
        <w:rPr>
          <w:lang w:val="en-IN" w:eastAsia="en-US" w:bidi="ta-IN"/>
        </w:rPr>
        <w:t>susceptibility</w:t>
      </w:r>
      <w:r w:rsidRPr="00A85C5A">
        <w:rPr>
          <w:lang w:eastAsia="en-US"/>
        </w:rPr>
        <w:t xml:space="preserve"> value of the complex (</w:t>
      </w:r>
      <w:r w:rsidRPr="00A85C5A">
        <w:rPr>
          <w:b/>
          <w:bCs/>
          <w:lang w:eastAsia="en-US"/>
        </w:rPr>
        <w:t>5</w:t>
      </w:r>
      <w:r w:rsidRPr="00A85C5A">
        <w:rPr>
          <w:lang w:eastAsia="en-US"/>
        </w:rPr>
        <w:t>) is zero which indicates the diamagnetic nature (</w:t>
      </w:r>
      <w:r w:rsidRPr="00A85C5A">
        <w:rPr>
          <w:bCs/>
          <w:lang w:eastAsia="en-US"/>
        </w:rPr>
        <w:t>Panchal</w:t>
      </w:r>
      <w:r w:rsidR="007F78D0" w:rsidRPr="00A85C5A">
        <w:rPr>
          <w:lang w:eastAsia="en-US"/>
        </w:rPr>
        <w:t>,</w:t>
      </w:r>
      <w:r w:rsidR="0027711C" w:rsidRPr="00A85C5A">
        <w:rPr>
          <w:bCs/>
          <w:lang w:eastAsia="en-US"/>
        </w:rPr>
        <w:t xml:space="preserve"> </w:t>
      </w:r>
      <w:r w:rsidR="007F78D0" w:rsidRPr="00A85C5A">
        <w:rPr>
          <w:bCs/>
          <w:lang w:eastAsia="en-US"/>
        </w:rPr>
        <w:t>Parekh,</w:t>
      </w:r>
      <w:r w:rsidR="0027711C" w:rsidRPr="00A85C5A">
        <w:rPr>
          <w:bCs/>
          <w:lang w:eastAsia="en-US"/>
        </w:rPr>
        <w:t xml:space="preserve"> </w:t>
      </w:r>
      <w:r w:rsidR="007F78D0" w:rsidRPr="00A85C5A">
        <w:rPr>
          <w:bCs/>
          <w:lang w:eastAsia="en-US"/>
        </w:rPr>
        <w:t xml:space="preserve"> Pansuriya, </w:t>
      </w:r>
      <w:r w:rsidR="007F78D0" w:rsidRPr="00A85C5A">
        <w:rPr>
          <w:bCs/>
          <w:lang w:val="en-IN" w:eastAsia="en-US"/>
        </w:rPr>
        <w:t>&amp;</w:t>
      </w:r>
      <w:r w:rsidR="007F78D0" w:rsidRPr="00A85C5A">
        <w:rPr>
          <w:bCs/>
          <w:lang w:eastAsia="en-US"/>
        </w:rPr>
        <w:t xml:space="preserve"> Patel</w:t>
      </w:r>
      <w:r w:rsidRPr="00A85C5A">
        <w:rPr>
          <w:lang w:eastAsia="en-US"/>
        </w:rPr>
        <w:t xml:space="preserve">, 2006). </w:t>
      </w:r>
      <w:r w:rsidRPr="00A85C5A">
        <w:rPr>
          <w:lang w:val="en-IN" w:eastAsia="en-US"/>
        </w:rPr>
        <w:t>Manganese(II) ion has a high spin d</w:t>
      </w:r>
      <w:r w:rsidRPr="00A85C5A">
        <w:rPr>
          <w:vertAlign w:val="superscript"/>
          <w:lang w:val="en-IN" w:eastAsia="en-US"/>
        </w:rPr>
        <w:t>5</w:t>
      </w:r>
      <w:r w:rsidRPr="00A85C5A">
        <w:rPr>
          <w:lang w:val="en-IN" w:eastAsia="en-US"/>
        </w:rPr>
        <w:t xml:space="preserve"> electronic configuration with a </w:t>
      </w:r>
      <w:r w:rsidRPr="00A85C5A">
        <w:rPr>
          <w:vertAlign w:val="superscript"/>
          <w:lang w:val="en-IN" w:eastAsia="en-US"/>
        </w:rPr>
        <w:t>6</w:t>
      </w:r>
      <w:r w:rsidRPr="00A85C5A">
        <w:rPr>
          <w:lang w:val="en-IN" w:eastAsia="en-US"/>
        </w:rPr>
        <w:t>S ground term, which gives no crystal field stabilisation energies for any coordination geometries and they are very weakly coloured due to spin forbidden d-d transition and laporte forbidden. It is very difficult to identify the d-d bands of a manganese(II) complex as these bands are not very well defined  and submerged in the tail of the strong intra ligand transitions or charge transfer bands. However, the broad bands of low intensity may be appeared around 25,000 cm</w:t>
      </w:r>
      <w:r w:rsidRPr="00A85C5A">
        <w:rPr>
          <w:vertAlign w:val="superscript"/>
          <w:lang w:val="en-IN" w:eastAsia="en-US"/>
        </w:rPr>
        <w:t>-1</w:t>
      </w:r>
      <w:r w:rsidRPr="00A85C5A">
        <w:rPr>
          <w:lang w:val="en-IN" w:eastAsia="en-US"/>
        </w:rPr>
        <w:t xml:space="preserve"> (400 nm) corresponding to the </w:t>
      </w:r>
      <w:r w:rsidRPr="00A85C5A">
        <w:rPr>
          <w:vertAlign w:val="superscript"/>
          <w:lang w:val="en-IN" w:eastAsia="en-US"/>
        </w:rPr>
        <w:t>6</w:t>
      </w:r>
      <w:r w:rsidRPr="00A85C5A">
        <w:rPr>
          <w:lang w:val="en-IN" w:eastAsia="en-US"/>
        </w:rPr>
        <w:t>A</w:t>
      </w:r>
      <w:r w:rsidRPr="00A85C5A">
        <w:rPr>
          <w:vertAlign w:val="subscript"/>
          <w:lang w:val="en-IN" w:eastAsia="en-US"/>
        </w:rPr>
        <w:t>1g</w:t>
      </w:r>
      <w:r w:rsidRPr="00A85C5A">
        <w:rPr>
          <w:lang w:val="en-IN" w:eastAsia="en-US"/>
        </w:rPr>
        <w:t xml:space="preserve"> (F) </w:t>
      </w:r>
      <w:r w:rsidRPr="00A85C5A">
        <w:rPr>
          <w:i/>
          <w:iCs/>
          <w:lang w:val="en-IN" w:eastAsia="en-US"/>
        </w:rPr>
        <w:t xml:space="preserve">→ </w:t>
      </w:r>
      <w:r w:rsidRPr="00A85C5A">
        <w:rPr>
          <w:vertAlign w:val="superscript"/>
          <w:lang w:val="en-IN" w:eastAsia="en-US"/>
        </w:rPr>
        <w:t>4</w:t>
      </w:r>
      <w:r w:rsidRPr="00A85C5A">
        <w:rPr>
          <w:lang w:val="en-IN" w:eastAsia="en-US"/>
        </w:rPr>
        <w:t>T</w:t>
      </w:r>
      <w:r w:rsidRPr="00A85C5A">
        <w:rPr>
          <w:vertAlign w:val="subscript"/>
          <w:lang w:val="en-IN" w:eastAsia="en-US"/>
        </w:rPr>
        <w:t>2g</w:t>
      </w:r>
      <w:r w:rsidRPr="00A85C5A">
        <w:rPr>
          <w:lang w:val="en-IN" w:eastAsia="en-US"/>
        </w:rPr>
        <w:t xml:space="preserve"> (G) transitions (</w:t>
      </w:r>
      <w:r w:rsidRPr="00A85C5A">
        <w:rPr>
          <w:bCs/>
          <w:lang w:eastAsia="en-US"/>
        </w:rPr>
        <w:t>Chandra</w:t>
      </w:r>
      <w:r w:rsidR="00604DFC" w:rsidRPr="00A85C5A">
        <w:rPr>
          <w:lang w:eastAsia="en-US"/>
        </w:rPr>
        <w:t xml:space="preserve"> </w:t>
      </w:r>
      <w:r w:rsidR="00604DFC" w:rsidRPr="00A85C5A">
        <w:rPr>
          <w:bCs/>
          <w:lang w:val="en-IN" w:eastAsia="en-US"/>
        </w:rPr>
        <w:t xml:space="preserve">&amp; </w:t>
      </w:r>
      <w:r w:rsidR="00604DFC" w:rsidRPr="00A85C5A">
        <w:rPr>
          <w:bCs/>
          <w:lang w:eastAsia="en-US"/>
        </w:rPr>
        <w:t>Kumar</w:t>
      </w:r>
      <w:r w:rsidR="00604DFC" w:rsidRPr="00A85C5A">
        <w:rPr>
          <w:lang w:eastAsia="en-US"/>
        </w:rPr>
        <w:t xml:space="preserve">, </w:t>
      </w:r>
      <w:r w:rsidRPr="00A85C5A">
        <w:rPr>
          <w:lang w:eastAsia="en-US"/>
        </w:rPr>
        <w:t>2005</w:t>
      </w:r>
      <w:r w:rsidRPr="00A85C5A">
        <w:rPr>
          <w:lang w:val="en-IN" w:eastAsia="en-US"/>
        </w:rPr>
        <w:t xml:space="preserve">). </w:t>
      </w:r>
      <w:r w:rsidRPr="00A85C5A">
        <w:rPr>
          <w:lang w:eastAsia="en-US"/>
        </w:rPr>
        <w:t xml:space="preserve">On the basis of analytical, </w:t>
      </w:r>
      <w:r w:rsidRPr="00A85C5A">
        <w:rPr>
          <w:lang w:eastAsia="en-US"/>
        </w:rPr>
        <w:lastRenderedPageBreak/>
        <w:t xml:space="preserve">the observed spectral and magnetic </w:t>
      </w:r>
      <w:r w:rsidRPr="00A85C5A">
        <w:rPr>
          <w:lang w:val="en-IN" w:eastAsia="en-US" w:bidi="ta-IN"/>
        </w:rPr>
        <w:t>susceptibility</w:t>
      </w:r>
      <w:r w:rsidRPr="00A85C5A">
        <w:rPr>
          <w:lang w:eastAsia="en-US"/>
        </w:rPr>
        <w:t xml:space="preserve"> results suggest an octahedral environment around the central metal(II) ion. </w:t>
      </w:r>
    </w:p>
    <w:p w:rsidR="00040FC3" w:rsidRPr="00A85C5A" w:rsidRDefault="00040FC3" w:rsidP="00040FC3">
      <w:pPr>
        <w:overflowPunct w:val="0"/>
        <w:autoSpaceDE w:val="0"/>
        <w:autoSpaceDN w:val="0"/>
        <w:adjustRightInd w:val="0"/>
        <w:spacing w:line="360" w:lineRule="auto"/>
        <w:contextualSpacing/>
        <w:jc w:val="both"/>
        <w:textAlignment w:val="baseline"/>
        <w:rPr>
          <w:lang w:eastAsia="en-US"/>
        </w:rPr>
      </w:pPr>
    </w:p>
    <w:tbl>
      <w:tblPr>
        <w:tblStyle w:val="TableGrid10"/>
        <w:tblW w:w="0" w:type="auto"/>
        <w:jc w:val="center"/>
        <w:tblLayout w:type="fixed"/>
        <w:tblLook w:val="04A0" w:firstRow="1" w:lastRow="0" w:firstColumn="1" w:lastColumn="0" w:noHBand="0" w:noVBand="1"/>
      </w:tblPr>
      <w:tblGrid>
        <w:gridCol w:w="7042"/>
      </w:tblGrid>
      <w:tr w:rsidR="00040FC3" w:rsidRPr="00A85C5A" w:rsidTr="00867F16">
        <w:trPr>
          <w:jc w:val="center"/>
        </w:trPr>
        <w:tc>
          <w:tcPr>
            <w:tcW w:w="7042" w:type="dxa"/>
            <w:tcBorders>
              <w:top w:val="nil"/>
              <w:left w:val="nil"/>
              <w:bottom w:val="nil"/>
              <w:right w:val="nil"/>
            </w:tcBorders>
          </w:tcPr>
          <w:p w:rsidR="00040FC3" w:rsidRPr="00A85C5A" w:rsidRDefault="00040FC3" w:rsidP="00867F16">
            <w:pPr>
              <w:overflowPunct w:val="0"/>
              <w:autoSpaceDE w:val="0"/>
              <w:autoSpaceDN w:val="0"/>
              <w:adjustRightInd w:val="0"/>
              <w:spacing w:line="240" w:lineRule="auto"/>
              <w:contextualSpacing/>
              <w:textAlignment w:val="baseline"/>
              <w:rPr>
                <w:lang w:eastAsia="en-US"/>
              </w:rPr>
            </w:pPr>
            <w:r w:rsidRPr="00A85C5A">
              <w:rPr>
                <w:noProof/>
                <w:lang w:val="en-US" w:eastAsia="en-US"/>
              </w:rPr>
              <w:drawing>
                <wp:inline distT="0" distB="0" distL="0" distR="0">
                  <wp:extent cx="4245712" cy="3120989"/>
                  <wp:effectExtent l="19050" t="0" r="2438" b="0"/>
                  <wp:docPr id="3" name="Picture 1" descr="E:\2013-17 onwards\2017 onwards\2017 onwards part 3\all journal publication\9.bioinorgani and application\very final i scheme phen 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17 onwards\2017 onwards\2017 onwards part 3\all journal publication\9.bioinorgani and application\very final i scheme phen uv.jpg"/>
                          <pic:cNvPicPr>
                            <a:picLocks noChangeAspect="1" noChangeArrowheads="1"/>
                          </pic:cNvPicPr>
                        </pic:nvPicPr>
                        <pic:blipFill>
                          <a:blip r:embed="rId13" cstate="print"/>
                          <a:srcRect/>
                          <a:stretch>
                            <a:fillRect/>
                          </a:stretch>
                        </pic:blipFill>
                        <pic:spPr bwMode="auto">
                          <a:xfrm>
                            <a:off x="0" y="0"/>
                            <a:ext cx="4252749" cy="3126162"/>
                          </a:xfrm>
                          <a:prstGeom prst="rect">
                            <a:avLst/>
                          </a:prstGeom>
                          <a:noFill/>
                          <a:ln w="9525">
                            <a:noFill/>
                            <a:miter lim="800000"/>
                            <a:headEnd/>
                            <a:tailEnd/>
                          </a:ln>
                        </pic:spPr>
                      </pic:pic>
                    </a:graphicData>
                  </a:graphic>
                </wp:inline>
              </w:drawing>
            </w:r>
          </w:p>
          <w:p w:rsidR="00040FC3" w:rsidRPr="00A85C5A" w:rsidRDefault="00040FC3" w:rsidP="00867F16">
            <w:pPr>
              <w:overflowPunct w:val="0"/>
              <w:autoSpaceDE w:val="0"/>
              <w:autoSpaceDN w:val="0"/>
              <w:adjustRightInd w:val="0"/>
              <w:spacing w:line="240" w:lineRule="auto"/>
              <w:contextualSpacing/>
              <w:jc w:val="both"/>
              <w:textAlignment w:val="baseline"/>
              <w:rPr>
                <w:rFonts w:ascii="Times New Roman" w:hAnsi="Times New Roman"/>
                <w:lang w:eastAsia="en-US"/>
              </w:rPr>
            </w:pPr>
            <w:r w:rsidRPr="00A85C5A">
              <w:rPr>
                <w:rFonts w:ascii="Times New Roman" w:hAnsi="Times New Roman"/>
                <w:b/>
                <w:lang w:eastAsia="en-US"/>
              </w:rPr>
              <w:t>Fig. S4</w:t>
            </w:r>
            <w:r w:rsidRPr="00A85C5A">
              <w:rPr>
                <w:rFonts w:ascii="Times New Roman" w:hAnsi="Times New Roman"/>
                <w:lang w:eastAsia="en-US"/>
              </w:rPr>
              <w:t xml:space="preserve"> Electronic spectra of ligand (</w:t>
            </w:r>
            <w:r w:rsidRPr="00A85C5A">
              <w:rPr>
                <w:rFonts w:ascii="Times New Roman" w:hAnsi="Times New Roman"/>
                <w:b/>
                <w:bCs/>
                <w:lang w:eastAsia="en-US"/>
              </w:rPr>
              <w:t>LH</w:t>
            </w:r>
            <w:r w:rsidRPr="00A85C5A">
              <w:rPr>
                <w:rFonts w:ascii="Times New Roman" w:hAnsi="Times New Roman"/>
                <w:lang w:eastAsia="en-US"/>
              </w:rPr>
              <w:t>) and its complexes (</w:t>
            </w:r>
            <w:r w:rsidRPr="00A85C5A">
              <w:rPr>
                <w:rFonts w:ascii="Times New Roman" w:hAnsi="Times New Roman"/>
                <w:b/>
                <w:bCs/>
                <w:lang w:eastAsia="en-US"/>
              </w:rPr>
              <w:t>1-2 &amp; 4)</w:t>
            </w:r>
          </w:p>
        </w:tc>
      </w:tr>
    </w:tbl>
    <w:p w:rsidR="00040FC3" w:rsidRPr="00A85C5A" w:rsidRDefault="00040FC3" w:rsidP="00040FC3">
      <w:pPr>
        <w:overflowPunct w:val="0"/>
        <w:autoSpaceDE w:val="0"/>
        <w:autoSpaceDN w:val="0"/>
        <w:adjustRightInd w:val="0"/>
        <w:spacing w:line="240" w:lineRule="auto"/>
        <w:jc w:val="center"/>
        <w:textAlignment w:val="baseline"/>
        <w:rPr>
          <w:lang w:eastAsia="en-US"/>
        </w:rPr>
      </w:pPr>
    </w:p>
    <w:p w:rsidR="00EC6E98" w:rsidRPr="00A85C5A" w:rsidRDefault="00EC6E98" w:rsidP="00EC6E98">
      <w:pPr>
        <w:overflowPunct w:val="0"/>
        <w:autoSpaceDE w:val="0"/>
        <w:autoSpaceDN w:val="0"/>
        <w:adjustRightInd w:val="0"/>
        <w:contextualSpacing/>
        <w:jc w:val="both"/>
        <w:textAlignment w:val="baseline"/>
        <w:rPr>
          <w:rFonts w:eastAsia="AdvTimes"/>
          <w:b/>
          <w:bCs/>
          <w:i/>
          <w:iCs/>
          <w:lang w:val="en-IN" w:eastAsia="en-US" w:bidi="ta-IN"/>
        </w:rPr>
      </w:pPr>
      <w:r w:rsidRPr="00A85C5A">
        <w:rPr>
          <w:b/>
          <w:bCs/>
          <w:i/>
          <w:iCs/>
          <w:lang w:val="en-IN" w:eastAsia="en-US" w:bidi="ta-IN"/>
        </w:rPr>
        <w:t>Electron paramagnetic resonance spectra</w:t>
      </w:r>
    </w:p>
    <w:p w:rsidR="00EC6E98" w:rsidRPr="00A85C5A" w:rsidRDefault="00EC6E98" w:rsidP="00EC6E98">
      <w:pPr>
        <w:overflowPunct w:val="0"/>
        <w:autoSpaceDE w:val="0"/>
        <w:autoSpaceDN w:val="0"/>
        <w:adjustRightInd w:val="0"/>
        <w:contextualSpacing/>
        <w:jc w:val="both"/>
        <w:textAlignment w:val="baseline"/>
        <w:rPr>
          <w:lang w:eastAsia="en-US"/>
        </w:rPr>
      </w:pPr>
      <w:r w:rsidRPr="00A85C5A">
        <w:rPr>
          <w:lang w:eastAsia="en-US"/>
        </w:rPr>
        <w:t>Complex (</w:t>
      </w:r>
      <w:r w:rsidRPr="00A85C5A">
        <w:rPr>
          <w:b/>
          <w:bCs/>
          <w:lang w:eastAsia="en-US"/>
        </w:rPr>
        <w:t>1</w:t>
      </w:r>
      <w:r w:rsidRPr="00A85C5A">
        <w:rPr>
          <w:lang w:eastAsia="en-US"/>
        </w:rPr>
        <w:t>) exhibited one intense absorption band at 300 K in the high field region was isotropic due to the tumbling motion of the molecules and another one exhibited at 77 K was anisotropic pattern with well-resolved</w:t>
      </w:r>
      <w:r w:rsidRPr="00A85C5A">
        <w:rPr>
          <w:rFonts w:eastAsia="AdvTimes"/>
          <w:lang w:eastAsia="en-US"/>
        </w:rPr>
        <w:t xml:space="preserve"> hyperfine lines</w:t>
      </w:r>
      <w:r w:rsidR="00405B64" w:rsidRPr="00A85C5A">
        <w:rPr>
          <w:lang w:val="rm-CH" w:eastAsia="rm-CH"/>
        </w:rPr>
        <w:t xml:space="preserve"> (Fig. </w:t>
      </w:r>
      <w:r w:rsidRPr="00A85C5A">
        <w:rPr>
          <w:lang w:val="rm-CH" w:eastAsia="rm-CH"/>
        </w:rPr>
        <w:t>S5)</w:t>
      </w:r>
      <w:r w:rsidRPr="00A85C5A">
        <w:rPr>
          <w:lang w:val="en-IN" w:eastAsia="en-US"/>
        </w:rPr>
        <w:t xml:space="preserve">. </w:t>
      </w:r>
      <w:r w:rsidRPr="00A85C5A">
        <w:rPr>
          <w:lang w:eastAsia="en-US"/>
        </w:rPr>
        <w:t xml:space="preserve">The spin Hamiltonian parameters have been calculated by Kivelson’s method. The observed </w:t>
      </w:r>
      <w:r w:rsidRPr="00A85C5A">
        <w:rPr>
          <w:i/>
          <w:iCs/>
          <w:lang w:eastAsia="en-US"/>
        </w:rPr>
        <w:t>g</w:t>
      </w:r>
      <w:r w:rsidRPr="00A85C5A">
        <w:rPr>
          <w:i/>
          <w:iCs/>
          <w:vertAlign w:val="subscript"/>
          <w:lang w:eastAsia="en-US"/>
        </w:rPr>
        <w:t>tensor</w:t>
      </w:r>
      <w:r w:rsidRPr="00A85C5A">
        <w:rPr>
          <w:lang w:eastAsia="en-US"/>
        </w:rPr>
        <w:t xml:space="preserve"> values were in the following order </w:t>
      </w:r>
      <w:r w:rsidRPr="00A85C5A">
        <w:rPr>
          <w:i/>
          <w:iCs/>
          <w:lang w:eastAsia="en-US"/>
        </w:rPr>
        <w:t>g</w:t>
      </w:r>
      <w:r w:rsidRPr="00A85C5A">
        <w:rPr>
          <w:b/>
          <w:i/>
          <w:iCs/>
          <w:vertAlign w:val="subscript"/>
          <w:lang w:eastAsia="en-US"/>
        </w:rPr>
        <w:t>||</w:t>
      </w:r>
      <w:r w:rsidRPr="00A85C5A">
        <w:rPr>
          <w:b/>
          <w:vertAlign w:val="subscript"/>
          <w:lang w:eastAsia="en-US"/>
        </w:rPr>
        <w:t xml:space="preserve"> </w:t>
      </w:r>
      <w:r w:rsidRPr="00A85C5A">
        <w:rPr>
          <w:lang w:eastAsia="en-US"/>
        </w:rPr>
        <w:t xml:space="preserve">(2.1628) &gt; </w:t>
      </w:r>
      <w:r w:rsidRPr="00A85C5A">
        <w:rPr>
          <w:i/>
          <w:iCs/>
          <w:lang w:eastAsia="en-US"/>
        </w:rPr>
        <w:t>g</w:t>
      </w:r>
      <w:r w:rsidRPr="00A85C5A">
        <w:rPr>
          <w:rFonts w:hAnsi="Cambria Math"/>
          <w:i/>
          <w:iCs/>
          <w:vertAlign w:val="subscript"/>
          <w:lang w:eastAsia="en-US"/>
        </w:rPr>
        <w:t>⊥</w:t>
      </w:r>
      <w:r w:rsidRPr="00A85C5A">
        <w:rPr>
          <w:vertAlign w:val="subscript"/>
          <w:lang w:eastAsia="en-US"/>
        </w:rPr>
        <w:t xml:space="preserve"> </w:t>
      </w:r>
      <w:r w:rsidRPr="00A85C5A">
        <w:rPr>
          <w:lang w:eastAsia="en-US"/>
        </w:rPr>
        <w:t xml:space="preserve">(2.0267) &gt; </w:t>
      </w:r>
      <w:r w:rsidRPr="00A85C5A">
        <w:rPr>
          <w:i/>
          <w:iCs/>
          <w:lang w:eastAsia="en-US"/>
        </w:rPr>
        <w:t>g</w:t>
      </w:r>
      <w:r w:rsidRPr="00A85C5A">
        <w:rPr>
          <w:i/>
          <w:iCs/>
          <w:vertAlign w:val="subscript"/>
          <w:lang w:eastAsia="en-US"/>
        </w:rPr>
        <w:t>e</w:t>
      </w:r>
      <w:r w:rsidRPr="00A85C5A">
        <w:rPr>
          <w:i/>
          <w:iCs/>
          <w:lang w:eastAsia="en-US"/>
        </w:rPr>
        <w:t xml:space="preserve"> </w:t>
      </w:r>
      <w:r w:rsidRPr="00A85C5A">
        <w:rPr>
          <w:lang w:eastAsia="en-US"/>
        </w:rPr>
        <w:t>(2.00277) indicating that the unpaired electron lies predominantly in the</w:t>
      </w:r>
      <m:oMath>
        <m:r>
          <m:rPr>
            <m:sty m:val="p"/>
          </m:rPr>
          <w:rPr>
            <w:rFonts w:ascii="Cambria Math"/>
            <w:lang w:eastAsia="en-US"/>
          </w:rPr>
          <m:t xml:space="preserve"> </m:t>
        </m:r>
        <m:sSub>
          <m:sSubPr>
            <m:ctrlPr>
              <w:rPr>
                <w:rFonts w:ascii="Cambria Math" w:hAnsi="Cambria Math"/>
                <w:i/>
                <w:iCs/>
                <w:lang w:eastAsia="en-US"/>
              </w:rPr>
            </m:ctrlPr>
          </m:sSubPr>
          <m:e>
            <m:r>
              <w:rPr>
                <w:rFonts w:ascii="Cambria Math" w:hAnsi="Cambria Math"/>
                <w:lang w:eastAsia="en-US"/>
              </w:rPr>
              <m:t>d</m:t>
            </m:r>
          </m:e>
          <m:sub>
            <m:sSup>
              <m:sSupPr>
                <m:ctrlPr>
                  <w:rPr>
                    <w:rFonts w:ascii="Cambria Math" w:hAnsi="Cambria Math"/>
                    <w:i/>
                    <w:iCs/>
                    <w:lang w:eastAsia="en-US"/>
                  </w:rPr>
                </m:ctrlPr>
              </m:sSupPr>
              <m:e>
                <m:r>
                  <w:rPr>
                    <w:rFonts w:ascii="Cambria Math" w:hAnsi="Cambria Math"/>
                    <w:lang w:eastAsia="en-US"/>
                  </w:rPr>
                  <m:t>x</m:t>
                </m:r>
              </m:e>
              <m:sup>
                <m:r>
                  <w:rPr>
                    <w:rFonts w:ascii="Cambria Math"/>
                    <w:lang w:eastAsia="en-US"/>
                  </w:rPr>
                  <m:t>2</m:t>
                </m:r>
              </m:sup>
            </m:sSup>
            <m:r>
              <w:rPr>
                <w:rFonts w:ascii="Cambria Math"/>
                <w:lang w:eastAsia="en-US"/>
              </w:rPr>
              <m:t>-</m:t>
            </m:r>
            <m:sSup>
              <m:sSupPr>
                <m:ctrlPr>
                  <w:rPr>
                    <w:rFonts w:ascii="Cambria Math" w:hAnsi="Cambria Math"/>
                    <w:i/>
                    <w:iCs/>
                    <w:lang w:eastAsia="en-US"/>
                  </w:rPr>
                </m:ctrlPr>
              </m:sSupPr>
              <m:e>
                <m:r>
                  <w:rPr>
                    <w:rFonts w:ascii="Cambria Math" w:hAnsi="Cambria Math"/>
                    <w:lang w:eastAsia="en-US"/>
                  </w:rPr>
                  <m:t>y</m:t>
                </m:r>
              </m:e>
              <m:sup>
                <m:r>
                  <w:rPr>
                    <w:rFonts w:ascii="Cambria Math"/>
                    <w:lang w:eastAsia="en-US"/>
                  </w:rPr>
                  <m:t>2</m:t>
                </m:r>
              </m:sup>
            </m:sSup>
          </m:sub>
        </m:sSub>
      </m:oMath>
      <w:r w:rsidRPr="00A85C5A">
        <w:rPr>
          <w:vertAlign w:val="superscript"/>
          <w:lang w:eastAsia="en-US"/>
        </w:rPr>
        <w:t xml:space="preserve"> </w:t>
      </w:r>
      <w:r w:rsidRPr="00A85C5A">
        <w:rPr>
          <w:lang w:eastAsia="en-US"/>
        </w:rPr>
        <w:t>orbital of Cu(II) (</w:t>
      </w:r>
      <w:r w:rsidRPr="00A85C5A">
        <w:rPr>
          <w:bCs/>
          <w:lang w:eastAsia="en-US"/>
        </w:rPr>
        <w:t>Halli</w:t>
      </w:r>
      <w:r w:rsidRPr="00A85C5A">
        <w:rPr>
          <w:lang w:eastAsia="en-US"/>
        </w:rPr>
        <w:t>,</w:t>
      </w:r>
      <w:r w:rsidR="00604DFC" w:rsidRPr="00A85C5A">
        <w:rPr>
          <w:bCs/>
          <w:lang w:eastAsia="en-US"/>
        </w:rPr>
        <w:t xml:space="preserve"> Sumathi, </w:t>
      </w:r>
      <w:r w:rsidR="00604DFC" w:rsidRPr="00A85C5A">
        <w:rPr>
          <w:bCs/>
          <w:lang w:val="en-IN" w:eastAsia="en-US"/>
        </w:rPr>
        <w:t xml:space="preserve">&amp; </w:t>
      </w:r>
      <w:r w:rsidR="00604DFC" w:rsidRPr="00A85C5A">
        <w:rPr>
          <w:bCs/>
          <w:lang w:eastAsia="en-US"/>
        </w:rPr>
        <w:t>Kinni,</w:t>
      </w:r>
      <w:r w:rsidR="00604DFC" w:rsidRPr="00A85C5A">
        <w:rPr>
          <w:lang w:eastAsia="en-US"/>
        </w:rPr>
        <w:t xml:space="preserve"> </w:t>
      </w:r>
      <w:r w:rsidRPr="00A85C5A">
        <w:rPr>
          <w:lang w:eastAsia="en-US"/>
        </w:rPr>
        <w:t xml:space="preserve">2012) and the observed </w:t>
      </w:r>
      <w:r w:rsidRPr="00A85C5A">
        <w:rPr>
          <w:i/>
          <w:iCs/>
          <w:lang w:eastAsia="en-US"/>
        </w:rPr>
        <w:t>g</w:t>
      </w:r>
      <w:r w:rsidRPr="00A85C5A">
        <w:rPr>
          <w:b/>
          <w:i/>
          <w:iCs/>
          <w:vertAlign w:val="subscript"/>
          <w:lang w:eastAsia="en-US"/>
        </w:rPr>
        <w:t>||</w:t>
      </w:r>
      <w:r w:rsidRPr="00A85C5A">
        <w:rPr>
          <w:i/>
          <w:iCs/>
          <w:lang w:eastAsia="en-US"/>
        </w:rPr>
        <w:t xml:space="preserve"> </w:t>
      </w:r>
      <w:r w:rsidRPr="00A85C5A">
        <w:rPr>
          <w:lang w:eastAsia="en-US"/>
        </w:rPr>
        <w:t>values for complex (</w:t>
      </w:r>
      <w:r w:rsidRPr="00A85C5A">
        <w:rPr>
          <w:b/>
          <w:bCs/>
          <w:lang w:eastAsia="en-US"/>
        </w:rPr>
        <w:t>1</w:t>
      </w:r>
      <w:r w:rsidRPr="00A85C5A">
        <w:rPr>
          <w:lang w:eastAsia="en-US"/>
        </w:rPr>
        <w:t>) was less than 2.3 in agreement with the covalent environment character of the M-L bond (</w:t>
      </w:r>
      <w:r w:rsidRPr="00A85C5A">
        <w:rPr>
          <w:bCs/>
          <w:lang w:eastAsia="en-US"/>
        </w:rPr>
        <w:t>Kivelson</w:t>
      </w:r>
      <w:r w:rsidR="00604DFC" w:rsidRPr="00A85C5A">
        <w:rPr>
          <w:lang w:eastAsia="en-US"/>
        </w:rPr>
        <w:t xml:space="preserve"> &amp; </w:t>
      </w:r>
      <w:r w:rsidR="00604DFC" w:rsidRPr="00A85C5A">
        <w:rPr>
          <w:bCs/>
          <w:lang w:eastAsia="en-US"/>
        </w:rPr>
        <w:t>Neeman,</w:t>
      </w:r>
      <w:r w:rsidRPr="00A85C5A">
        <w:rPr>
          <w:lang w:eastAsia="en-US"/>
        </w:rPr>
        <w:t xml:space="preserve">1961). </w:t>
      </w:r>
      <w:r w:rsidRPr="00A85C5A">
        <w:rPr>
          <w:lang w:val="en-IN" w:eastAsia="en-US"/>
        </w:rPr>
        <w:t>The covalent nature of the M–L bond in the complex (</w:t>
      </w:r>
      <w:r w:rsidRPr="00A85C5A">
        <w:rPr>
          <w:b/>
          <w:bCs/>
          <w:lang w:val="en-IN" w:eastAsia="en-US"/>
        </w:rPr>
        <w:t>1</w:t>
      </w:r>
      <w:r w:rsidRPr="00A85C5A">
        <w:rPr>
          <w:lang w:val="en-IN" w:eastAsia="en-US"/>
        </w:rPr>
        <w:t>) was further supported by the g</w:t>
      </w:r>
      <w:r w:rsidRPr="00A85C5A">
        <w:rPr>
          <w:vertAlign w:val="subscript"/>
          <w:lang w:val="en-IN" w:eastAsia="en-US"/>
        </w:rPr>
        <w:t xml:space="preserve">eff </w:t>
      </w:r>
      <w:r w:rsidRPr="00A85C5A">
        <w:rPr>
          <w:lang w:val="en-IN" w:eastAsia="en-US"/>
        </w:rPr>
        <w:t>value. The observed g</w:t>
      </w:r>
      <w:r w:rsidRPr="00A85C5A">
        <w:rPr>
          <w:vertAlign w:val="subscript"/>
          <w:lang w:val="en-IN" w:eastAsia="en-US"/>
        </w:rPr>
        <w:t xml:space="preserve">eff </w:t>
      </w:r>
      <w:r w:rsidRPr="00A85C5A">
        <w:rPr>
          <w:lang w:val="en-IN" w:eastAsia="en-US"/>
        </w:rPr>
        <w:t xml:space="preserve">value </w:t>
      </w:r>
      <w:r w:rsidRPr="00A85C5A">
        <w:rPr>
          <w:lang w:eastAsia="en-US"/>
        </w:rPr>
        <w:t>was</w:t>
      </w:r>
      <w:r w:rsidRPr="00A85C5A">
        <w:rPr>
          <w:vertAlign w:val="subscript"/>
          <w:lang w:val="en-IN" w:eastAsia="en-US"/>
        </w:rPr>
        <w:t xml:space="preserve"> </w:t>
      </w:r>
      <w:r w:rsidRPr="00A85C5A">
        <w:rPr>
          <w:lang w:eastAsia="en-US"/>
        </w:rPr>
        <w:t xml:space="preserve">1.40 which was </w:t>
      </w:r>
      <w:r w:rsidRPr="00A85C5A">
        <w:rPr>
          <w:lang w:val="en-IN" w:eastAsia="en-US"/>
        </w:rPr>
        <w:t>less than 2.00277 (</w:t>
      </w:r>
      <w:r w:rsidRPr="00A85C5A">
        <w:rPr>
          <w:bCs/>
          <w:lang w:eastAsia="en-US"/>
        </w:rPr>
        <w:t>Syamal</w:t>
      </w:r>
      <w:r w:rsidRPr="00A85C5A">
        <w:rPr>
          <w:lang w:eastAsia="en-US"/>
        </w:rPr>
        <w:t>, 1985</w:t>
      </w:r>
      <w:r w:rsidRPr="00A85C5A">
        <w:rPr>
          <w:lang w:val="en-IN" w:eastAsia="en-US"/>
        </w:rPr>
        <w:t>)</w:t>
      </w:r>
      <w:r w:rsidRPr="00A85C5A">
        <w:rPr>
          <w:lang w:eastAsia="en-US"/>
        </w:rPr>
        <w:t>. The observed hyperfine constant parameters of the complex (</w:t>
      </w:r>
      <w:r w:rsidRPr="00A85C5A">
        <w:rPr>
          <w:b/>
          <w:bCs/>
          <w:lang w:eastAsia="en-US"/>
        </w:rPr>
        <w:t>1</w:t>
      </w:r>
      <w:r w:rsidRPr="00A85C5A">
        <w:rPr>
          <w:lang w:eastAsia="en-US"/>
        </w:rPr>
        <w:t xml:space="preserve">) were in the following order </w:t>
      </w:r>
      <w:r w:rsidRPr="00A85C5A">
        <w:rPr>
          <w:i/>
          <w:iCs/>
          <w:lang w:eastAsia="en-US"/>
        </w:rPr>
        <w:t>A</w:t>
      </w:r>
      <w:r w:rsidRPr="00A85C5A">
        <w:rPr>
          <w:i/>
          <w:iCs/>
          <w:vertAlign w:val="subscript"/>
          <w:lang w:eastAsia="en-US"/>
        </w:rPr>
        <w:t>||</w:t>
      </w:r>
      <w:r w:rsidRPr="00A85C5A">
        <w:rPr>
          <w:vertAlign w:val="subscript"/>
          <w:lang w:eastAsia="en-US"/>
        </w:rPr>
        <w:t xml:space="preserve"> </w:t>
      </w:r>
      <w:r w:rsidRPr="00A85C5A">
        <w:rPr>
          <w:lang w:eastAsia="en-US"/>
        </w:rPr>
        <w:lastRenderedPageBreak/>
        <w:t xml:space="preserve">(124 </w:t>
      </w:r>
      <w:r w:rsidRPr="00A85C5A">
        <w:rPr>
          <w:i/>
          <w:iCs/>
          <w:lang w:eastAsia="en-US"/>
        </w:rPr>
        <w:t>G</w:t>
      </w:r>
      <w:r w:rsidRPr="00A85C5A">
        <w:rPr>
          <w:lang w:eastAsia="en-US"/>
        </w:rPr>
        <w:t xml:space="preserve">) &gt; </w:t>
      </w:r>
      <w:r w:rsidRPr="00A85C5A">
        <w:rPr>
          <w:i/>
          <w:iCs/>
          <w:lang w:eastAsia="en-US"/>
        </w:rPr>
        <w:t>A</w:t>
      </w:r>
      <w:r w:rsidRPr="00A85C5A">
        <w:rPr>
          <w:i/>
          <w:iCs/>
          <w:vertAlign w:val="subscript"/>
          <w:lang w:eastAsia="en-US"/>
        </w:rPr>
        <w:t>av</w:t>
      </w:r>
      <w:r w:rsidRPr="00A85C5A">
        <w:rPr>
          <w:vertAlign w:val="subscript"/>
          <w:lang w:eastAsia="en-US"/>
        </w:rPr>
        <w:t xml:space="preserve"> </w:t>
      </w:r>
      <w:r w:rsidRPr="00A85C5A">
        <w:rPr>
          <w:lang w:eastAsia="en-US"/>
        </w:rPr>
        <w:t xml:space="preserve">(98.66 </w:t>
      </w:r>
      <w:r w:rsidRPr="00A85C5A">
        <w:rPr>
          <w:i/>
          <w:iCs/>
          <w:lang w:eastAsia="en-US"/>
        </w:rPr>
        <w:t>G</w:t>
      </w:r>
      <w:r w:rsidRPr="00A85C5A">
        <w:rPr>
          <w:lang w:eastAsia="en-US"/>
        </w:rPr>
        <w:t xml:space="preserve">) &gt; </w:t>
      </w:r>
      <w:r w:rsidRPr="00A85C5A">
        <w:rPr>
          <w:i/>
          <w:iCs/>
          <w:lang w:eastAsia="en-US"/>
        </w:rPr>
        <w:t>A</w:t>
      </w:r>
      <w:r w:rsidRPr="00A85C5A">
        <w:rPr>
          <w:rFonts w:hAnsi="Cambria Math"/>
          <w:i/>
          <w:iCs/>
          <w:vertAlign w:val="subscript"/>
          <w:lang w:eastAsia="en-US"/>
        </w:rPr>
        <w:t>⊥</w:t>
      </w:r>
      <w:r w:rsidRPr="00A85C5A">
        <w:rPr>
          <w:vertAlign w:val="subscript"/>
          <w:lang w:eastAsia="en-US"/>
        </w:rPr>
        <w:t xml:space="preserve"> </w:t>
      </w:r>
      <w:r w:rsidRPr="00A85C5A">
        <w:rPr>
          <w:lang w:eastAsia="en-US"/>
        </w:rPr>
        <w:t xml:space="preserve">(86 </w:t>
      </w:r>
      <w:r w:rsidRPr="00A85C5A">
        <w:rPr>
          <w:i/>
          <w:iCs/>
          <w:lang w:eastAsia="en-US"/>
        </w:rPr>
        <w:t>G</w:t>
      </w:r>
      <w:r w:rsidRPr="00A85C5A">
        <w:rPr>
          <w:lang w:eastAsia="en-US"/>
        </w:rPr>
        <w:t>) (1</w:t>
      </w:r>
      <w:r w:rsidRPr="00A85C5A">
        <w:rPr>
          <w:i/>
          <w:iCs/>
          <w:lang w:eastAsia="en-US"/>
        </w:rPr>
        <w:t>G</w:t>
      </w:r>
      <w:r w:rsidRPr="00A85C5A">
        <w:rPr>
          <w:lang w:eastAsia="en-US"/>
        </w:rPr>
        <w:t xml:space="preserve"> = </w:t>
      </w:r>
      <w:r w:rsidRPr="00A85C5A">
        <w:rPr>
          <w:lang w:val="en-IN" w:eastAsia="en-IN" w:bidi="ta-IN"/>
        </w:rPr>
        <w:t>10</w:t>
      </w:r>
      <w:r w:rsidRPr="00A85C5A">
        <w:rPr>
          <w:vertAlign w:val="superscript"/>
          <w:lang w:val="en-IN" w:eastAsia="en-IN" w:bidi="ta-IN"/>
        </w:rPr>
        <w:t>-4</w:t>
      </w:r>
      <w:r w:rsidRPr="00A85C5A">
        <w:rPr>
          <w:vertAlign w:val="superscript"/>
          <w:lang w:eastAsia="en-IN"/>
        </w:rPr>
        <w:t xml:space="preserve"> </w:t>
      </w:r>
      <w:r w:rsidRPr="00A85C5A">
        <w:rPr>
          <w:lang w:eastAsia="en-IN"/>
        </w:rPr>
        <w:t>cm</w:t>
      </w:r>
      <w:r w:rsidRPr="00A85C5A">
        <w:rPr>
          <w:vertAlign w:val="superscript"/>
          <w:lang w:eastAsia="en-IN"/>
        </w:rPr>
        <w:t>-1</w:t>
      </w:r>
      <w:r w:rsidRPr="00A85C5A">
        <w:rPr>
          <w:lang w:eastAsia="en-US"/>
        </w:rPr>
        <w:t>). The values were obtained</w:t>
      </w:r>
      <w:r w:rsidR="0089429C" w:rsidRPr="00A85C5A">
        <w:rPr>
          <w:lang w:eastAsia="en-US"/>
        </w:rPr>
        <w:t xml:space="preserve"> from the following equations (S1</w:t>
      </w:r>
      <w:r w:rsidRPr="00A85C5A">
        <w:rPr>
          <w:lang w:val="en-IN" w:eastAsia="en-US"/>
        </w:rPr>
        <w:t>–</w:t>
      </w:r>
      <w:r w:rsidR="0089429C" w:rsidRPr="00A85C5A">
        <w:rPr>
          <w:lang w:eastAsia="en-US"/>
        </w:rPr>
        <w:t xml:space="preserve"> S6</w:t>
      </w:r>
      <w:r w:rsidRPr="00A85C5A">
        <w:rPr>
          <w:lang w:eastAsia="en-US"/>
        </w:rPr>
        <w:t>).</w:t>
      </w:r>
    </w:p>
    <w:p w:rsidR="00EC6E98" w:rsidRPr="00A85C5A" w:rsidRDefault="00EA6BE4" w:rsidP="00EC6E98">
      <w:pPr>
        <w:overflowPunct w:val="0"/>
        <w:autoSpaceDE w:val="0"/>
        <w:autoSpaceDN w:val="0"/>
        <w:adjustRightInd w:val="0"/>
        <w:contextualSpacing/>
        <w:jc w:val="center"/>
        <w:textAlignment w:val="baseline"/>
        <w:rPr>
          <w:iCs/>
          <w:lang w:eastAsia="en-US"/>
        </w:rPr>
      </w:pPr>
      <m:oMath>
        <m:sSub>
          <m:sSubPr>
            <m:ctrlPr>
              <w:rPr>
                <w:rFonts w:ascii="Cambria Math" w:hAnsi="Cambria Math"/>
                <w:i/>
                <w:lang w:eastAsia="en-US"/>
              </w:rPr>
            </m:ctrlPr>
          </m:sSubPr>
          <m:e>
            <m:r>
              <w:rPr>
                <w:rFonts w:ascii="Cambria Math"/>
                <w:lang w:eastAsia="en-US"/>
              </w:rPr>
              <m:t xml:space="preserve">   </m:t>
            </m:r>
            <m:r>
              <w:rPr>
                <w:rFonts w:ascii="Cambria Math" w:hAnsi="Cambria Math"/>
                <w:lang w:eastAsia="en-US"/>
              </w:rPr>
              <m:t>g</m:t>
            </m:r>
          </m:e>
          <m:sub>
            <m:r>
              <w:rPr>
                <w:rFonts w:ascii="Cambria Math" w:hAnsi="Cambria Math"/>
                <w:lang w:eastAsia="en-US"/>
              </w:rPr>
              <m:t>⊥</m:t>
            </m:r>
            <m:r>
              <w:rPr>
                <w:rFonts w:ascii="Cambria Math"/>
                <w:vertAlign w:val="subscript"/>
                <w:lang w:eastAsia="en-US"/>
              </w:rPr>
              <m:t xml:space="preserve"> </m:t>
            </m:r>
          </m:sub>
        </m:sSub>
        <m:r>
          <w:rPr>
            <w:rFonts w:asci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lang w:eastAsia="en-US"/>
                  </w:rPr>
                  <m:t xml:space="preserve">  (3</m:t>
                </m:r>
                <m:r>
                  <w:rPr>
                    <w:rFonts w:ascii="Cambria Math" w:hAnsi="Cambria Math"/>
                    <w:lang w:eastAsia="en-US"/>
                  </w:rPr>
                  <m:t>g</m:t>
                </m:r>
              </m:e>
              <m:sub>
                <m:r>
                  <w:rPr>
                    <w:rFonts w:ascii="Cambria Math" w:hAnsi="Cambria Math"/>
                    <w:lang w:eastAsia="en-US"/>
                  </w:rPr>
                  <m:t>av</m:t>
                </m:r>
              </m:sub>
            </m:sSub>
            <m:r>
              <w:rPr>
                <w:rFonts w:ascii="Cambria Math"/>
                <w:lang w:eastAsia="en-US"/>
              </w:rPr>
              <m:t>-</m:t>
            </m:r>
            <m:r>
              <w:rPr>
                <w:rFonts w:ascii="Cambria Math"/>
                <w:lang w:eastAsia="en-US"/>
              </w:rPr>
              <m:t xml:space="preserve">  </m:t>
            </m:r>
            <m:sSub>
              <m:sSubPr>
                <m:ctrlPr>
                  <w:rPr>
                    <w:rFonts w:ascii="Cambria Math" w:hAnsi="Cambria Math"/>
                    <w:i/>
                    <w:lang w:eastAsia="en-US"/>
                  </w:rPr>
                </m:ctrlPr>
              </m:sSubPr>
              <m:e>
                <m:r>
                  <w:rPr>
                    <w:rFonts w:ascii="Cambria Math" w:hAnsi="Cambria Math"/>
                    <w:lang w:eastAsia="en-US"/>
                  </w:rPr>
                  <m:t>g</m:t>
                </m:r>
              </m:e>
              <m:sub>
                <m:r>
                  <w:rPr>
                    <w:rFonts w:ascii="Cambria Math"/>
                    <w:vertAlign w:val="subscript"/>
                    <w:lang w:eastAsia="en-US"/>
                  </w:rPr>
                  <m:t>||</m:t>
                </m:r>
              </m:sub>
            </m:sSub>
            <m:r>
              <w:rPr>
                <w:rFonts w:ascii="Cambria Math"/>
                <w:vertAlign w:val="subscript"/>
                <w:lang w:eastAsia="en-US"/>
              </w:rPr>
              <m:t>)</m:t>
            </m:r>
          </m:num>
          <m:den>
            <m:r>
              <w:rPr>
                <w:rFonts w:ascii="Cambria Math"/>
                <w:lang w:eastAsia="en-US"/>
              </w:rPr>
              <m:t>2</m:t>
            </m:r>
          </m:den>
        </m:f>
      </m:oMath>
      <w:r w:rsidR="00EC6E98" w:rsidRPr="00A85C5A">
        <w:rPr>
          <w:iCs/>
          <w:lang w:eastAsia="en-US"/>
        </w:rPr>
        <w:t xml:space="preserve">                                                                            (</w:t>
      </w:r>
      <w:r w:rsidR="0089429C" w:rsidRPr="00A85C5A">
        <w:rPr>
          <w:lang w:eastAsia="en-US"/>
        </w:rPr>
        <w:t>S1</w:t>
      </w:r>
      <w:r w:rsidR="00EC6E98" w:rsidRPr="00A85C5A">
        <w:rPr>
          <w:iCs/>
          <w:lang w:eastAsia="en-US"/>
        </w:rPr>
        <w:t>)</w:t>
      </w:r>
    </w:p>
    <w:p w:rsidR="00EC6E98" w:rsidRPr="00A85C5A" w:rsidRDefault="00EA6BE4" w:rsidP="00EC6E98">
      <w:pPr>
        <w:overflowPunct w:val="0"/>
        <w:autoSpaceDE w:val="0"/>
        <w:autoSpaceDN w:val="0"/>
        <w:adjustRightInd w:val="0"/>
        <w:contextualSpacing/>
        <w:jc w:val="center"/>
        <w:textAlignment w:val="baseline"/>
        <w:rPr>
          <w:iCs/>
          <w:lang w:eastAsia="en-US"/>
        </w:rPr>
      </w:pPr>
      <m:oMath>
        <m:sSub>
          <m:sSubPr>
            <m:ctrlPr>
              <w:rPr>
                <w:rFonts w:ascii="Cambria Math" w:hAnsi="Cambria Math"/>
                <w:i/>
                <w:lang w:eastAsia="en-US"/>
              </w:rPr>
            </m:ctrlPr>
          </m:sSubPr>
          <m:e>
            <m:r>
              <w:rPr>
                <w:rFonts w:ascii="Cambria Math"/>
                <w:lang w:eastAsia="en-US"/>
              </w:rPr>
              <m:t xml:space="preserve">   </m:t>
            </m:r>
            <m:r>
              <w:rPr>
                <w:rFonts w:ascii="Cambria Math" w:hAnsi="Cambria Math"/>
                <w:lang w:eastAsia="en-US"/>
              </w:rPr>
              <m:t>K</m:t>
            </m:r>
          </m:e>
          <m:sub>
            <m:r>
              <w:rPr>
                <w:rFonts w:ascii="Cambria Math" w:hAnsi="Cambria Math"/>
                <w:lang w:eastAsia="en-US"/>
              </w:rPr>
              <m:t>⊥</m:t>
            </m:r>
            <m:r>
              <w:rPr>
                <w:rFonts w:ascii="Cambria Math"/>
                <w:vertAlign w:val="subscript"/>
                <w:lang w:eastAsia="en-US"/>
              </w:rPr>
              <m:t xml:space="preserve"> </m:t>
            </m:r>
          </m:sub>
        </m:sSub>
        <m:r>
          <w:rPr>
            <w:rFonts w:ascii="Cambria Math"/>
            <w:lang w:eastAsia="en-US"/>
          </w:rPr>
          <m:t>=</m:t>
        </m:r>
        <m:f>
          <m:fPr>
            <m:ctrlPr>
              <w:rPr>
                <w:rFonts w:ascii="Cambria Math" w:hAnsi="Cambria Math"/>
                <w:i/>
                <w:lang w:eastAsia="en-US"/>
              </w:rPr>
            </m:ctrlPr>
          </m:fPr>
          <m:num>
            <m:r>
              <w:rPr>
                <w:rFonts w:ascii="Cambria Math"/>
                <w:lang w:eastAsia="en-US"/>
              </w:rPr>
              <m:t>(</m:t>
            </m:r>
            <m:sSub>
              <m:sSubPr>
                <m:ctrlPr>
                  <w:rPr>
                    <w:rFonts w:ascii="Cambria Math" w:hAnsi="Cambria Math"/>
                    <w:i/>
                    <w:lang w:eastAsia="en-US"/>
                  </w:rPr>
                </m:ctrlPr>
              </m:sSubPr>
              <m:e>
                <m:r>
                  <w:rPr>
                    <w:rFonts w:ascii="Cambria Math"/>
                    <w:lang w:eastAsia="en-US"/>
                  </w:rPr>
                  <m:t xml:space="preserve"> 3</m:t>
                </m:r>
                <m:r>
                  <w:rPr>
                    <w:rFonts w:ascii="Cambria Math" w:hAnsi="Cambria Math"/>
                    <w:lang w:eastAsia="en-US"/>
                  </w:rPr>
                  <m:t>A</m:t>
                </m:r>
              </m:e>
              <m:sub>
                <m:r>
                  <w:rPr>
                    <w:rFonts w:ascii="Cambria Math" w:hAnsi="Cambria Math"/>
                    <w:lang w:eastAsia="en-US"/>
                  </w:rPr>
                  <m:t>av</m:t>
                </m:r>
              </m:sub>
            </m:sSub>
            <m:r>
              <w:rPr>
                <w:rFonts w:ascii="Cambria Math"/>
                <w:lang w:eastAsia="en-US"/>
              </w:rPr>
              <m:t>-</m:t>
            </m:r>
            <m:r>
              <w:rPr>
                <w:rFonts w:ascii="Cambria Math"/>
                <w:lang w:eastAsia="en-US"/>
              </w:rPr>
              <m:t xml:space="preserve"> </m:t>
            </m:r>
            <m:sSub>
              <m:sSubPr>
                <m:ctrlPr>
                  <w:rPr>
                    <w:rFonts w:ascii="Cambria Math" w:hAnsi="Cambria Math"/>
                    <w:i/>
                    <w:lang w:eastAsia="en-US"/>
                  </w:rPr>
                </m:ctrlPr>
              </m:sSubPr>
              <m:e>
                <m:r>
                  <w:rPr>
                    <w:rFonts w:ascii="Cambria Math"/>
                    <w:lang w:eastAsia="en-US"/>
                  </w:rPr>
                  <m:t xml:space="preserve"> </m:t>
                </m:r>
                <m:r>
                  <w:rPr>
                    <w:rFonts w:ascii="Cambria Math" w:hAnsi="Cambria Math"/>
                    <w:lang w:eastAsia="en-US"/>
                  </w:rPr>
                  <m:t>A</m:t>
                </m:r>
              </m:e>
              <m:sub>
                <m:r>
                  <w:rPr>
                    <w:rFonts w:ascii="Cambria Math"/>
                    <w:vertAlign w:val="subscript"/>
                    <w:lang w:eastAsia="en-US"/>
                  </w:rPr>
                  <m:t xml:space="preserve">|| </m:t>
                </m:r>
              </m:sub>
            </m:sSub>
            <m:r>
              <w:rPr>
                <w:rFonts w:ascii="Cambria Math"/>
                <w:lang w:eastAsia="en-US"/>
              </w:rPr>
              <m:t>)</m:t>
            </m:r>
          </m:num>
          <m:den>
            <m:r>
              <w:rPr>
                <w:rFonts w:ascii="Cambria Math"/>
                <w:lang w:eastAsia="en-US"/>
              </w:rPr>
              <m:t>2</m:t>
            </m:r>
          </m:den>
        </m:f>
      </m:oMath>
      <w:r w:rsidR="00EC6E98" w:rsidRPr="00A85C5A">
        <w:rPr>
          <w:iCs/>
          <w:lang w:eastAsia="en-US"/>
        </w:rPr>
        <w:t xml:space="preserve">                                                                            (</w:t>
      </w:r>
      <w:r w:rsidR="0089429C" w:rsidRPr="00A85C5A">
        <w:rPr>
          <w:lang w:eastAsia="en-US"/>
        </w:rPr>
        <w:t>S2</w:t>
      </w:r>
      <w:r w:rsidR="00EC6E98" w:rsidRPr="00A85C5A">
        <w:rPr>
          <w:iCs/>
          <w:lang w:eastAsia="en-US"/>
        </w:rPr>
        <w:t>)</w:t>
      </w:r>
    </w:p>
    <w:p w:rsidR="00EC6E98" w:rsidRPr="00A85C5A" w:rsidRDefault="00EA6BE4" w:rsidP="00EC6E98">
      <w:pPr>
        <w:overflowPunct w:val="0"/>
        <w:autoSpaceDE w:val="0"/>
        <w:autoSpaceDN w:val="0"/>
        <w:adjustRightInd w:val="0"/>
        <w:contextualSpacing/>
        <w:jc w:val="center"/>
        <w:textAlignment w:val="baseline"/>
        <w:rPr>
          <w:iCs/>
          <w:lang w:eastAsia="en-US"/>
        </w:rPr>
      </w:pPr>
      <m:oMath>
        <m:sSub>
          <m:sSubPr>
            <m:ctrlPr>
              <w:rPr>
                <w:rFonts w:ascii="Cambria Math" w:hAnsi="Cambria Math"/>
                <w:i/>
                <w:lang w:eastAsia="en-US"/>
              </w:rPr>
            </m:ctrlPr>
          </m:sSubPr>
          <m:e>
            <m:r>
              <w:rPr>
                <w:rFonts w:ascii="Cambria Math"/>
                <w:lang w:eastAsia="en-US"/>
              </w:rPr>
              <m:t xml:space="preserve">   </m:t>
            </m:r>
            <m:r>
              <w:rPr>
                <w:rFonts w:ascii="Cambria Math" w:hAnsi="Cambria Math"/>
                <w:lang w:eastAsia="en-US"/>
              </w:rPr>
              <m:t>g</m:t>
            </m:r>
          </m:e>
          <m:sub>
            <m:r>
              <w:rPr>
                <w:rFonts w:ascii="Cambria Math" w:hAnsi="Cambria Math"/>
                <w:lang w:eastAsia="en-US"/>
              </w:rPr>
              <m:t>av</m:t>
            </m:r>
            <m:r>
              <w:rPr>
                <w:rFonts w:ascii="Cambria Math"/>
                <w:vertAlign w:val="subscript"/>
                <w:lang w:eastAsia="en-US"/>
              </w:rPr>
              <m:t xml:space="preserve"> </m:t>
            </m:r>
          </m:sub>
        </m:sSub>
        <m:r>
          <w:rPr>
            <w:rFonts w:asci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lang w:eastAsia="en-US"/>
                  </w:rPr>
                  <m:t xml:space="preserve">  </m:t>
                </m:r>
                <m:r>
                  <w:rPr>
                    <w:rFonts w:ascii="Cambria Math" w:hAnsi="Cambria Math"/>
                    <w:lang w:eastAsia="en-US"/>
                  </w:rPr>
                  <m:t>g</m:t>
                </m:r>
              </m:e>
              <m:sub>
                <m:r>
                  <w:rPr>
                    <w:rFonts w:ascii="Cambria Math"/>
                    <w:vertAlign w:val="subscript"/>
                    <w:lang w:eastAsia="en-US"/>
                  </w:rPr>
                  <m:t>||  +</m:t>
                </m:r>
              </m:sub>
            </m:sSub>
            <m:r>
              <w:rPr>
                <w:rFonts w:ascii="Cambria Math"/>
                <w:lang w:eastAsia="en-US"/>
              </w:rPr>
              <m:t xml:space="preserve"> 2 </m:t>
            </m:r>
            <m:sSub>
              <m:sSubPr>
                <m:ctrlPr>
                  <w:rPr>
                    <w:rFonts w:ascii="Cambria Math" w:hAnsi="Cambria Math"/>
                    <w:i/>
                    <w:lang w:eastAsia="en-US"/>
                  </w:rPr>
                </m:ctrlPr>
              </m:sSubPr>
              <m:e>
                <m:r>
                  <w:rPr>
                    <w:rFonts w:ascii="Cambria Math" w:hAnsi="Cambria Math"/>
                    <w:lang w:eastAsia="en-US"/>
                  </w:rPr>
                  <m:t>g</m:t>
                </m:r>
              </m:e>
              <m:sub>
                <m:r>
                  <w:rPr>
                    <w:rFonts w:ascii="Cambria Math" w:hAnsi="Cambria Math"/>
                    <w:vertAlign w:val="subscript"/>
                    <w:lang w:eastAsia="en-US"/>
                  </w:rPr>
                  <m:t>⊥</m:t>
                </m:r>
              </m:sub>
            </m:sSub>
          </m:num>
          <m:den>
            <m:r>
              <w:rPr>
                <w:rFonts w:ascii="Cambria Math"/>
                <w:lang w:eastAsia="en-US"/>
              </w:rPr>
              <m:t>3</m:t>
            </m:r>
          </m:den>
        </m:f>
      </m:oMath>
      <w:r w:rsidR="00EC6E98" w:rsidRPr="00A85C5A">
        <w:rPr>
          <w:iCs/>
          <w:lang w:eastAsia="en-US"/>
        </w:rPr>
        <w:t xml:space="preserve">                                                                               (</w:t>
      </w:r>
      <w:r w:rsidR="0089429C" w:rsidRPr="00A85C5A">
        <w:rPr>
          <w:lang w:eastAsia="en-US"/>
        </w:rPr>
        <w:t>S3</w:t>
      </w:r>
      <w:r w:rsidR="00EC6E98" w:rsidRPr="00A85C5A">
        <w:rPr>
          <w:iCs/>
          <w:lang w:eastAsia="en-US"/>
        </w:rPr>
        <w:t>)</w:t>
      </w:r>
    </w:p>
    <w:p w:rsidR="00EC6E98" w:rsidRPr="00A85C5A" w:rsidRDefault="00EA6BE4" w:rsidP="00EC6E98">
      <w:pPr>
        <w:overflowPunct w:val="0"/>
        <w:autoSpaceDE w:val="0"/>
        <w:autoSpaceDN w:val="0"/>
        <w:adjustRightInd w:val="0"/>
        <w:contextualSpacing/>
        <w:jc w:val="center"/>
        <w:textAlignment w:val="baseline"/>
        <w:rPr>
          <w:lang w:eastAsia="en-US"/>
        </w:rPr>
      </w:pPr>
      <m:oMath>
        <m:sSub>
          <m:sSubPr>
            <m:ctrlPr>
              <w:rPr>
                <w:rFonts w:ascii="Cambria Math" w:hAnsi="Cambria Math"/>
                <w:i/>
                <w:lang w:eastAsia="en-US"/>
              </w:rPr>
            </m:ctrlPr>
          </m:sSubPr>
          <m:e>
            <m:r>
              <w:rPr>
                <w:rFonts w:ascii="Cambria Math"/>
                <w:lang w:eastAsia="en-US"/>
              </w:rPr>
              <m:t xml:space="preserve">   </m:t>
            </m:r>
            <m:r>
              <w:rPr>
                <w:rFonts w:ascii="Cambria Math" w:hAnsi="Cambria Math"/>
                <w:lang w:eastAsia="en-US"/>
              </w:rPr>
              <m:t>g</m:t>
            </m:r>
          </m:e>
          <m:sub>
            <m:r>
              <w:rPr>
                <w:rFonts w:ascii="Cambria Math" w:hAnsi="Cambria Math"/>
                <w:lang w:eastAsia="en-US"/>
              </w:rPr>
              <m:t>eff</m:t>
            </m:r>
            <m:r>
              <w:rPr>
                <w:rFonts w:ascii="Cambria Math"/>
                <w:vertAlign w:val="subscript"/>
                <w:lang w:eastAsia="en-US"/>
              </w:rPr>
              <m:t xml:space="preserve"> </m:t>
            </m:r>
          </m:sub>
        </m:sSub>
        <m:r>
          <w:rPr>
            <w:rFonts w:ascii="Cambria Math"/>
            <w:lang w:eastAsia="en-US"/>
          </w:rPr>
          <m:t>=</m:t>
        </m:r>
        <m:f>
          <m:fPr>
            <m:ctrlPr>
              <w:rPr>
                <w:rFonts w:ascii="Cambria Math" w:hAnsi="Cambria Math"/>
                <w:i/>
                <w:lang w:eastAsia="en-US"/>
              </w:rPr>
            </m:ctrlPr>
          </m:fPr>
          <m:num>
            <m:r>
              <w:rPr>
                <w:rFonts w:ascii="Cambria Math"/>
                <w:lang w:eastAsia="en-US"/>
              </w:rPr>
              <m:t>(</m:t>
            </m:r>
            <m:sSub>
              <m:sSubPr>
                <m:ctrlPr>
                  <w:rPr>
                    <w:rFonts w:ascii="Cambria Math" w:hAnsi="Cambria Math"/>
                    <w:i/>
                    <w:lang w:eastAsia="en-US"/>
                  </w:rPr>
                </m:ctrlPr>
              </m:sSubPr>
              <m:e>
                <m:r>
                  <w:rPr>
                    <w:rFonts w:ascii="Cambria Math"/>
                    <w:lang w:eastAsia="en-US"/>
                  </w:rPr>
                  <m:t xml:space="preserve"> </m:t>
                </m:r>
                <m:r>
                  <w:rPr>
                    <w:rFonts w:ascii="Cambria Math" w:hAnsi="Cambria Math"/>
                    <w:lang w:eastAsia="en-US"/>
                  </w:rPr>
                  <m:t>g</m:t>
                </m:r>
              </m:e>
              <m:sub>
                <m:r>
                  <w:rPr>
                    <w:rFonts w:ascii="Cambria Math"/>
                    <w:vertAlign w:val="subscript"/>
                    <w:lang w:val="en-IN" w:eastAsia="en-IN" w:bidi="ta-IN"/>
                  </w:rPr>
                  <m:t>||</m:t>
                </m:r>
              </m:sub>
            </m:sSub>
            <m:r>
              <w:rPr>
                <w:rFonts w:ascii="Cambria Math"/>
                <w:lang w:eastAsia="en-US"/>
              </w:rPr>
              <m:t>-</m:t>
            </m:r>
            <m:r>
              <w:rPr>
                <w:rFonts w:ascii="Cambria Math"/>
                <w:lang w:eastAsia="en-US"/>
              </w:rPr>
              <m:t xml:space="preserve"> </m:t>
            </m:r>
            <m:sSub>
              <m:sSubPr>
                <m:ctrlPr>
                  <w:rPr>
                    <w:rFonts w:ascii="Cambria Math" w:hAnsi="Cambria Math"/>
                    <w:i/>
                    <w:lang w:eastAsia="en-US"/>
                  </w:rPr>
                </m:ctrlPr>
              </m:sSubPr>
              <m:e>
                <m:r>
                  <w:rPr>
                    <w:rFonts w:ascii="Cambria Math"/>
                    <w:lang w:eastAsia="en-US"/>
                  </w:rPr>
                  <m:t xml:space="preserve"> </m:t>
                </m:r>
                <m:r>
                  <w:rPr>
                    <w:rFonts w:ascii="Cambria Math" w:hAnsi="Cambria Math"/>
                    <w:lang w:eastAsia="en-US"/>
                  </w:rPr>
                  <m:t>g</m:t>
                </m:r>
              </m:e>
              <m:sub>
                <m:r>
                  <w:rPr>
                    <w:rFonts w:ascii="Cambria Math" w:hAnsi="Cambria Math"/>
                    <w:vertAlign w:val="subscript"/>
                    <w:lang w:eastAsia="en-IN"/>
                  </w:rPr>
                  <m:t>⊥</m:t>
                </m:r>
                <m:r>
                  <w:rPr>
                    <w:rFonts w:ascii="Cambria Math"/>
                    <w:vertAlign w:val="subscript"/>
                    <w:lang w:eastAsia="en-US"/>
                  </w:rPr>
                  <m:t xml:space="preserve"> </m:t>
                </m:r>
              </m:sub>
            </m:sSub>
            <m:r>
              <w:rPr>
                <w:rFonts w:ascii="Cambria Math"/>
                <w:lang w:eastAsia="en-US"/>
              </w:rPr>
              <m:t>)</m:t>
            </m:r>
          </m:num>
          <m:den>
            <m:r>
              <w:rPr>
                <w:rFonts w:ascii="Cambria Math"/>
                <w:lang w:eastAsia="en-US"/>
              </w:rPr>
              <m:t>3</m:t>
            </m:r>
          </m:den>
        </m:f>
      </m:oMath>
      <w:r w:rsidR="00EC6E98" w:rsidRPr="00A85C5A">
        <w:rPr>
          <w:lang w:eastAsia="en-US"/>
        </w:rPr>
        <w:t xml:space="preserve">                                                                             </w:t>
      </w:r>
      <w:r w:rsidR="00EC6E98" w:rsidRPr="00A85C5A">
        <w:rPr>
          <w:iCs/>
          <w:lang w:eastAsia="en-US"/>
        </w:rPr>
        <w:t>(</w:t>
      </w:r>
      <w:r w:rsidR="0089429C" w:rsidRPr="00A85C5A">
        <w:rPr>
          <w:lang w:eastAsia="en-US"/>
        </w:rPr>
        <w:t>S4</w:t>
      </w:r>
      <w:r w:rsidR="00EC6E98" w:rsidRPr="00A85C5A">
        <w:rPr>
          <w:iCs/>
          <w:lang w:eastAsia="en-US"/>
        </w:rPr>
        <w:t>)</w:t>
      </w:r>
    </w:p>
    <w:p w:rsidR="00EC6E98" w:rsidRPr="00A85C5A" w:rsidRDefault="00EA6BE4" w:rsidP="00EC6E98">
      <w:pPr>
        <w:overflowPunct w:val="0"/>
        <w:autoSpaceDE w:val="0"/>
        <w:autoSpaceDN w:val="0"/>
        <w:adjustRightInd w:val="0"/>
        <w:contextualSpacing/>
        <w:jc w:val="center"/>
        <w:textAlignment w:val="baseline"/>
        <w:rPr>
          <w:iCs/>
          <w:lang w:eastAsia="en-US"/>
        </w:rPr>
      </w:pPr>
      <m:oMath>
        <m:sSub>
          <m:sSubPr>
            <m:ctrlPr>
              <w:rPr>
                <w:rFonts w:ascii="Cambria Math" w:hAnsi="Cambria Math"/>
                <w:i/>
                <w:lang w:eastAsia="en-US"/>
              </w:rPr>
            </m:ctrlPr>
          </m:sSubPr>
          <m:e>
            <m:r>
              <w:rPr>
                <w:rFonts w:ascii="Cambria Math"/>
                <w:lang w:eastAsia="en-US"/>
              </w:rPr>
              <m:t xml:space="preserve">   </m:t>
            </m:r>
            <m:r>
              <w:rPr>
                <w:rFonts w:ascii="Cambria Math" w:hAnsi="Cambria Math"/>
                <w:lang w:eastAsia="en-US"/>
              </w:rPr>
              <m:t>A</m:t>
            </m:r>
          </m:e>
          <m:sub>
            <m:r>
              <w:rPr>
                <w:rFonts w:ascii="Cambria Math" w:hAnsi="Cambria Math"/>
                <w:lang w:eastAsia="en-US"/>
              </w:rPr>
              <m:t>av</m:t>
            </m:r>
            <m:r>
              <w:rPr>
                <w:rFonts w:ascii="Cambria Math"/>
                <w:vertAlign w:val="subscript"/>
                <w:lang w:eastAsia="en-US"/>
              </w:rPr>
              <m:t xml:space="preserve"> </m:t>
            </m:r>
          </m:sub>
        </m:sSub>
        <m:r>
          <w:rPr>
            <w:rFonts w:ascii="Cambria Math"/>
            <w:lang w:eastAsia="en-US"/>
          </w:rPr>
          <m:t>=</m:t>
        </m:r>
      </m:oMath>
      <w:r w:rsidR="00EC6E98" w:rsidRPr="00A85C5A">
        <w:rPr>
          <w:i/>
          <w:lang w:eastAsia="en-US"/>
        </w:rPr>
        <w:t xml:space="preserve"> </w:t>
      </w:r>
      <m:oMath>
        <m:f>
          <m:fPr>
            <m:ctrlPr>
              <w:rPr>
                <w:rFonts w:ascii="Cambria Math" w:hAnsi="Cambria Math"/>
                <w:i/>
                <w:lang w:eastAsia="en-US"/>
              </w:rPr>
            </m:ctrlPr>
          </m:fPr>
          <m:num>
            <m:r>
              <w:rPr>
                <w:rFonts w:ascii="Cambria Math"/>
                <w:lang w:eastAsia="en-US"/>
              </w:rPr>
              <m:t>(</m:t>
            </m:r>
            <m:sSub>
              <m:sSubPr>
                <m:ctrlPr>
                  <w:rPr>
                    <w:rFonts w:ascii="Cambria Math" w:hAnsi="Cambria Math"/>
                    <w:i/>
                    <w:lang w:eastAsia="en-US"/>
                  </w:rPr>
                </m:ctrlPr>
              </m:sSubPr>
              <m:e>
                <m:r>
                  <w:rPr>
                    <w:rFonts w:ascii="Cambria Math"/>
                    <w:lang w:eastAsia="en-US"/>
                  </w:rPr>
                  <m:t xml:space="preserve"> </m:t>
                </m:r>
                <m:r>
                  <w:rPr>
                    <w:rFonts w:ascii="Cambria Math" w:hAnsi="Cambria Math"/>
                    <w:lang w:eastAsia="en-US"/>
                  </w:rPr>
                  <m:t>A</m:t>
                </m:r>
              </m:e>
              <m:sub>
                <m:r>
                  <w:rPr>
                    <w:rFonts w:ascii="Cambria Math"/>
                    <w:vertAlign w:val="subscript"/>
                    <w:lang w:eastAsia="en-US"/>
                  </w:rPr>
                  <m:t xml:space="preserve">|| </m:t>
                </m:r>
              </m:sub>
            </m:sSub>
            <m:r>
              <w:rPr>
                <w:rFonts w:ascii="Cambria Math"/>
                <w:lang w:eastAsia="en-US"/>
              </w:rPr>
              <m:t>+ 2</m:t>
            </m:r>
            <m:sSub>
              <m:sSubPr>
                <m:ctrlPr>
                  <w:rPr>
                    <w:rFonts w:ascii="Cambria Math" w:hAnsi="Cambria Math"/>
                    <w:i/>
                    <w:lang w:eastAsia="en-US"/>
                  </w:rPr>
                </m:ctrlPr>
              </m:sSubPr>
              <m:e>
                <m:r>
                  <w:rPr>
                    <w:rFonts w:ascii="Cambria Math" w:hAnsi="Cambria Math"/>
                    <w:lang w:eastAsia="en-US"/>
                  </w:rPr>
                  <m:t>A</m:t>
                </m:r>
              </m:e>
              <m:sub>
                <m:r>
                  <w:rPr>
                    <w:rFonts w:ascii="Cambria Math" w:hAnsi="Cambria Math"/>
                    <w:vertAlign w:val="subscript"/>
                    <w:lang w:eastAsia="en-US"/>
                  </w:rPr>
                  <m:t>⊥</m:t>
                </m:r>
              </m:sub>
            </m:sSub>
            <m:r>
              <w:rPr>
                <w:rFonts w:ascii="Cambria Math"/>
                <w:lang w:eastAsia="en-US"/>
              </w:rPr>
              <m:t>)</m:t>
            </m:r>
          </m:num>
          <m:den>
            <m:r>
              <w:rPr>
                <w:rFonts w:ascii="Cambria Math"/>
                <w:lang w:eastAsia="en-US"/>
              </w:rPr>
              <m:t>3</m:t>
            </m:r>
          </m:den>
        </m:f>
      </m:oMath>
      <w:r w:rsidR="00EC6E98" w:rsidRPr="00A85C5A">
        <w:rPr>
          <w:iCs/>
          <w:lang w:eastAsia="en-US"/>
        </w:rPr>
        <w:t xml:space="preserve">                                                                             (</w:t>
      </w:r>
      <w:r w:rsidR="0089429C" w:rsidRPr="00A85C5A">
        <w:rPr>
          <w:lang w:eastAsia="en-US"/>
        </w:rPr>
        <w:t>S5</w:t>
      </w:r>
      <w:r w:rsidR="00EC6E98" w:rsidRPr="00A85C5A">
        <w:rPr>
          <w:iCs/>
          <w:lang w:eastAsia="en-US"/>
        </w:rPr>
        <w:t>)</w:t>
      </w:r>
    </w:p>
    <w:p w:rsidR="00EC6E98" w:rsidRPr="00A85C5A" w:rsidRDefault="00EC6E98" w:rsidP="00EC6E98">
      <w:pPr>
        <w:overflowPunct w:val="0"/>
        <w:autoSpaceDE w:val="0"/>
        <w:autoSpaceDN w:val="0"/>
        <w:adjustRightInd w:val="0"/>
        <w:contextualSpacing/>
        <w:jc w:val="center"/>
        <w:textAlignment w:val="baseline"/>
        <w:rPr>
          <w:iCs/>
          <w:lang w:eastAsia="en-US"/>
        </w:rPr>
      </w:pPr>
      <m:oMath>
        <m:r>
          <m:rPr>
            <m:sty m:val="p"/>
          </m:rPr>
          <w:rPr>
            <w:rFonts w:ascii="Cambria Math"/>
            <w:lang w:eastAsia="en-US"/>
          </w:rPr>
          <m:t xml:space="preserve">   </m:t>
        </m:r>
        <m:r>
          <w:rPr>
            <w:rFonts w:ascii="Cambria Math" w:hAnsi="Cambria Math"/>
            <w:lang w:eastAsia="en-US"/>
          </w:rPr>
          <m:t>G</m:t>
        </m:r>
        <m:r>
          <w:rPr>
            <w:rFonts w:ascii="Cambria Math"/>
            <w:lang w:eastAsia="en-US"/>
          </w:rPr>
          <m:t>=</m:t>
        </m:r>
        <m:f>
          <m:fPr>
            <m:ctrlPr>
              <w:rPr>
                <w:rFonts w:ascii="Cambria Math" w:hAnsi="Cambria Math"/>
                <w:i/>
                <w:iCs/>
                <w:lang w:eastAsia="en-US"/>
              </w:rPr>
            </m:ctrlPr>
          </m:fPr>
          <m:num>
            <m:sSub>
              <m:sSubPr>
                <m:ctrlPr>
                  <w:rPr>
                    <w:rFonts w:ascii="Cambria Math" w:hAnsi="Cambria Math"/>
                    <w:i/>
                    <w:iCs/>
                    <w:lang w:eastAsia="en-US"/>
                  </w:rPr>
                </m:ctrlPr>
              </m:sSubPr>
              <m:e>
                <m:r>
                  <w:rPr>
                    <w:rFonts w:ascii="Cambria Math"/>
                    <w:lang w:eastAsia="en-US"/>
                  </w:rPr>
                  <m:t xml:space="preserve">( </m:t>
                </m:r>
                <m:r>
                  <w:rPr>
                    <w:rFonts w:ascii="Cambria Math" w:hAnsi="Cambria Math"/>
                    <w:lang w:eastAsia="en-US"/>
                  </w:rPr>
                  <m:t>g</m:t>
                </m:r>
              </m:e>
              <m:sub>
                <m:r>
                  <w:rPr>
                    <w:rFonts w:ascii="Cambria Math"/>
                    <w:vertAlign w:val="subscript"/>
                    <w:lang w:eastAsia="en-US"/>
                  </w:rPr>
                  <m:t xml:space="preserve">|| </m:t>
                </m:r>
              </m:sub>
            </m:sSub>
            <m:r>
              <w:rPr>
                <w:rFonts w:ascii="Cambria Math"/>
                <w:lang w:eastAsia="en-US"/>
              </w:rPr>
              <m:t>-</m:t>
            </m:r>
            <m:r>
              <w:rPr>
                <w:rFonts w:ascii="Cambria Math"/>
                <w:lang w:eastAsia="en-US"/>
              </w:rPr>
              <m:t xml:space="preserve"> 2.00277</m:t>
            </m:r>
            <m:r>
              <w:rPr>
                <w:rFonts w:ascii="Cambria Math"/>
                <w:vertAlign w:val="subscript"/>
                <w:lang w:eastAsia="en-US"/>
              </w:rPr>
              <m:t>)</m:t>
            </m:r>
          </m:num>
          <m:den>
            <m:r>
              <w:rPr>
                <w:rFonts w:ascii="Cambria Math"/>
                <w:lang w:eastAsia="en-US"/>
              </w:rPr>
              <m:t xml:space="preserve">( </m:t>
            </m:r>
            <m:sSub>
              <m:sSubPr>
                <m:ctrlPr>
                  <w:rPr>
                    <w:rFonts w:ascii="Cambria Math" w:hAnsi="Cambria Math"/>
                    <w:i/>
                    <w:iCs/>
                    <w:lang w:eastAsia="en-US"/>
                  </w:rPr>
                </m:ctrlPr>
              </m:sSubPr>
              <m:e>
                <m:r>
                  <w:rPr>
                    <w:rFonts w:ascii="Cambria Math" w:hAnsi="Cambria Math"/>
                    <w:lang w:eastAsia="en-US"/>
                  </w:rPr>
                  <m:t>g</m:t>
                </m:r>
              </m:e>
              <m:sub>
                <m:r>
                  <w:rPr>
                    <w:rFonts w:ascii="Cambria Math" w:hAnsi="Cambria Math"/>
                    <w:vertAlign w:val="subscript"/>
                    <w:lang w:eastAsia="en-US"/>
                  </w:rPr>
                  <m:t>⊥</m:t>
                </m:r>
              </m:sub>
            </m:sSub>
            <m:r>
              <w:rPr>
                <w:rFonts w:ascii="Cambria Math"/>
                <w:lang w:eastAsia="en-US"/>
              </w:rPr>
              <m:t>-</m:t>
            </m:r>
            <m:r>
              <w:rPr>
                <w:rFonts w:ascii="Cambria Math"/>
                <w:lang w:eastAsia="en-US"/>
              </w:rPr>
              <m:t xml:space="preserve"> 2.00277)</m:t>
            </m:r>
          </m:den>
        </m:f>
      </m:oMath>
      <w:r w:rsidRPr="00A85C5A">
        <w:rPr>
          <w:iCs/>
          <w:lang w:eastAsia="en-US"/>
        </w:rPr>
        <w:t xml:space="preserve">                                                                             (</w:t>
      </w:r>
      <w:r w:rsidR="0089429C" w:rsidRPr="00A85C5A">
        <w:rPr>
          <w:lang w:eastAsia="en-US"/>
        </w:rPr>
        <w:t>S6</w:t>
      </w:r>
      <w:r w:rsidRPr="00A85C5A">
        <w:rPr>
          <w:iCs/>
          <w:lang w:eastAsia="en-US"/>
        </w:rPr>
        <w:t>)</w:t>
      </w:r>
    </w:p>
    <w:p w:rsidR="00EC6E98" w:rsidRPr="00A85C5A" w:rsidRDefault="00EC6E98" w:rsidP="00EC6E98">
      <w:pPr>
        <w:overflowPunct w:val="0"/>
        <w:autoSpaceDE w:val="0"/>
        <w:autoSpaceDN w:val="0"/>
        <w:adjustRightInd w:val="0"/>
        <w:contextualSpacing/>
        <w:jc w:val="both"/>
        <w:textAlignment w:val="baseline"/>
        <w:rPr>
          <w:lang w:eastAsia="en-US"/>
        </w:rPr>
      </w:pPr>
      <w:r w:rsidRPr="00A85C5A">
        <w:rPr>
          <w:lang w:eastAsia="en-US"/>
        </w:rPr>
        <w:t>The observed interaction coupling constant (</w:t>
      </w:r>
      <w:r w:rsidRPr="00A85C5A">
        <w:rPr>
          <w:i/>
          <w:iCs/>
          <w:lang w:eastAsia="en-US"/>
        </w:rPr>
        <w:t>G</w:t>
      </w:r>
      <w:r w:rsidRPr="00A85C5A">
        <w:rPr>
          <w:lang w:eastAsia="en-US"/>
        </w:rPr>
        <w:t>) value (6.69) of complex (</w:t>
      </w:r>
      <w:r w:rsidRPr="00A85C5A">
        <w:rPr>
          <w:b/>
          <w:bCs/>
          <w:lang w:eastAsia="en-US"/>
        </w:rPr>
        <w:t>1</w:t>
      </w:r>
      <w:r w:rsidRPr="00A85C5A">
        <w:rPr>
          <w:lang w:eastAsia="en-US"/>
        </w:rPr>
        <w:t xml:space="preserve">) was greater than 4 which suggests that there is no interaction between Cu–Cu centers in the solid state complex and the absence of half field signal at 1600 </w:t>
      </w:r>
      <w:r w:rsidRPr="00A85C5A">
        <w:rPr>
          <w:i/>
          <w:iCs/>
          <w:lang w:eastAsia="en-US"/>
        </w:rPr>
        <w:t>G</w:t>
      </w:r>
      <w:r w:rsidRPr="00A85C5A">
        <w:rPr>
          <w:lang w:eastAsia="en-US"/>
        </w:rPr>
        <w:t xml:space="preserve"> corresponding to the ΔMs = ± 2 transition rules out a Cu–Cu interaction (</w:t>
      </w:r>
      <w:r w:rsidRPr="00A85C5A">
        <w:rPr>
          <w:bCs/>
          <w:lang w:eastAsia="en-US"/>
        </w:rPr>
        <w:t>Sharma</w:t>
      </w:r>
      <w:r w:rsidRPr="00A85C5A">
        <w:rPr>
          <w:lang w:eastAsia="en-US"/>
        </w:rPr>
        <w:t xml:space="preserve"> et al., 2001). </w:t>
      </w:r>
      <w:r w:rsidRPr="00A85C5A">
        <w:rPr>
          <w:iCs/>
          <w:lang w:eastAsia="en-US"/>
        </w:rPr>
        <w:t xml:space="preserve">The values of </w:t>
      </w:r>
      <w:r w:rsidRPr="00A85C5A">
        <w:rPr>
          <w:iCs/>
          <w:lang w:eastAsia="en-US" w:bidi="ta-IN"/>
        </w:rPr>
        <w:t>molecular orbital coefficient parameter</w:t>
      </w:r>
      <w:r w:rsidRPr="00A85C5A">
        <w:rPr>
          <w:iCs/>
          <w:lang w:eastAsia="en-US"/>
        </w:rPr>
        <w:t>s (</w:t>
      </w:r>
      <w:r w:rsidRPr="00A85C5A">
        <w:rPr>
          <w:i/>
          <w:lang w:eastAsia="en-US"/>
        </w:rPr>
        <w:t>α</w:t>
      </w:r>
      <w:r w:rsidRPr="00A85C5A">
        <w:rPr>
          <w:i/>
          <w:vertAlign w:val="superscript"/>
          <w:lang w:eastAsia="en-US"/>
        </w:rPr>
        <w:t>2</w:t>
      </w:r>
      <w:r w:rsidRPr="00A85C5A">
        <w:rPr>
          <w:i/>
          <w:lang w:eastAsia="en-US"/>
        </w:rPr>
        <w:t>, β</w:t>
      </w:r>
      <w:r w:rsidRPr="00A85C5A">
        <w:rPr>
          <w:i/>
          <w:vertAlign w:val="superscript"/>
          <w:lang w:eastAsia="en-US"/>
        </w:rPr>
        <w:t>2</w:t>
      </w:r>
      <w:r w:rsidRPr="00A85C5A">
        <w:rPr>
          <w:i/>
          <w:lang w:eastAsia="en-US"/>
        </w:rPr>
        <w:t>,</w:t>
      </w:r>
      <w:r w:rsidRPr="00A85C5A">
        <w:rPr>
          <w:rFonts w:eastAsia="AdvTimes"/>
          <w:i/>
          <w:lang w:eastAsia="en-US"/>
        </w:rPr>
        <w:t xml:space="preserve"> γ</w:t>
      </w:r>
      <w:r w:rsidRPr="00A85C5A">
        <w:rPr>
          <w:rFonts w:eastAsia="AdvTimes"/>
          <w:i/>
          <w:vertAlign w:val="superscript"/>
          <w:lang w:eastAsia="en-US"/>
        </w:rPr>
        <w:t>2</w:t>
      </w:r>
      <w:r w:rsidRPr="00A85C5A">
        <w:rPr>
          <w:rFonts w:eastAsia="AdvTimes"/>
          <w:iCs/>
          <w:lang w:eastAsia="en-US"/>
        </w:rPr>
        <w:t>)</w:t>
      </w:r>
      <w:r w:rsidRPr="00A85C5A">
        <w:rPr>
          <w:rFonts w:eastAsia="AdvGulliv-R"/>
          <w:iCs/>
          <w:lang w:eastAsia="en-US"/>
        </w:rPr>
        <w:t xml:space="preserve"> were obtained by Kivelson and Neimann formulae (</w:t>
      </w:r>
      <w:r w:rsidR="0089429C" w:rsidRPr="00A85C5A">
        <w:rPr>
          <w:lang w:eastAsia="en-US"/>
        </w:rPr>
        <w:t>S7</w:t>
      </w:r>
      <w:r w:rsidRPr="00A85C5A">
        <w:rPr>
          <w:lang w:eastAsia="en-US"/>
        </w:rPr>
        <w:t>–</w:t>
      </w:r>
      <w:r w:rsidR="0089429C" w:rsidRPr="00A85C5A">
        <w:rPr>
          <w:lang w:eastAsia="en-US"/>
        </w:rPr>
        <w:t xml:space="preserve"> S9</w:t>
      </w:r>
      <w:r w:rsidRPr="00A85C5A">
        <w:rPr>
          <w:rFonts w:eastAsia="AdvGulliv-R"/>
          <w:iCs/>
          <w:lang w:eastAsia="en-US"/>
        </w:rPr>
        <w:t>).</w:t>
      </w:r>
    </w:p>
    <w:p w:rsidR="00EC6E98" w:rsidRPr="00A85C5A" w:rsidRDefault="00EA6BE4" w:rsidP="00EC6E98">
      <w:pPr>
        <w:overflowPunct w:val="0"/>
        <w:autoSpaceDE w:val="0"/>
        <w:autoSpaceDN w:val="0"/>
        <w:adjustRightInd w:val="0"/>
        <w:contextualSpacing/>
        <w:jc w:val="center"/>
        <w:textAlignment w:val="baseline"/>
        <w:rPr>
          <w:rFonts w:eastAsia="AdvTimes"/>
          <w:iCs/>
          <w:lang w:eastAsia="en-US"/>
        </w:rPr>
      </w:pPr>
      <m:oMath>
        <m:sSup>
          <m:sSupPr>
            <m:ctrlPr>
              <w:rPr>
                <w:rFonts w:ascii="Cambria Math" w:eastAsia="AdvTimes" w:hAnsi="Cambria Math"/>
                <w:i/>
                <w:iCs/>
                <w:vertAlign w:val="superscript"/>
                <w:lang w:eastAsia="en-US"/>
              </w:rPr>
            </m:ctrlPr>
          </m:sSupPr>
          <m:e>
            <m:r>
              <w:rPr>
                <w:rFonts w:ascii="Cambria Math" w:eastAsia="AdvTimes" w:hAnsi="Cambria Math"/>
                <w:lang w:eastAsia="en-US"/>
              </w:rPr>
              <m:t>α</m:t>
            </m:r>
          </m:e>
          <m:sup>
            <m:r>
              <w:rPr>
                <w:rFonts w:ascii="Cambria Math" w:eastAsia="AdvTimes"/>
                <w:vertAlign w:val="superscript"/>
                <w:lang w:eastAsia="en-US"/>
              </w:rPr>
              <m:t>2</m:t>
            </m:r>
          </m:sup>
        </m:sSup>
        <m:r>
          <w:rPr>
            <w:rFonts w:ascii="Cambria Math" w:eastAsia="AdvTimes"/>
            <w:lang w:eastAsia="en-US"/>
          </w:rPr>
          <m:t>=</m:t>
        </m:r>
        <m:f>
          <m:fPr>
            <m:ctrlPr>
              <w:rPr>
                <w:rFonts w:ascii="Cambria Math" w:hAnsi="Cambria Math"/>
                <w:i/>
                <w:iCs/>
                <w:lang w:eastAsia="en-US"/>
              </w:rPr>
            </m:ctrlPr>
          </m:fPr>
          <m:num>
            <m:sSub>
              <m:sSubPr>
                <m:ctrlPr>
                  <w:rPr>
                    <w:rFonts w:ascii="Cambria Math" w:hAnsi="Cambria Math"/>
                    <w:i/>
                    <w:iCs/>
                    <w:lang w:eastAsia="en-US"/>
                  </w:rPr>
                </m:ctrlPr>
              </m:sSubPr>
              <m:e>
                <m:r>
                  <w:rPr>
                    <w:rFonts w:ascii="Cambria Math"/>
                    <w:lang w:eastAsia="en-US"/>
                  </w:rPr>
                  <m:t xml:space="preserve"> </m:t>
                </m:r>
                <m:r>
                  <w:rPr>
                    <w:rFonts w:ascii="Cambria Math" w:hAnsi="Cambria Math"/>
                    <w:lang w:eastAsia="en-US"/>
                  </w:rPr>
                  <m:t>A</m:t>
                </m:r>
              </m:e>
              <m:sub>
                <m:r>
                  <w:rPr>
                    <w:rFonts w:ascii="Cambria Math"/>
                    <w:vertAlign w:val="subscript"/>
                    <w:lang w:eastAsia="en-US"/>
                  </w:rPr>
                  <m:t xml:space="preserve">|| </m:t>
                </m:r>
              </m:sub>
            </m:sSub>
          </m:num>
          <m:den>
            <m:r>
              <w:rPr>
                <w:rFonts w:ascii="Cambria Math" w:hAnsi="Cambria Math"/>
                <w:lang w:eastAsia="en-US"/>
              </w:rPr>
              <m:t>P</m:t>
            </m:r>
          </m:den>
        </m:f>
        <m:r>
          <w:rPr>
            <w:rFonts w:ascii="Cambria Math"/>
            <w:lang w:eastAsia="en-US"/>
          </w:rPr>
          <m:t>+</m:t>
        </m:r>
        <m:sSub>
          <m:sSubPr>
            <m:ctrlPr>
              <w:rPr>
                <w:rFonts w:ascii="Cambria Math" w:hAnsi="Cambria Math"/>
                <w:i/>
                <w:iCs/>
                <w:lang w:eastAsia="en-US"/>
              </w:rPr>
            </m:ctrlPr>
          </m:sSubPr>
          <m:e>
            <m:r>
              <w:rPr>
                <w:rFonts w:ascii="Cambria Math"/>
                <w:lang w:eastAsia="en-US"/>
              </w:rPr>
              <m:t xml:space="preserve">( </m:t>
            </m:r>
            <m:r>
              <w:rPr>
                <w:rFonts w:ascii="Cambria Math" w:hAnsi="Cambria Math"/>
                <w:lang w:eastAsia="en-US"/>
              </w:rPr>
              <m:t>g</m:t>
            </m:r>
          </m:e>
          <m:sub>
            <m:r>
              <w:rPr>
                <w:rFonts w:ascii="Cambria Math"/>
                <w:vertAlign w:val="subscript"/>
                <w:lang w:eastAsia="en-US"/>
              </w:rPr>
              <m:t xml:space="preserve">|| </m:t>
            </m:r>
          </m:sub>
        </m:sSub>
        <m:r>
          <w:rPr>
            <w:rFonts w:ascii="Cambria Math"/>
            <w:lang w:eastAsia="en-US"/>
          </w:rPr>
          <m:t>-</m:t>
        </m:r>
        <m:r>
          <w:rPr>
            <w:rFonts w:ascii="Cambria Math"/>
            <w:lang w:eastAsia="en-US"/>
          </w:rPr>
          <m:t xml:space="preserve"> 2.00277)+</m:t>
        </m:r>
        <m:f>
          <m:fPr>
            <m:ctrlPr>
              <w:rPr>
                <w:rFonts w:ascii="Cambria Math" w:hAnsi="Cambria Math"/>
                <w:i/>
                <w:iCs/>
                <w:lang w:eastAsia="en-US"/>
              </w:rPr>
            </m:ctrlPr>
          </m:fPr>
          <m:num>
            <m:r>
              <w:rPr>
                <w:rFonts w:ascii="Cambria Math"/>
                <w:lang w:eastAsia="en-US"/>
              </w:rPr>
              <m:t>3</m:t>
            </m:r>
          </m:num>
          <m:den>
            <m:r>
              <w:rPr>
                <w:rFonts w:ascii="Cambria Math"/>
                <w:lang w:eastAsia="en-US"/>
              </w:rPr>
              <m:t>7</m:t>
            </m:r>
          </m:den>
        </m:f>
        <m:sSub>
          <m:sSubPr>
            <m:ctrlPr>
              <w:rPr>
                <w:rFonts w:ascii="Cambria Math" w:hAnsi="Cambria Math"/>
                <w:i/>
                <w:iCs/>
                <w:lang w:eastAsia="en-US"/>
              </w:rPr>
            </m:ctrlPr>
          </m:sSubPr>
          <m:e>
            <m:r>
              <w:rPr>
                <w:rFonts w:ascii="Cambria Math"/>
                <w:lang w:eastAsia="en-US"/>
              </w:rPr>
              <m:t>(</m:t>
            </m:r>
            <m:r>
              <w:rPr>
                <w:rFonts w:ascii="Cambria Math" w:hAnsi="Cambria Math"/>
                <w:lang w:eastAsia="en-US"/>
              </w:rPr>
              <m:t>g</m:t>
            </m:r>
          </m:e>
          <m:sub>
            <m:r>
              <w:rPr>
                <w:rFonts w:ascii="Cambria Math" w:hAnsi="Cambria Math"/>
                <w:vertAlign w:val="subscript"/>
                <w:lang w:eastAsia="en-US"/>
              </w:rPr>
              <m:t>⊥</m:t>
            </m:r>
          </m:sub>
        </m:sSub>
        <m:r>
          <w:rPr>
            <w:rFonts w:ascii="Cambria Math"/>
            <w:lang w:eastAsia="en-US"/>
          </w:rPr>
          <m:t>-</m:t>
        </m:r>
        <m:r>
          <w:rPr>
            <w:rFonts w:ascii="Cambria Math"/>
            <w:lang w:eastAsia="en-US"/>
          </w:rPr>
          <m:t>2.00277)+0.04</m:t>
        </m:r>
      </m:oMath>
      <w:r w:rsidR="00EC6E98" w:rsidRPr="00A85C5A">
        <w:rPr>
          <w:rFonts w:eastAsia="AdvTimes"/>
          <w:iCs/>
          <w:lang w:eastAsia="en-US"/>
        </w:rPr>
        <w:t xml:space="preserve">               (</w:t>
      </w:r>
      <w:r w:rsidR="0089429C" w:rsidRPr="00A85C5A">
        <w:rPr>
          <w:lang w:eastAsia="en-US"/>
        </w:rPr>
        <w:t>S7</w:t>
      </w:r>
      <w:r w:rsidR="00EC6E98" w:rsidRPr="00A85C5A">
        <w:rPr>
          <w:rFonts w:eastAsia="AdvTimes"/>
          <w:iCs/>
          <w:lang w:eastAsia="en-US"/>
        </w:rPr>
        <w:t>)</w:t>
      </w:r>
    </w:p>
    <w:p w:rsidR="00EC6E98" w:rsidRPr="00A85C5A" w:rsidRDefault="00EA6BE4" w:rsidP="00EC6E98">
      <w:pPr>
        <w:overflowPunct w:val="0"/>
        <w:autoSpaceDE w:val="0"/>
        <w:autoSpaceDN w:val="0"/>
        <w:adjustRightInd w:val="0"/>
        <w:contextualSpacing/>
        <w:jc w:val="center"/>
        <w:textAlignment w:val="baseline"/>
        <w:rPr>
          <w:rFonts w:eastAsia="AdvGulliv-R"/>
          <w:lang w:eastAsia="en-US"/>
        </w:rPr>
      </w:pPr>
      <m:oMath>
        <m:sSub>
          <m:sSubPr>
            <m:ctrlPr>
              <w:rPr>
                <w:rFonts w:ascii="Cambria Math" w:hAnsi="Cambria Math"/>
                <w:i/>
                <w:lang w:eastAsia="en-US"/>
              </w:rPr>
            </m:ctrlPr>
          </m:sSubPr>
          <m:e>
            <m:r>
              <w:rPr>
                <w:rFonts w:ascii="Cambria Math"/>
                <w:lang w:eastAsia="en-US"/>
              </w:rPr>
              <m:t xml:space="preserve">  </m:t>
            </m:r>
            <m:sSup>
              <m:sSupPr>
                <m:ctrlPr>
                  <w:rPr>
                    <w:rFonts w:ascii="Cambria Math" w:eastAsia="AdvTimes" w:hAnsi="Cambria Math"/>
                    <w:i/>
                    <w:vertAlign w:val="superscript"/>
                    <w:lang w:eastAsia="en-US"/>
                  </w:rPr>
                </m:ctrlPr>
              </m:sSupPr>
              <m:e>
                <m:r>
                  <w:rPr>
                    <w:rFonts w:ascii="Cambria Math" w:eastAsia="AdvTimes" w:hAnsi="Cambria Math"/>
                    <w:lang w:eastAsia="en-US"/>
                  </w:rPr>
                  <m:t>β</m:t>
                </m:r>
              </m:e>
              <m:sup>
                <m:r>
                  <w:rPr>
                    <w:rFonts w:ascii="Cambria Math" w:eastAsia="AdvTimes"/>
                    <w:vertAlign w:val="superscript"/>
                    <w:lang w:eastAsia="en-US"/>
                  </w:rPr>
                  <m:t>2</m:t>
                </m:r>
              </m:sup>
            </m:sSup>
            <m:r>
              <w:rPr>
                <w:rFonts w:ascii="Cambria Math" w:eastAsia="AdvTimes"/>
                <w:lang w:eastAsia="en-US"/>
              </w:rPr>
              <m:t>=</m:t>
            </m:r>
            <m:r>
              <w:rPr>
                <w:rFonts w:ascii="Cambria Math"/>
                <w:lang w:eastAsia="en-US"/>
              </w:rPr>
              <m:t>(</m:t>
            </m:r>
            <m:r>
              <w:rPr>
                <w:rFonts w:ascii="Cambria Math" w:hAnsi="Cambria Math"/>
                <w:lang w:eastAsia="en-US"/>
              </w:rPr>
              <m:t>g</m:t>
            </m:r>
          </m:e>
          <m:sub>
            <m:r>
              <w:rPr>
                <w:rFonts w:ascii="Cambria Math"/>
                <w:vertAlign w:val="subscript"/>
                <w:lang w:eastAsia="en-US"/>
              </w:rPr>
              <m:t>||</m:t>
            </m:r>
          </m:sub>
        </m:sSub>
        <m:r>
          <w:rPr>
            <w:rFonts w:ascii="Cambria Math"/>
            <w:lang w:eastAsia="en-US"/>
          </w:rPr>
          <m:t>-</m:t>
        </m:r>
        <m:r>
          <w:rPr>
            <w:rFonts w:ascii="Cambria Math"/>
            <w:lang w:eastAsia="en-US"/>
          </w:rPr>
          <m:t xml:space="preserve"> 2.00277)(</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d-d</m:t>
                </m:r>
              </m:sub>
            </m:sSub>
          </m:num>
          <m:den>
            <m:r>
              <w:rPr>
                <w:rFonts w:ascii="Cambria Math"/>
                <w:lang w:eastAsia="en-US"/>
              </w:rPr>
              <m:t>-</m:t>
            </m:r>
            <m:r>
              <w:rPr>
                <w:rFonts w:ascii="Cambria Math"/>
                <w:lang w:eastAsia="en-US"/>
              </w:rPr>
              <m:t>8</m:t>
            </m:r>
            <m:sSub>
              <m:sSubPr>
                <m:ctrlPr>
                  <w:rPr>
                    <w:rFonts w:ascii="Cambria Math" w:hAnsi="Cambria Math"/>
                    <w:i/>
                    <w:lang w:eastAsia="en-US"/>
                  </w:rPr>
                </m:ctrlPr>
              </m:sSubPr>
              <m:e>
                <m:r>
                  <w:rPr>
                    <w:rFonts w:ascii="Cambria Math" w:hAnsi="Cambria Math"/>
                    <w:lang w:eastAsia="en-US"/>
                  </w:rPr>
                  <m:t>λ</m:t>
                </m:r>
              </m:e>
              <m:sub>
                <m:r>
                  <w:rPr>
                    <w:rFonts w:ascii="Cambria Math"/>
                    <w:lang w:eastAsia="en-US"/>
                  </w:rPr>
                  <m:t>0</m:t>
                </m:r>
              </m:sub>
            </m:sSub>
            <m:sSup>
              <m:sSupPr>
                <m:ctrlPr>
                  <w:rPr>
                    <w:rFonts w:ascii="Cambria Math" w:hAnsi="Cambria Math"/>
                    <w:i/>
                    <w:lang w:eastAsia="en-US"/>
                  </w:rPr>
                </m:ctrlPr>
              </m:sSupPr>
              <m:e>
                <m:r>
                  <w:rPr>
                    <w:rFonts w:ascii="Cambria Math" w:hAnsi="Cambria Math"/>
                    <w:lang w:eastAsia="en-US"/>
                  </w:rPr>
                  <m:t>a</m:t>
                </m:r>
              </m:e>
              <m:sup>
                <m:r>
                  <w:rPr>
                    <w:rFonts w:ascii="Cambria Math"/>
                    <w:lang w:eastAsia="en-US"/>
                  </w:rPr>
                  <m:t>2</m:t>
                </m:r>
              </m:sup>
            </m:sSup>
          </m:den>
        </m:f>
        <m:r>
          <w:rPr>
            <w:rFonts w:ascii="Cambria Math"/>
            <w:lang w:eastAsia="en-US"/>
          </w:rPr>
          <m:t>)</m:t>
        </m:r>
      </m:oMath>
      <w:r w:rsidR="00EC6E98" w:rsidRPr="00A85C5A">
        <w:rPr>
          <w:rFonts w:eastAsia="AdvGulliv-R"/>
          <w:lang w:eastAsia="en-US"/>
        </w:rPr>
        <w:t xml:space="preserve">                                                         (</w:t>
      </w:r>
      <w:r w:rsidR="0089429C" w:rsidRPr="00A85C5A">
        <w:rPr>
          <w:lang w:eastAsia="en-US"/>
        </w:rPr>
        <w:t>S8</w:t>
      </w:r>
      <w:r w:rsidR="00EC6E98" w:rsidRPr="00A85C5A">
        <w:rPr>
          <w:rFonts w:eastAsia="AdvGulliv-R"/>
          <w:lang w:eastAsia="en-US"/>
        </w:rPr>
        <w:t xml:space="preserve">)                                                                                   </w:t>
      </w:r>
      <m:oMath>
        <m:sSub>
          <m:sSubPr>
            <m:ctrlPr>
              <w:rPr>
                <w:rFonts w:ascii="Cambria Math" w:hAnsi="Cambria Math"/>
                <w:i/>
                <w:lang w:eastAsia="en-US"/>
              </w:rPr>
            </m:ctrlPr>
          </m:sSubPr>
          <m:e>
            <m:sSup>
              <m:sSupPr>
                <m:ctrlPr>
                  <w:rPr>
                    <w:rFonts w:ascii="Cambria Math" w:eastAsia="AdvTimes" w:hAnsi="Cambria Math"/>
                    <w:i/>
                    <w:vertAlign w:val="superscript"/>
                    <w:lang w:eastAsia="en-US"/>
                  </w:rPr>
                </m:ctrlPr>
              </m:sSupPr>
              <m:e>
                <m:r>
                  <w:rPr>
                    <w:rFonts w:ascii="Cambria Math" w:eastAsia="AdvTimes"/>
                    <w:lang w:eastAsia="en-US"/>
                  </w:rPr>
                  <m:t xml:space="preserve">  </m:t>
                </m:r>
                <m:r>
                  <w:rPr>
                    <w:rFonts w:ascii="Cambria Math" w:eastAsia="AdvTimes" w:hAnsi="Cambria Math"/>
                    <w:lang w:eastAsia="en-US"/>
                  </w:rPr>
                  <m:t>γ</m:t>
                </m:r>
              </m:e>
              <m:sup>
                <m:r>
                  <w:rPr>
                    <w:rFonts w:ascii="Cambria Math" w:eastAsia="AdvTimes"/>
                    <w:vertAlign w:val="superscript"/>
                    <w:lang w:eastAsia="en-US"/>
                  </w:rPr>
                  <m:t>2</m:t>
                </m:r>
              </m:sup>
            </m:sSup>
            <m:r>
              <w:rPr>
                <w:rFonts w:ascii="Cambria Math" w:eastAsia="AdvTimes"/>
                <w:lang w:eastAsia="en-US"/>
              </w:rPr>
              <m:t>=</m:t>
            </m:r>
            <m:r>
              <w:rPr>
                <w:rFonts w:ascii="Cambria Math"/>
                <w:lang w:eastAsia="en-US"/>
              </w:rPr>
              <m:t>(</m:t>
            </m:r>
            <m:r>
              <w:rPr>
                <w:rFonts w:ascii="Cambria Math" w:hAnsi="Cambria Math"/>
                <w:lang w:eastAsia="en-US"/>
              </w:rPr>
              <m:t>g</m:t>
            </m:r>
          </m:e>
          <m:sub>
            <m:r>
              <w:rPr>
                <w:rFonts w:ascii="Cambria Math" w:hAnsi="Cambria Math"/>
                <w:vertAlign w:val="subscript"/>
                <w:lang w:eastAsia="en-US"/>
              </w:rPr>
              <m:t>⊥</m:t>
            </m:r>
          </m:sub>
        </m:sSub>
        <m:r>
          <w:rPr>
            <w:rFonts w:ascii="Cambria Math"/>
            <w:lang w:eastAsia="en-US"/>
          </w:rPr>
          <m:t>-</m:t>
        </m:r>
        <m:r>
          <w:rPr>
            <w:rFonts w:ascii="Cambria Math"/>
            <w:lang w:eastAsia="en-US"/>
          </w:rPr>
          <m:t>2.00277)(</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d-d</m:t>
                </m:r>
              </m:sub>
            </m:sSub>
          </m:num>
          <m:den>
            <m:r>
              <w:rPr>
                <w:rFonts w:ascii="Cambria Math"/>
                <w:lang w:eastAsia="en-US"/>
              </w:rPr>
              <m:t>-</m:t>
            </m:r>
            <m:r>
              <w:rPr>
                <w:rFonts w:ascii="Cambria Math"/>
                <w:lang w:eastAsia="en-US"/>
              </w:rPr>
              <m:t>2</m:t>
            </m:r>
            <m:sSub>
              <m:sSubPr>
                <m:ctrlPr>
                  <w:rPr>
                    <w:rFonts w:ascii="Cambria Math" w:hAnsi="Cambria Math"/>
                    <w:i/>
                    <w:lang w:eastAsia="en-US"/>
                  </w:rPr>
                </m:ctrlPr>
              </m:sSubPr>
              <m:e>
                <m:r>
                  <w:rPr>
                    <w:rFonts w:ascii="Cambria Math" w:hAnsi="Cambria Math"/>
                    <w:lang w:eastAsia="en-US"/>
                  </w:rPr>
                  <m:t>λ</m:t>
                </m:r>
              </m:e>
              <m:sub>
                <m:r>
                  <w:rPr>
                    <w:rFonts w:ascii="Cambria Math"/>
                    <w:lang w:eastAsia="en-US"/>
                  </w:rPr>
                  <m:t>0</m:t>
                </m:r>
              </m:sub>
            </m:sSub>
            <m:sSup>
              <m:sSupPr>
                <m:ctrlPr>
                  <w:rPr>
                    <w:rFonts w:ascii="Cambria Math" w:hAnsi="Cambria Math"/>
                    <w:i/>
                    <w:lang w:eastAsia="en-US"/>
                  </w:rPr>
                </m:ctrlPr>
              </m:sSupPr>
              <m:e>
                <m:r>
                  <w:rPr>
                    <w:rFonts w:ascii="Cambria Math" w:hAnsi="Cambria Math"/>
                    <w:lang w:eastAsia="en-US"/>
                  </w:rPr>
                  <m:t>a</m:t>
                </m:r>
              </m:e>
              <m:sup>
                <m:r>
                  <w:rPr>
                    <w:rFonts w:ascii="Cambria Math"/>
                    <w:lang w:eastAsia="en-US"/>
                  </w:rPr>
                  <m:t>2</m:t>
                </m:r>
              </m:sup>
            </m:sSup>
          </m:den>
        </m:f>
        <m:r>
          <w:rPr>
            <w:rFonts w:ascii="Cambria Math"/>
            <w:lang w:eastAsia="en-US"/>
          </w:rPr>
          <m:t>)</m:t>
        </m:r>
      </m:oMath>
      <w:r w:rsidR="00EC6E98" w:rsidRPr="00A85C5A">
        <w:rPr>
          <w:rFonts w:eastAsia="AdvTimes"/>
          <w:lang w:eastAsia="en-US"/>
        </w:rPr>
        <w:t xml:space="preserve">                                                          (</w:t>
      </w:r>
      <w:r w:rsidR="0089429C" w:rsidRPr="00A85C5A">
        <w:rPr>
          <w:lang w:eastAsia="en-US"/>
        </w:rPr>
        <w:t>S9</w:t>
      </w:r>
      <w:r w:rsidR="00EC6E98" w:rsidRPr="00A85C5A">
        <w:rPr>
          <w:rFonts w:eastAsia="AdvTimes"/>
          <w:lang w:eastAsia="en-US"/>
        </w:rPr>
        <w:t xml:space="preserve">) </w:t>
      </w:r>
    </w:p>
    <w:p w:rsidR="00EC6E98" w:rsidRPr="00A85C5A" w:rsidRDefault="00EC6E98" w:rsidP="00EC6E98">
      <w:pPr>
        <w:overflowPunct w:val="0"/>
        <w:autoSpaceDE w:val="0"/>
        <w:autoSpaceDN w:val="0"/>
        <w:adjustRightInd w:val="0"/>
        <w:jc w:val="both"/>
        <w:textAlignment w:val="baseline"/>
        <w:rPr>
          <w:lang w:eastAsia="en-US"/>
        </w:rPr>
      </w:pPr>
      <w:r w:rsidRPr="00A85C5A">
        <w:rPr>
          <w:lang w:eastAsia="en-US"/>
        </w:rPr>
        <w:t>The observed values of in-plane σ-bonding (</w:t>
      </w:r>
      <w:r w:rsidRPr="00A85C5A">
        <w:rPr>
          <w:i/>
          <w:iCs/>
          <w:lang w:eastAsia="en-US"/>
        </w:rPr>
        <w:t>α</w:t>
      </w:r>
      <w:r w:rsidRPr="00A85C5A">
        <w:rPr>
          <w:i/>
          <w:iCs/>
          <w:vertAlign w:val="superscript"/>
          <w:lang w:eastAsia="en-US"/>
        </w:rPr>
        <w:t>2</w:t>
      </w:r>
      <w:r w:rsidRPr="00A85C5A">
        <w:rPr>
          <w:lang w:eastAsia="en-US"/>
        </w:rPr>
        <w:t xml:space="preserve"> = 0.</w:t>
      </w:r>
      <w:r w:rsidRPr="00A85C5A">
        <w:rPr>
          <w:lang w:eastAsia="en-IN"/>
        </w:rPr>
        <w:t>55</w:t>
      </w:r>
      <w:r w:rsidRPr="00A85C5A">
        <w:rPr>
          <w:lang w:eastAsia="en-US"/>
        </w:rPr>
        <w:t xml:space="preserve">), in-plane </w:t>
      </w:r>
      <w:r w:rsidRPr="00A85C5A">
        <w:rPr>
          <w:i/>
          <w:iCs/>
          <w:lang w:eastAsia="en-US"/>
        </w:rPr>
        <w:t>π</w:t>
      </w:r>
      <w:r w:rsidRPr="00A85C5A">
        <w:rPr>
          <w:lang w:eastAsia="en-US"/>
        </w:rPr>
        <w:t>-bonding (</w:t>
      </w:r>
      <w:r w:rsidRPr="00A85C5A">
        <w:rPr>
          <w:i/>
          <w:iCs/>
          <w:lang w:eastAsia="en-US"/>
        </w:rPr>
        <w:t>β</w:t>
      </w:r>
      <w:r w:rsidRPr="00A85C5A">
        <w:rPr>
          <w:i/>
          <w:iCs/>
          <w:vertAlign w:val="superscript"/>
          <w:lang w:eastAsia="en-US"/>
        </w:rPr>
        <w:t>2</w:t>
      </w:r>
      <w:r w:rsidRPr="00A85C5A">
        <w:rPr>
          <w:lang w:eastAsia="en-US"/>
        </w:rPr>
        <w:t xml:space="preserve"> = 0.68) and out-plane </w:t>
      </w:r>
      <w:r w:rsidRPr="00A85C5A">
        <w:rPr>
          <w:i/>
          <w:iCs/>
          <w:lang w:eastAsia="en-US"/>
        </w:rPr>
        <w:t>π</w:t>
      </w:r>
      <w:r w:rsidRPr="00A85C5A">
        <w:rPr>
          <w:lang w:eastAsia="en-US"/>
        </w:rPr>
        <w:t>-bonding (</w:t>
      </w:r>
      <w:r w:rsidRPr="00A85C5A">
        <w:rPr>
          <w:rFonts w:eastAsia="AdvTimes"/>
          <w:i/>
          <w:iCs/>
          <w:lang w:eastAsia="en-US"/>
        </w:rPr>
        <w:t>γ</w:t>
      </w:r>
      <w:r w:rsidRPr="00A85C5A">
        <w:rPr>
          <w:rFonts w:eastAsia="AdvTimes"/>
          <w:i/>
          <w:iCs/>
          <w:vertAlign w:val="superscript"/>
          <w:lang w:eastAsia="en-US"/>
        </w:rPr>
        <w:t>2</w:t>
      </w:r>
      <w:r w:rsidRPr="00A85C5A">
        <w:rPr>
          <w:rFonts w:eastAsia="AdvTimes"/>
          <w:lang w:eastAsia="en-US"/>
        </w:rPr>
        <w:t xml:space="preserve"> = 0.40</w:t>
      </w:r>
      <w:r w:rsidRPr="00A85C5A">
        <w:rPr>
          <w:lang w:eastAsia="en-US"/>
        </w:rPr>
        <w:t xml:space="preserve">) were less than 1.0 </w:t>
      </w:r>
      <w:r w:rsidRPr="00A85C5A">
        <w:rPr>
          <w:rFonts w:eastAsia="AdvTimes"/>
          <w:lang w:eastAsia="en-US"/>
        </w:rPr>
        <w:t xml:space="preserve">which point out that </w:t>
      </w:r>
      <w:r w:rsidRPr="00A85C5A">
        <w:rPr>
          <w:lang w:eastAsia="en-US"/>
        </w:rPr>
        <w:t>the complex (</w:t>
      </w:r>
      <w:r w:rsidRPr="00A85C5A">
        <w:rPr>
          <w:b/>
          <w:bCs/>
          <w:lang w:eastAsia="en-US"/>
        </w:rPr>
        <w:t>1</w:t>
      </w:r>
      <w:r w:rsidRPr="00A85C5A">
        <w:rPr>
          <w:lang w:eastAsia="en-US"/>
        </w:rPr>
        <w:t xml:space="preserve">) has completely covalent character and also orbital reduction factors </w:t>
      </w:r>
      <w:r w:rsidRPr="00A85C5A">
        <w:rPr>
          <w:i/>
          <w:iCs/>
          <w:lang w:eastAsia="en-US"/>
        </w:rPr>
        <w:t>(K</w:t>
      </w:r>
      <w:r w:rsidRPr="00A85C5A">
        <w:rPr>
          <w:i/>
          <w:iCs/>
          <w:vertAlign w:val="subscript"/>
          <w:lang w:eastAsia="en-US"/>
        </w:rPr>
        <w:t>||</w:t>
      </w:r>
      <w:r w:rsidRPr="00A85C5A">
        <w:rPr>
          <w:i/>
          <w:iCs/>
          <w:lang w:eastAsia="en-US"/>
        </w:rPr>
        <w:t>, K</w:t>
      </w:r>
      <w:r w:rsidRPr="00A85C5A">
        <w:rPr>
          <w:rFonts w:hAnsi="Cambria Math"/>
          <w:i/>
          <w:iCs/>
          <w:vertAlign w:val="subscript"/>
          <w:lang w:eastAsia="en-US"/>
        </w:rPr>
        <w:t>⊥</w:t>
      </w:r>
      <w:r w:rsidRPr="00A85C5A">
        <w:rPr>
          <w:i/>
          <w:iCs/>
          <w:lang w:eastAsia="en-US"/>
        </w:rPr>
        <w:t xml:space="preserve">, K) </w:t>
      </w:r>
      <w:r w:rsidRPr="00A85C5A">
        <w:rPr>
          <w:lang w:eastAsia="en-US"/>
        </w:rPr>
        <w:t xml:space="preserve">are helpful to measure the covalent character. The observed </w:t>
      </w:r>
      <m:oMath>
        <m:sSubSup>
          <m:sSubSupPr>
            <m:ctrlPr>
              <w:rPr>
                <w:rFonts w:ascii="Cambria Math" w:eastAsia="AdvTimes" w:hAnsi="Cambria Math"/>
                <w:i/>
                <w:iCs/>
                <w:lang w:eastAsia="en-US"/>
              </w:rPr>
            </m:ctrlPr>
          </m:sSubSupPr>
          <m:e>
            <m:r>
              <w:rPr>
                <w:rFonts w:ascii="Cambria Math" w:eastAsia="AdvTimes" w:hAnsi="Cambria Math"/>
                <w:lang w:eastAsia="en-US"/>
              </w:rPr>
              <m:t>K</m:t>
            </m:r>
          </m:e>
          <m:sub>
            <m:r>
              <w:rPr>
                <w:rFonts w:ascii="Cambria Math"/>
                <w:vertAlign w:val="subscript"/>
                <w:lang w:eastAsia="en-US"/>
              </w:rPr>
              <m:t>||</m:t>
            </m:r>
          </m:sub>
          <m:sup>
            <m:r>
              <w:rPr>
                <w:rFonts w:ascii="Cambria Math" w:eastAsia="AdvTimes"/>
                <w:lang w:eastAsia="en-US"/>
              </w:rPr>
              <m:t>2</m:t>
            </m:r>
          </m:sup>
        </m:sSubSup>
      </m:oMath>
      <w:r w:rsidRPr="00A85C5A">
        <w:rPr>
          <w:lang w:eastAsia="en-US"/>
        </w:rPr>
        <w:t xml:space="preserve"> (</w:t>
      </w:r>
      <w:r w:rsidRPr="00A85C5A">
        <w:rPr>
          <w:lang w:eastAsia="en-IN"/>
        </w:rPr>
        <w:t xml:space="preserve">0.37) </w:t>
      </w:r>
      <w:r w:rsidRPr="00A85C5A">
        <w:rPr>
          <w:lang w:eastAsia="en-US"/>
        </w:rPr>
        <w:t xml:space="preserve">value was larger than </w:t>
      </w:r>
      <m:oMath>
        <m:sSubSup>
          <m:sSubSupPr>
            <m:ctrlPr>
              <w:rPr>
                <w:rFonts w:ascii="Cambria Math" w:eastAsia="AdvTimes" w:hAnsi="Cambria Math"/>
                <w:i/>
                <w:iCs/>
                <w:lang w:eastAsia="en-US"/>
              </w:rPr>
            </m:ctrlPr>
          </m:sSubSupPr>
          <m:e>
            <m:r>
              <w:rPr>
                <w:rFonts w:ascii="Cambria Math" w:eastAsia="AdvTimes" w:hAnsi="Cambria Math"/>
                <w:lang w:eastAsia="en-US"/>
              </w:rPr>
              <m:t>K</m:t>
            </m:r>
          </m:e>
          <m:sub>
            <m:r>
              <w:rPr>
                <w:rFonts w:ascii="Cambria Math" w:hAnsi="Cambria Math"/>
                <w:vertAlign w:val="subscript"/>
                <w:lang w:eastAsia="en-US"/>
              </w:rPr>
              <m:t>⊥</m:t>
            </m:r>
          </m:sub>
          <m:sup>
            <m:r>
              <w:rPr>
                <w:rFonts w:ascii="Cambria Math" w:eastAsia="AdvTimes"/>
                <w:lang w:eastAsia="en-US"/>
              </w:rPr>
              <m:t>2</m:t>
            </m:r>
          </m:sup>
        </m:sSubSup>
      </m:oMath>
      <w:r w:rsidRPr="00A85C5A">
        <w:rPr>
          <w:lang w:eastAsia="en-US"/>
        </w:rPr>
        <w:t xml:space="preserve"> (0.22) which indicates the presence of out-plane </w:t>
      </w:r>
      <w:r w:rsidRPr="00A85C5A">
        <w:rPr>
          <w:i/>
          <w:iCs/>
          <w:lang w:eastAsia="en-US"/>
        </w:rPr>
        <w:t>π</w:t>
      </w:r>
      <w:r w:rsidRPr="00A85C5A">
        <w:rPr>
          <w:lang w:eastAsia="en-US"/>
        </w:rPr>
        <w:t xml:space="preserve">-bonding in metal-ligand </w:t>
      </w:r>
      <w:r w:rsidRPr="00A85C5A">
        <w:rPr>
          <w:rFonts w:eastAsia="AdvGulliv-R"/>
          <w:i/>
          <w:iCs/>
          <w:lang w:eastAsia="en-US"/>
        </w:rPr>
        <w:t>π</w:t>
      </w:r>
      <w:r w:rsidRPr="00A85C5A">
        <w:rPr>
          <w:rFonts w:eastAsia="AdvGulliv-R"/>
          <w:lang w:eastAsia="en-US"/>
        </w:rPr>
        <w:t xml:space="preserve">-bonding </w:t>
      </w:r>
      <w:r w:rsidRPr="00A85C5A">
        <w:rPr>
          <w:rFonts w:eastAsia="AdvGulliv-R"/>
          <w:lang w:eastAsia="en-US"/>
        </w:rPr>
        <w:lastRenderedPageBreak/>
        <w:t xml:space="preserve">and also, </w:t>
      </w:r>
      <w:r w:rsidRPr="00A85C5A">
        <w:rPr>
          <w:i/>
          <w:iCs/>
          <w:lang w:eastAsia="en-US"/>
        </w:rPr>
        <w:t xml:space="preserve">K </w:t>
      </w:r>
      <w:r w:rsidRPr="00A85C5A">
        <w:rPr>
          <w:lang w:eastAsia="en-US"/>
        </w:rPr>
        <w:t>≥1 denotes ionic environment</w:t>
      </w:r>
      <w:r w:rsidRPr="00A85C5A">
        <w:rPr>
          <w:i/>
          <w:iCs/>
          <w:lang w:eastAsia="en-US"/>
        </w:rPr>
        <w:t xml:space="preserve"> </w:t>
      </w:r>
      <w:r w:rsidRPr="00A85C5A">
        <w:rPr>
          <w:lang w:eastAsia="en-US"/>
        </w:rPr>
        <w:t xml:space="preserve">and </w:t>
      </w:r>
      <w:r w:rsidRPr="00A85C5A">
        <w:rPr>
          <w:i/>
          <w:iCs/>
          <w:lang w:eastAsia="en-US"/>
        </w:rPr>
        <w:t>K &lt;</w:t>
      </w:r>
      <w:r w:rsidRPr="00A85C5A">
        <w:rPr>
          <w:lang w:eastAsia="en-US"/>
        </w:rPr>
        <w:t xml:space="preserve"> 1 assigns covalent environment, the observed value of</w:t>
      </w:r>
      <w:r w:rsidRPr="00A85C5A">
        <w:rPr>
          <w:i/>
          <w:iCs/>
          <w:lang w:eastAsia="en-US"/>
        </w:rPr>
        <w:t xml:space="preserve"> K </w:t>
      </w:r>
      <w:r w:rsidRPr="00A85C5A">
        <w:rPr>
          <w:lang w:eastAsia="en-US"/>
        </w:rPr>
        <w:t>(0.27) was less than 1.0 which designates the greater covalent character.</w:t>
      </w:r>
      <w:r w:rsidRPr="00A85C5A">
        <w:rPr>
          <w:i/>
          <w:iCs/>
          <w:lang w:eastAsia="en-US"/>
        </w:rPr>
        <w:t xml:space="preserve"> </w:t>
      </w:r>
      <w:r w:rsidRPr="00A85C5A">
        <w:rPr>
          <w:rFonts w:eastAsia="AdvGulliv-R"/>
          <w:lang w:eastAsia="en-US"/>
        </w:rPr>
        <w:t xml:space="preserve">The values are </w:t>
      </w:r>
      <w:r w:rsidRPr="00A85C5A">
        <w:rPr>
          <w:lang w:eastAsia="en-US"/>
        </w:rPr>
        <w:t>calculated from the equation (</w:t>
      </w:r>
      <w:r w:rsidR="0089429C" w:rsidRPr="00A85C5A">
        <w:rPr>
          <w:lang w:eastAsia="en-US"/>
        </w:rPr>
        <w:t xml:space="preserve">S10 </w:t>
      </w:r>
      <w:r w:rsidRPr="00A85C5A">
        <w:rPr>
          <w:lang w:eastAsia="en-US"/>
        </w:rPr>
        <w:t>–</w:t>
      </w:r>
      <w:r w:rsidR="0089429C" w:rsidRPr="00A85C5A">
        <w:rPr>
          <w:lang w:eastAsia="en-US"/>
        </w:rPr>
        <w:t xml:space="preserve"> S14</w:t>
      </w:r>
      <w:r w:rsidRPr="00A85C5A">
        <w:rPr>
          <w:lang w:eastAsia="en-US"/>
        </w:rPr>
        <w:t>).</w:t>
      </w:r>
    </w:p>
    <w:p w:rsidR="00EC6E98" w:rsidRPr="00A85C5A" w:rsidRDefault="00EA6BE4" w:rsidP="00EC6E98">
      <w:pPr>
        <w:tabs>
          <w:tab w:val="left" w:pos="1155"/>
        </w:tabs>
        <w:overflowPunct w:val="0"/>
        <w:autoSpaceDE w:val="0"/>
        <w:autoSpaceDN w:val="0"/>
        <w:adjustRightInd w:val="0"/>
        <w:contextualSpacing/>
        <w:jc w:val="center"/>
        <w:textAlignment w:val="baseline"/>
        <w:rPr>
          <w:lang w:eastAsia="en-US"/>
        </w:rPr>
      </w:pPr>
      <m:oMath>
        <m:sSubSup>
          <m:sSubSupPr>
            <m:ctrlPr>
              <w:rPr>
                <w:rFonts w:ascii="Cambria Math" w:eastAsia="AdvTimes" w:hAnsi="Cambria Math"/>
                <w:i/>
                <w:iCs/>
                <w:lang w:eastAsia="en-US"/>
              </w:rPr>
            </m:ctrlPr>
          </m:sSubSupPr>
          <m:e>
            <m:r>
              <w:rPr>
                <w:rFonts w:ascii="Cambria Math" w:eastAsia="AdvTimes" w:hAnsi="Cambria Math"/>
                <w:lang w:eastAsia="en-US"/>
              </w:rPr>
              <m:t>K</m:t>
            </m:r>
          </m:e>
          <m:sub>
            <m:r>
              <w:rPr>
                <w:rFonts w:ascii="Cambria Math"/>
                <w:vertAlign w:val="subscript"/>
                <w:lang w:eastAsia="en-US"/>
              </w:rPr>
              <m:t>||</m:t>
            </m:r>
          </m:sub>
          <m:sup>
            <m:r>
              <w:rPr>
                <w:rFonts w:ascii="Cambria Math" w:eastAsia="AdvTimes"/>
                <w:lang w:eastAsia="en-US"/>
              </w:rPr>
              <m:t>2</m:t>
            </m:r>
          </m:sup>
        </m:sSubSup>
        <m:r>
          <w:rPr>
            <w:rFonts w:ascii="Cambria Math" w:eastAsia="AdvTimes"/>
            <w:lang w:eastAsia="en-US"/>
          </w:rPr>
          <m:t>=</m:t>
        </m:r>
        <m:sSub>
          <m:sSubPr>
            <m:ctrlPr>
              <w:rPr>
                <w:rFonts w:ascii="Cambria Math" w:hAnsi="Cambria Math"/>
                <w:i/>
                <w:iCs/>
                <w:lang w:eastAsia="en-US"/>
              </w:rPr>
            </m:ctrlPr>
          </m:sSubPr>
          <m:e>
            <m:r>
              <w:rPr>
                <w:rFonts w:ascii="Cambria Math"/>
                <w:lang w:eastAsia="en-US"/>
              </w:rPr>
              <m:t>(</m:t>
            </m:r>
            <m:r>
              <w:rPr>
                <w:rFonts w:ascii="Cambria Math" w:hAnsi="Cambria Math"/>
                <w:lang w:eastAsia="en-US"/>
              </w:rPr>
              <m:t>g</m:t>
            </m:r>
          </m:e>
          <m:sub>
            <m:r>
              <w:rPr>
                <w:rFonts w:ascii="Cambria Math"/>
                <w:vertAlign w:val="subscript"/>
                <w:lang w:eastAsia="en-US"/>
              </w:rPr>
              <m:t xml:space="preserve">|| </m:t>
            </m:r>
          </m:sub>
        </m:sSub>
        <m:r>
          <w:rPr>
            <w:rFonts w:ascii="Cambria Math"/>
            <w:lang w:eastAsia="en-US"/>
          </w:rPr>
          <m:t>-</m:t>
        </m:r>
        <m:r>
          <w:rPr>
            <w:rFonts w:ascii="Cambria Math"/>
            <w:lang w:eastAsia="en-US"/>
          </w:rPr>
          <m:t>2.00277)(</m:t>
        </m:r>
        <m:f>
          <m:fPr>
            <m:ctrlPr>
              <w:rPr>
                <w:rFonts w:ascii="Cambria Math" w:hAnsi="Cambria Math"/>
                <w:i/>
                <w:iCs/>
                <w:lang w:eastAsia="en-US"/>
              </w:rPr>
            </m:ctrlPr>
          </m:fPr>
          <m:num>
            <m:sSub>
              <m:sSubPr>
                <m:ctrlPr>
                  <w:rPr>
                    <w:rFonts w:ascii="Cambria Math" w:hAnsi="Cambria Math"/>
                    <w:i/>
                    <w:iCs/>
                    <w:lang w:eastAsia="en-US"/>
                  </w:rPr>
                </m:ctrlPr>
              </m:sSubPr>
              <m:e>
                <m:r>
                  <w:rPr>
                    <w:rFonts w:ascii="Cambria Math" w:hAnsi="Cambria Math"/>
                    <w:lang w:eastAsia="en-US"/>
                  </w:rPr>
                  <m:t>E</m:t>
                </m:r>
              </m:e>
              <m:sub>
                <m:r>
                  <w:rPr>
                    <w:rFonts w:ascii="Cambria Math" w:hAnsi="Cambria Math"/>
                    <w:lang w:eastAsia="en-US"/>
                  </w:rPr>
                  <m:t>d-d</m:t>
                </m:r>
              </m:sub>
            </m:sSub>
          </m:num>
          <m:den>
            <m:r>
              <w:rPr>
                <w:rFonts w:ascii="Cambria Math"/>
                <w:lang w:eastAsia="en-US"/>
              </w:rPr>
              <m:t>-</m:t>
            </m:r>
            <m:r>
              <w:rPr>
                <w:rFonts w:ascii="Cambria Math"/>
                <w:lang w:eastAsia="en-US"/>
              </w:rPr>
              <m:t>8</m:t>
            </m:r>
            <m:sSub>
              <m:sSubPr>
                <m:ctrlPr>
                  <w:rPr>
                    <w:rFonts w:ascii="Cambria Math" w:hAnsi="Cambria Math"/>
                    <w:i/>
                    <w:iCs/>
                    <w:lang w:eastAsia="en-US"/>
                  </w:rPr>
                </m:ctrlPr>
              </m:sSubPr>
              <m:e>
                <m:r>
                  <w:rPr>
                    <w:rFonts w:ascii="Cambria Math" w:hAnsi="Cambria Math"/>
                    <w:lang w:eastAsia="en-US"/>
                  </w:rPr>
                  <m:t>λ</m:t>
                </m:r>
              </m:e>
              <m:sub>
                <m:r>
                  <w:rPr>
                    <w:rFonts w:ascii="Cambria Math"/>
                    <w:lang w:eastAsia="en-US"/>
                  </w:rPr>
                  <m:t>0</m:t>
                </m:r>
              </m:sub>
            </m:sSub>
          </m:den>
        </m:f>
        <m:r>
          <w:rPr>
            <w:rFonts w:ascii="Cambria Math"/>
            <w:lang w:eastAsia="en-US"/>
          </w:rPr>
          <m:t>)</m:t>
        </m:r>
      </m:oMath>
      <w:r w:rsidR="00EC6E98" w:rsidRPr="00A85C5A">
        <w:rPr>
          <w:iCs/>
          <w:lang w:eastAsia="en-US"/>
        </w:rPr>
        <w:t xml:space="preserve">    </w:t>
      </w:r>
      <w:r w:rsidR="00EC6E98" w:rsidRPr="00A85C5A">
        <w:rPr>
          <w:rFonts w:eastAsia="AdvTimes"/>
          <w:iCs/>
          <w:lang w:eastAsia="en-US"/>
        </w:rPr>
        <w:t xml:space="preserve">                                                       (</w:t>
      </w:r>
      <w:r w:rsidR="0089429C" w:rsidRPr="00A85C5A">
        <w:rPr>
          <w:lang w:eastAsia="en-US"/>
        </w:rPr>
        <w:t>S10</w:t>
      </w:r>
      <w:r w:rsidR="00EC6E98" w:rsidRPr="00A85C5A">
        <w:rPr>
          <w:rFonts w:eastAsia="AdvTimes"/>
          <w:iCs/>
          <w:lang w:eastAsia="en-US"/>
        </w:rPr>
        <w:t>)</w:t>
      </w:r>
    </w:p>
    <w:p w:rsidR="00EC6E98" w:rsidRPr="00A85C5A" w:rsidRDefault="00EA6BE4" w:rsidP="00EC6E98">
      <w:pPr>
        <w:overflowPunct w:val="0"/>
        <w:autoSpaceDE w:val="0"/>
        <w:autoSpaceDN w:val="0"/>
        <w:adjustRightInd w:val="0"/>
        <w:contextualSpacing/>
        <w:jc w:val="center"/>
        <w:textAlignment w:val="baseline"/>
        <w:rPr>
          <w:rFonts w:eastAsia="AdvTimes"/>
          <w:lang w:eastAsia="en-US"/>
        </w:rPr>
      </w:pPr>
      <m:oMath>
        <m:sSubSup>
          <m:sSubSupPr>
            <m:ctrlPr>
              <w:rPr>
                <w:rFonts w:ascii="Cambria Math" w:eastAsia="AdvTimes" w:hAnsi="Cambria Math"/>
                <w:i/>
                <w:iCs/>
                <w:lang w:eastAsia="en-US"/>
              </w:rPr>
            </m:ctrlPr>
          </m:sSubSupPr>
          <m:e>
            <m:r>
              <w:rPr>
                <w:rFonts w:ascii="Cambria Math" w:eastAsia="AdvTimes" w:hAnsi="Cambria Math"/>
                <w:lang w:eastAsia="en-US"/>
              </w:rPr>
              <m:t>K</m:t>
            </m:r>
          </m:e>
          <m:sub>
            <m:r>
              <w:rPr>
                <w:rFonts w:ascii="Cambria Math" w:hAnsi="Cambria Math"/>
                <w:vertAlign w:val="subscript"/>
                <w:lang w:eastAsia="en-US"/>
              </w:rPr>
              <m:t>⊥</m:t>
            </m:r>
          </m:sub>
          <m:sup>
            <m:r>
              <w:rPr>
                <w:rFonts w:ascii="Cambria Math" w:eastAsia="AdvTimes"/>
                <w:lang w:eastAsia="en-US"/>
              </w:rPr>
              <m:t>2</m:t>
            </m:r>
          </m:sup>
        </m:sSubSup>
        <m:r>
          <w:rPr>
            <w:rFonts w:ascii="Cambria Math" w:eastAsia="AdvTimes"/>
            <w:lang w:eastAsia="en-US"/>
          </w:rPr>
          <m:t>=</m:t>
        </m:r>
        <m:sSub>
          <m:sSubPr>
            <m:ctrlPr>
              <w:rPr>
                <w:rFonts w:ascii="Cambria Math" w:hAnsi="Cambria Math"/>
                <w:i/>
                <w:iCs/>
                <w:lang w:eastAsia="en-US"/>
              </w:rPr>
            </m:ctrlPr>
          </m:sSubPr>
          <m:e>
            <m:r>
              <w:rPr>
                <w:rFonts w:ascii="Cambria Math"/>
                <w:lang w:eastAsia="en-US"/>
              </w:rPr>
              <m:t>(</m:t>
            </m:r>
            <m:r>
              <w:rPr>
                <w:rFonts w:ascii="Cambria Math" w:hAnsi="Cambria Math"/>
                <w:lang w:eastAsia="en-US"/>
              </w:rPr>
              <m:t>g</m:t>
            </m:r>
          </m:e>
          <m:sub>
            <m:r>
              <w:rPr>
                <w:rFonts w:ascii="Cambria Math" w:hAnsi="Cambria Math"/>
                <w:vertAlign w:val="subscript"/>
                <w:lang w:eastAsia="en-US"/>
              </w:rPr>
              <m:t>⊥</m:t>
            </m:r>
          </m:sub>
        </m:sSub>
        <m:r>
          <w:rPr>
            <w:rFonts w:ascii="Cambria Math"/>
            <w:lang w:eastAsia="en-US"/>
          </w:rPr>
          <m:t>-</m:t>
        </m:r>
        <m:r>
          <w:rPr>
            <w:rFonts w:ascii="Cambria Math"/>
            <w:lang w:eastAsia="en-US"/>
          </w:rPr>
          <m:t>2.00277)(</m:t>
        </m:r>
        <m:f>
          <m:fPr>
            <m:ctrlPr>
              <w:rPr>
                <w:rFonts w:ascii="Cambria Math" w:hAnsi="Cambria Math"/>
                <w:i/>
                <w:iCs/>
                <w:lang w:eastAsia="en-US"/>
              </w:rPr>
            </m:ctrlPr>
          </m:fPr>
          <m:num>
            <m:sSub>
              <m:sSubPr>
                <m:ctrlPr>
                  <w:rPr>
                    <w:rFonts w:ascii="Cambria Math" w:hAnsi="Cambria Math"/>
                    <w:i/>
                    <w:iCs/>
                    <w:lang w:eastAsia="en-US"/>
                  </w:rPr>
                </m:ctrlPr>
              </m:sSubPr>
              <m:e>
                <m:r>
                  <w:rPr>
                    <w:rFonts w:ascii="Cambria Math" w:hAnsi="Cambria Math"/>
                    <w:lang w:eastAsia="en-US"/>
                  </w:rPr>
                  <m:t>E</m:t>
                </m:r>
              </m:e>
              <m:sub>
                <m:r>
                  <w:rPr>
                    <w:rFonts w:ascii="Cambria Math" w:hAnsi="Cambria Math"/>
                    <w:lang w:eastAsia="en-US"/>
                  </w:rPr>
                  <m:t>d-d</m:t>
                </m:r>
              </m:sub>
            </m:sSub>
          </m:num>
          <m:den>
            <m:r>
              <w:rPr>
                <w:rFonts w:ascii="Cambria Math"/>
                <w:lang w:eastAsia="en-US"/>
              </w:rPr>
              <m:t>-</m:t>
            </m:r>
            <m:r>
              <w:rPr>
                <w:rFonts w:ascii="Cambria Math"/>
                <w:lang w:eastAsia="en-US"/>
              </w:rPr>
              <m:t>2</m:t>
            </m:r>
            <m:sSub>
              <m:sSubPr>
                <m:ctrlPr>
                  <w:rPr>
                    <w:rFonts w:ascii="Cambria Math" w:hAnsi="Cambria Math"/>
                    <w:i/>
                    <w:iCs/>
                    <w:lang w:eastAsia="en-US"/>
                  </w:rPr>
                </m:ctrlPr>
              </m:sSubPr>
              <m:e>
                <m:r>
                  <w:rPr>
                    <w:rFonts w:ascii="Cambria Math" w:hAnsi="Cambria Math"/>
                    <w:lang w:eastAsia="en-US"/>
                  </w:rPr>
                  <m:t>λ</m:t>
                </m:r>
              </m:e>
              <m:sub>
                <m:r>
                  <w:rPr>
                    <w:rFonts w:ascii="Cambria Math"/>
                    <w:lang w:eastAsia="en-US"/>
                  </w:rPr>
                  <m:t>0</m:t>
                </m:r>
              </m:sub>
            </m:sSub>
          </m:den>
        </m:f>
        <m:r>
          <w:rPr>
            <w:rFonts w:ascii="Cambria Math"/>
            <w:lang w:eastAsia="en-US"/>
          </w:rPr>
          <m:t xml:space="preserve">) </m:t>
        </m:r>
      </m:oMath>
      <w:r w:rsidR="00EC6E98" w:rsidRPr="00A85C5A">
        <w:rPr>
          <w:i/>
          <w:iCs/>
          <w:lang w:eastAsia="en-US"/>
        </w:rPr>
        <w:t xml:space="preserve"> </w:t>
      </w:r>
      <w:r w:rsidR="00EC6E98" w:rsidRPr="00A85C5A">
        <w:rPr>
          <w:lang w:eastAsia="en-US"/>
        </w:rPr>
        <w:t xml:space="preserve">  </w:t>
      </w:r>
      <w:r w:rsidR="00EC6E98" w:rsidRPr="00A85C5A">
        <w:rPr>
          <w:rFonts w:eastAsia="AdvTimes"/>
          <w:lang w:eastAsia="en-US"/>
        </w:rPr>
        <w:t xml:space="preserve">                                                        (</w:t>
      </w:r>
      <w:r w:rsidR="0089429C" w:rsidRPr="00A85C5A">
        <w:rPr>
          <w:lang w:eastAsia="en-US"/>
        </w:rPr>
        <w:t>S11</w:t>
      </w:r>
      <w:r w:rsidR="00EC6E98" w:rsidRPr="00A85C5A">
        <w:rPr>
          <w:rFonts w:eastAsia="AdvTimes"/>
          <w:lang w:eastAsia="en-US"/>
        </w:rPr>
        <w:t>)</w:t>
      </w:r>
    </w:p>
    <w:p w:rsidR="00EC6E98" w:rsidRPr="00A85C5A" w:rsidRDefault="00EC6E98" w:rsidP="00EC6E98">
      <w:pPr>
        <w:overflowPunct w:val="0"/>
        <w:autoSpaceDE w:val="0"/>
        <w:autoSpaceDN w:val="0"/>
        <w:adjustRightInd w:val="0"/>
        <w:contextualSpacing/>
        <w:jc w:val="center"/>
        <w:textAlignment w:val="baseline"/>
        <w:rPr>
          <w:rFonts w:eastAsia="AdvTimes"/>
          <w:lang w:eastAsia="en-US"/>
        </w:rPr>
      </w:pPr>
      <m:oMath>
        <m:r>
          <w:rPr>
            <w:rFonts w:ascii="Cambria Math" w:eastAsia="AdvTimes" w:hAnsi="Cambria Math"/>
            <w:lang w:eastAsia="en-US"/>
          </w:rPr>
          <m:t>K</m:t>
        </m:r>
        <m:r>
          <w:rPr>
            <w:rFonts w:ascii="Cambria Math" w:eastAsia="AdvTimes"/>
            <w:lang w:eastAsia="en-US"/>
          </w:rPr>
          <m:t>=</m:t>
        </m:r>
        <m:f>
          <m:fPr>
            <m:ctrlPr>
              <w:rPr>
                <w:rFonts w:ascii="Cambria Math" w:hAnsi="Cambria Math"/>
                <w:i/>
                <w:iCs/>
                <w:lang w:eastAsia="en-US"/>
              </w:rPr>
            </m:ctrlPr>
          </m:fPr>
          <m:num>
            <m:sSubSup>
              <m:sSubSupPr>
                <m:ctrlPr>
                  <w:rPr>
                    <w:rFonts w:ascii="Cambria Math" w:eastAsia="AdvTimes" w:hAnsi="Cambria Math"/>
                    <w:i/>
                    <w:iCs/>
                    <w:lang w:eastAsia="en-US"/>
                  </w:rPr>
                </m:ctrlPr>
              </m:sSubSupPr>
              <m:e>
                <m:r>
                  <w:rPr>
                    <w:rFonts w:ascii="Cambria Math" w:eastAsia="AdvTimes"/>
                    <w:lang w:eastAsia="en-US"/>
                  </w:rPr>
                  <m:t>(</m:t>
                </m:r>
                <m:r>
                  <w:rPr>
                    <w:rFonts w:ascii="Cambria Math" w:eastAsia="AdvTimes" w:hAnsi="Cambria Math"/>
                    <w:lang w:eastAsia="en-US"/>
                  </w:rPr>
                  <m:t>K</m:t>
                </m:r>
              </m:e>
              <m:sub>
                <m:r>
                  <w:rPr>
                    <w:rFonts w:ascii="Cambria Math"/>
                    <w:vertAlign w:val="subscript"/>
                    <w:lang w:eastAsia="en-US"/>
                  </w:rPr>
                  <m:t>||</m:t>
                </m:r>
              </m:sub>
              <m:sup>
                <m:r>
                  <w:rPr>
                    <w:rFonts w:ascii="Cambria Math" w:eastAsia="AdvTimes"/>
                    <w:lang w:eastAsia="en-US"/>
                  </w:rPr>
                  <m:t xml:space="preserve">2 </m:t>
                </m:r>
              </m:sup>
            </m:sSubSup>
            <m:r>
              <w:rPr>
                <w:rFonts w:ascii="Cambria Math"/>
                <w:lang w:eastAsia="en-US"/>
              </w:rPr>
              <m:t xml:space="preserve"> +  2</m:t>
            </m:r>
            <m:sSubSup>
              <m:sSubSupPr>
                <m:ctrlPr>
                  <w:rPr>
                    <w:rFonts w:ascii="Cambria Math" w:eastAsia="AdvTimes" w:hAnsi="Cambria Math"/>
                    <w:i/>
                    <w:iCs/>
                    <w:lang w:eastAsia="en-US"/>
                  </w:rPr>
                </m:ctrlPr>
              </m:sSubSupPr>
              <m:e>
                <m:r>
                  <w:rPr>
                    <w:rFonts w:ascii="Cambria Math" w:eastAsia="AdvTimes" w:hAnsi="Cambria Math"/>
                    <w:lang w:eastAsia="en-US"/>
                  </w:rPr>
                  <m:t>K</m:t>
                </m:r>
              </m:e>
              <m:sub>
                <m:r>
                  <w:rPr>
                    <w:rFonts w:ascii="Cambria Math" w:hAnsi="Cambria Math"/>
                    <w:vertAlign w:val="subscript"/>
                    <w:lang w:eastAsia="en-US"/>
                  </w:rPr>
                  <m:t>⊥</m:t>
                </m:r>
              </m:sub>
              <m:sup>
                <m:r>
                  <w:rPr>
                    <w:rFonts w:ascii="Cambria Math" w:eastAsia="AdvTimes"/>
                    <w:lang w:eastAsia="en-US"/>
                  </w:rPr>
                  <m:t>2</m:t>
                </m:r>
              </m:sup>
            </m:sSubSup>
            <m:r>
              <w:rPr>
                <w:rFonts w:ascii="Cambria Math"/>
                <w:lang w:eastAsia="en-US"/>
              </w:rPr>
              <m:t>)</m:t>
            </m:r>
          </m:num>
          <m:den>
            <m:r>
              <w:rPr>
                <w:rFonts w:ascii="Cambria Math"/>
                <w:lang w:eastAsia="en-US"/>
              </w:rPr>
              <m:t>3</m:t>
            </m:r>
          </m:den>
        </m:f>
      </m:oMath>
      <w:r w:rsidRPr="00A85C5A">
        <w:rPr>
          <w:rFonts w:eastAsia="AdvTimes"/>
          <w:iCs/>
          <w:lang w:eastAsia="en-US"/>
        </w:rPr>
        <w:t xml:space="preserve">                                                                                   </w:t>
      </w:r>
      <w:r w:rsidRPr="00A85C5A">
        <w:rPr>
          <w:rFonts w:eastAsia="AdvTimes"/>
          <w:lang w:eastAsia="en-US"/>
        </w:rPr>
        <w:t>(</w:t>
      </w:r>
      <w:r w:rsidR="0089429C" w:rsidRPr="00A85C5A">
        <w:rPr>
          <w:lang w:eastAsia="en-US"/>
        </w:rPr>
        <w:t>S12</w:t>
      </w:r>
      <w:r w:rsidRPr="00A85C5A">
        <w:rPr>
          <w:rFonts w:eastAsia="AdvTimes"/>
          <w:lang w:eastAsia="en-US"/>
        </w:rPr>
        <w:t>)</w:t>
      </w:r>
    </w:p>
    <w:p w:rsidR="00EC6E98" w:rsidRPr="00A85C5A" w:rsidRDefault="00EA6BE4" w:rsidP="00EC6E98">
      <w:pPr>
        <w:overflowPunct w:val="0"/>
        <w:autoSpaceDE w:val="0"/>
        <w:autoSpaceDN w:val="0"/>
        <w:adjustRightInd w:val="0"/>
        <w:contextualSpacing/>
        <w:jc w:val="center"/>
        <w:textAlignment w:val="baseline"/>
        <w:rPr>
          <w:rFonts w:eastAsia="AdvTimes"/>
          <w:b/>
          <w:bCs/>
          <w:lang w:eastAsia="en-US"/>
        </w:rPr>
      </w:pPr>
      <m:oMath>
        <m:sSub>
          <m:sSubPr>
            <m:ctrlPr>
              <w:rPr>
                <w:rFonts w:ascii="Cambria Math" w:hAnsi="Cambria Math"/>
                <w:iCs/>
                <w:lang w:eastAsia="en-US"/>
              </w:rPr>
            </m:ctrlPr>
          </m:sSubPr>
          <m:e>
            <m:r>
              <m:rPr>
                <m:sty m:val="p"/>
              </m:rPr>
              <w:rPr>
                <w:rFonts w:ascii="Cambria Math"/>
                <w:lang w:val="en-IN" w:eastAsia="en-IN" w:bidi="ta-IN"/>
              </w:rPr>
              <m:t>µ</m:t>
            </m:r>
          </m:e>
          <m:sub>
            <m:r>
              <m:rPr>
                <m:sty m:val="p"/>
              </m:rPr>
              <w:rPr>
                <w:rFonts w:ascii="Cambria Math" w:hAnsi="Cambria Math"/>
                <w:vertAlign w:val="subscript"/>
                <w:lang w:eastAsia="en-US"/>
              </w:rPr>
              <m:t>eff</m:t>
            </m:r>
          </m:sub>
        </m:sSub>
        <m:r>
          <w:rPr>
            <w:rFonts w:ascii="Cambria Math" w:eastAsia="AdvTimes"/>
            <w:lang w:eastAsia="en-US"/>
          </w:rPr>
          <m:t>=</m:t>
        </m:r>
        <m:sSub>
          <m:sSubPr>
            <m:ctrlPr>
              <w:rPr>
                <w:rFonts w:ascii="Cambria Math" w:hAnsi="Cambria Math"/>
                <w:i/>
                <w:lang w:eastAsia="en-US"/>
              </w:rPr>
            </m:ctrlPr>
          </m:sSubPr>
          <m:e>
            <m:r>
              <w:rPr>
                <w:rFonts w:ascii="Cambria Math" w:hAnsi="Cambria Math"/>
                <w:lang w:eastAsia="en-US"/>
              </w:rPr>
              <m:t>g</m:t>
            </m:r>
          </m:e>
          <m:sub>
            <m:r>
              <w:rPr>
                <w:rFonts w:ascii="Cambria Math" w:hAnsi="Cambria Math"/>
                <w:vertAlign w:val="subscript"/>
                <w:lang w:eastAsia="en-US"/>
              </w:rPr>
              <m:t>av</m:t>
            </m:r>
          </m:sub>
        </m:sSub>
        <m:r>
          <w:rPr>
            <w:rFonts w:ascii="Cambria Math"/>
            <w:lang w:eastAsia="en-US"/>
          </w:rPr>
          <m:t xml:space="preserve"> </m:t>
        </m:r>
        <m:sSup>
          <m:sSupPr>
            <m:ctrlPr>
              <w:rPr>
                <w:rFonts w:ascii="Cambria Math" w:hAnsi="Cambria Math"/>
                <w:i/>
                <w:lang w:eastAsia="en-US"/>
              </w:rPr>
            </m:ctrlPr>
          </m:sSupPr>
          <m:e>
            <m:r>
              <w:rPr>
                <w:rFonts w:ascii="Cambria Math"/>
                <w:lang w:eastAsia="en-US"/>
              </w:rPr>
              <m:t>[</m:t>
            </m:r>
            <m:r>
              <w:rPr>
                <w:rFonts w:ascii="Cambria Math" w:hAnsi="Cambria Math"/>
                <w:lang w:eastAsia="en-US"/>
              </w:rPr>
              <m:t>S</m:t>
            </m:r>
            <m:r>
              <w:rPr>
                <w:rFonts w:ascii="Cambria Math"/>
                <w:lang w:eastAsia="en-US"/>
              </w:rPr>
              <m:t>(</m:t>
            </m:r>
            <m:r>
              <w:rPr>
                <w:rFonts w:ascii="Cambria Math" w:hAnsi="Cambria Math"/>
                <w:lang w:eastAsia="en-US"/>
              </w:rPr>
              <m:t>S</m:t>
            </m:r>
            <m:r>
              <w:rPr>
                <w:rFonts w:ascii="Cambria Math"/>
                <w:lang w:eastAsia="en-US"/>
              </w:rPr>
              <m:t>+1)]</m:t>
            </m:r>
          </m:e>
          <m:sup>
            <m:f>
              <m:fPr>
                <m:type m:val="skw"/>
                <m:ctrlPr>
                  <w:rPr>
                    <w:rFonts w:ascii="Cambria Math" w:hAnsi="Cambria Math"/>
                    <w:i/>
                    <w:lang w:eastAsia="en-US"/>
                  </w:rPr>
                </m:ctrlPr>
              </m:fPr>
              <m:num>
                <m:r>
                  <w:rPr>
                    <w:rFonts w:ascii="Cambria Math"/>
                    <w:lang w:eastAsia="en-US"/>
                  </w:rPr>
                  <m:t>1</m:t>
                </m:r>
              </m:num>
              <m:den>
                <m:r>
                  <w:rPr>
                    <w:rFonts w:ascii="Cambria Math"/>
                    <w:lang w:eastAsia="en-US"/>
                  </w:rPr>
                  <m:t>2</m:t>
                </m:r>
              </m:den>
            </m:f>
          </m:sup>
        </m:sSup>
        <m:r>
          <m:rPr>
            <m:sty m:val="p"/>
          </m:rPr>
          <w:rPr>
            <w:rFonts w:ascii="Cambria Math"/>
            <w:lang w:eastAsia="en-US"/>
          </w:rPr>
          <m:t xml:space="preserve"> </m:t>
        </m:r>
      </m:oMath>
      <w:r w:rsidR="00EC6E98" w:rsidRPr="00A85C5A">
        <w:rPr>
          <w:lang w:eastAsia="en-US"/>
        </w:rPr>
        <w:t xml:space="preserve">   </w:t>
      </w:r>
      <w:r w:rsidR="00EC6E98" w:rsidRPr="00A85C5A">
        <w:rPr>
          <w:rFonts w:eastAsia="AdvTimes"/>
          <w:lang w:eastAsia="en-US"/>
        </w:rPr>
        <w:t xml:space="preserve">                                                              (</w:t>
      </w:r>
      <w:r w:rsidR="0089429C" w:rsidRPr="00A85C5A">
        <w:rPr>
          <w:lang w:eastAsia="en-US"/>
        </w:rPr>
        <w:t>S13</w:t>
      </w:r>
      <w:r w:rsidR="00EC6E98" w:rsidRPr="00A85C5A">
        <w:rPr>
          <w:rFonts w:eastAsia="AdvTimes"/>
          <w:b/>
          <w:bCs/>
          <w:lang w:eastAsia="en-US"/>
        </w:rPr>
        <w:t>)</w:t>
      </w:r>
    </w:p>
    <w:p w:rsidR="00EC6E98" w:rsidRPr="00A85C5A" w:rsidRDefault="00EA6BE4" w:rsidP="00EC6E98">
      <w:pPr>
        <w:overflowPunct w:val="0"/>
        <w:autoSpaceDE w:val="0"/>
        <w:autoSpaceDN w:val="0"/>
        <w:adjustRightInd w:val="0"/>
        <w:contextualSpacing/>
        <w:jc w:val="center"/>
        <w:textAlignment w:val="baseline"/>
        <w:rPr>
          <w:rFonts w:eastAsia="AdvTimes"/>
          <w:b/>
          <w:bCs/>
          <w:lang w:eastAsia="en-US"/>
        </w:rPr>
      </w:pPr>
      <m:oMath>
        <m:sSub>
          <m:sSubPr>
            <m:ctrlPr>
              <w:rPr>
                <w:rFonts w:ascii="Cambria Math" w:hAnsi="Cambria Math"/>
                <w:i/>
                <w:lang w:eastAsia="en-US"/>
              </w:rPr>
            </m:ctrlPr>
          </m:sSubPr>
          <m:e>
            <m:r>
              <w:rPr>
                <w:rFonts w:ascii="Cambria Math" w:hAnsi="Cambria Math"/>
                <w:lang w:eastAsia="en-US"/>
              </w:rPr>
              <m:t>f</m:t>
            </m:r>
          </m:e>
          <m:sub>
            <m:r>
              <w:rPr>
                <w:rFonts w:ascii="Cambria Math"/>
                <w:vertAlign w:val="subscript"/>
                <w:lang w:eastAsia="en-US"/>
              </w:rPr>
              <m:t xml:space="preserve">|| </m:t>
            </m:r>
          </m:sub>
        </m:sSub>
        <m:r>
          <w:rPr>
            <w:rFonts w:ascii="Cambria Math"/>
            <w:lang w:eastAsia="en-US"/>
          </w:rPr>
          <m:t xml:space="preserve">= </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g</m:t>
                </m:r>
              </m:e>
              <m:sub>
                <m:r>
                  <w:rPr>
                    <w:rFonts w:ascii="Cambria Math"/>
                    <w:vertAlign w:val="subscript"/>
                    <w:lang w:eastAsia="en-US"/>
                  </w:rPr>
                  <m:t xml:space="preserve">|| </m:t>
                </m:r>
              </m:sub>
            </m:sSub>
          </m:num>
          <m:den>
            <m:sSub>
              <m:sSubPr>
                <m:ctrlPr>
                  <w:rPr>
                    <w:rFonts w:ascii="Cambria Math" w:hAnsi="Cambria Math"/>
                    <w:i/>
                    <w:lang w:eastAsia="en-US"/>
                  </w:rPr>
                </m:ctrlPr>
              </m:sSubPr>
              <m:e>
                <m:r>
                  <w:rPr>
                    <w:rFonts w:ascii="Cambria Math" w:hAnsi="Cambria Math"/>
                    <w:lang w:eastAsia="en-US"/>
                  </w:rPr>
                  <m:t>A</m:t>
                </m:r>
              </m:e>
              <m:sub>
                <m:r>
                  <w:rPr>
                    <w:rFonts w:ascii="Cambria Math"/>
                    <w:vertAlign w:val="subscript"/>
                    <w:lang w:eastAsia="en-US"/>
                  </w:rPr>
                  <m:t xml:space="preserve">|| </m:t>
                </m:r>
              </m:sub>
            </m:sSub>
          </m:den>
        </m:f>
      </m:oMath>
      <w:r w:rsidR="00EC6E98" w:rsidRPr="00A85C5A">
        <w:rPr>
          <w:rFonts w:eastAsia="AdvTimes"/>
          <w:iCs/>
          <w:lang w:eastAsia="en-US"/>
        </w:rPr>
        <w:t xml:space="preserve">                                                                                             (</w:t>
      </w:r>
      <w:r w:rsidR="0089429C" w:rsidRPr="00A85C5A">
        <w:rPr>
          <w:lang w:eastAsia="en-US"/>
        </w:rPr>
        <w:t>S14</w:t>
      </w:r>
      <w:r w:rsidR="00EC6E98" w:rsidRPr="00A85C5A">
        <w:rPr>
          <w:rFonts w:eastAsia="AdvTimes"/>
          <w:iCs/>
          <w:lang w:eastAsia="en-US"/>
        </w:rPr>
        <w:t>)</w:t>
      </w:r>
      <w:r w:rsidR="00EC6E98" w:rsidRPr="00A85C5A">
        <w:rPr>
          <w:iCs/>
          <w:lang w:eastAsia="en-US"/>
        </w:rPr>
        <w:t xml:space="preserve">  </w:t>
      </w:r>
      <w:r w:rsidR="00EC6E98" w:rsidRPr="00A85C5A">
        <w:rPr>
          <w:rFonts w:eastAsia="AdvTimes"/>
          <w:iCs/>
          <w:lang w:eastAsia="en-US"/>
        </w:rPr>
        <w:t xml:space="preserve">                                                       </w:t>
      </w:r>
    </w:p>
    <w:p w:rsidR="00EC6E98" w:rsidRPr="00A85C5A" w:rsidRDefault="00EC6E98" w:rsidP="00EC6E98">
      <w:pPr>
        <w:overflowPunct w:val="0"/>
        <w:autoSpaceDE w:val="0"/>
        <w:autoSpaceDN w:val="0"/>
        <w:adjustRightInd w:val="0"/>
        <w:contextualSpacing/>
        <w:jc w:val="both"/>
        <w:textAlignment w:val="baseline"/>
        <w:rPr>
          <w:lang w:eastAsia="en-US"/>
        </w:rPr>
      </w:pPr>
      <w:r w:rsidRPr="00A85C5A">
        <w:rPr>
          <w:rFonts w:eastAsia="AdvTimes"/>
          <w:lang w:eastAsia="en-US"/>
        </w:rPr>
        <w:t xml:space="preserve">Where, </w:t>
      </w:r>
      <w:r w:rsidRPr="00A85C5A">
        <w:rPr>
          <w:i/>
          <w:iCs/>
          <w:lang w:val="en-IN" w:eastAsia="en-IN"/>
        </w:rPr>
        <w:t>E</w:t>
      </w:r>
      <w:r w:rsidRPr="00A85C5A">
        <w:rPr>
          <w:i/>
          <w:iCs/>
          <w:vertAlign w:val="subscript"/>
          <w:lang w:val="en-IN" w:eastAsia="en-IN"/>
        </w:rPr>
        <w:t>d-d</w:t>
      </w:r>
      <w:r w:rsidRPr="00A85C5A">
        <w:rPr>
          <w:vertAlign w:val="subscript"/>
          <w:lang w:val="en-IN" w:eastAsia="en-IN" w:bidi="ta-IN"/>
        </w:rPr>
        <w:t xml:space="preserve"> </w:t>
      </w:r>
      <w:r w:rsidRPr="00A85C5A">
        <w:rPr>
          <w:lang w:val="en-IN" w:eastAsia="en-IN" w:bidi="ta-IN"/>
        </w:rPr>
        <w:t>= 15,503.87 cm</w:t>
      </w:r>
      <w:r w:rsidRPr="00A85C5A">
        <w:rPr>
          <w:vertAlign w:val="superscript"/>
          <w:lang w:val="en-IN" w:eastAsia="en-IN" w:bidi="ta-IN"/>
        </w:rPr>
        <w:t xml:space="preserve">-1 </w:t>
      </w:r>
      <w:r w:rsidRPr="00A85C5A">
        <w:rPr>
          <w:lang w:eastAsia="en-US"/>
        </w:rPr>
        <w:t xml:space="preserve">which is responsible </w:t>
      </w:r>
      <w:r w:rsidRPr="00A85C5A">
        <w:rPr>
          <w:lang w:val="en-IN" w:eastAsia="en-IN" w:bidi="ta-IN"/>
        </w:rPr>
        <w:t xml:space="preserve">for </w:t>
      </w:r>
      <w:r w:rsidRPr="00A85C5A">
        <w:rPr>
          <w:i/>
          <w:iCs/>
          <w:lang w:eastAsia="en-US"/>
        </w:rPr>
        <w:t>d-d</w:t>
      </w:r>
      <w:r w:rsidRPr="00A85C5A">
        <w:rPr>
          <w:lang w:eastAsia="en-US"/>
        </w:rPr>
        <w:t xml:space="preserve"> transition</w:t>
      </w:r>
      <w:r w:rsidRPr="00A85C5A">
        <w:rPr>
          <w:rFonts w:eastAsia="MS Mincho"/>
          <w:lang w:eastAsia="en-US"/>
        </w:rPr>
        <w:t xml:space="preserve"> </w:t>
      </w:r>
      <w:r w:rsidRPr="00A85C5A">
        <w:rPr>
          <w:lang w:val="en-IN" w:eastAsia="en-IN" w:bidi="ta-IN"/>
        </w:rPr>
        <w:t>of complex (</w:t>
      </w:r>
      <w:r w:rsidRPr="00A85C5A">
        <w:rPr>
          <w:b/>
          <w:bCs/>
          <w:lang w:val="en-IN" w:eastAsia="en-IN" w:bidi="ta-IN"/>
        </w:rPr>
        <w:t>1</w:t>
      </w:r>
      <w:r w:rsidRPr="00A85C5A">
        <w:rPr>
          <w:lang w:val="en-IN" w:eastAsia="en-IN" w:bidi="ta-IN"/>
        </w:rPr>
        <w:t xml:space="preserve">) at </w:t>
      </w:r>
      <w:r w:rsidRPr="00A85C5A">
        <w:rPr>
          <w:lang w:eastAsia="en-US"/>
        </w:rPr>
        <w:t>645 nm,</w:t>
      </w:r>
      <w:r w:rsidRPr="00A85C5A">
        <w:rPr>
          <w:lang w:val="en-IN" w:eastAsia="en-IN" w:bidi="ta-IN"/>
        </w:rPr>
        <w:t xml:space="preserve"> the calculated </w:t>
      </w:r>
      <w:r w:rsidRPr="00A85C5A">
        <w:rPr>
          <w:iCs/>
          <w:lang w:eastAsia="en-US"/>
        </w:rPr>
        <w:t>magnetic susceptibility (</w:t>
      </w:r>
      <w:r w:rsidRPr="00A85C5A">
        <w:rPr>
          <w:lang w:val="en-IN" w:eastAsia="en-IN" w:bidi="ta-IN"/>
        </w:rPr>
        <w:t>µ</w:t>
      </w:r>
      <w:r w:rsidRPr="00A85C5A">
        <w:rPr>
          <w:vertAlign w:val="subscript"/>
          <w:lang w:val="en-IN" w:eastAsia="en-IN" w:bidi="ta-IN"/>
        </w:rPr>
        <w:t>eff</w:t>
      </w:r>
      <w:r w:rsidRPr="00A85C5A">
        <w:rPr>
          <w:i/>
          <w:iCs/>
          <w:vertAlign w:val="subscript"/>
          <w:lang w:val="en-IN" w:eastAsia="en-IN" w:bidi="ta-IN"/>
        </w:rPr>
        <w:t xml:space="preserve">  </w:t>
      </w:r>
      <w:r w:rsidRPr="00A85C5A">
        <w:rPr>
          <w:lang w:val="en-IN" w:eastAsia="en-IN" w:bidi="ta-IN"/>
        </w:rPr>
        <w:t xml:space="preserve">= </w:t>
      </w:r>
      <w:r w:rsidRPr="00A85C5A">
        <w:rPr>
          <w:lang w:eastAsia="en-IN"/>
        </w:rPr>
        <w:t xml:space="preserve">1.55 </w:t>
      </w:r>
      <w:r w:rsidRPr="00A85C5A">
        <w:rPr>
          <w:lang w:val="en-IN" w:eastAsia="en-IN" w:bidi="ta-IN"/>
        </w:rPr>
        <w:t xml:space="preserve">B.M) </w:t>
      </w:r>
      <w:r w:rsidRPr="00A85C5A">
        <w:rPr>
          <w:iCs/>
          <w:lang w:eastAsia="en-US"/>
        </w:rPr>
        <w:t xml:space="preserve">value </w:t>
      </w:r>
      <w:r w:rsidRPr="00A85C5A">
        <w:rPr>
          <w:lang w:val="en-IN" w:eastAsia="en-IN" w:bidi="ta-IN"/>
        </w:rPr>
        <w:t>from the equation (</w:t>
      </w:r>
      <w:r w:rsidR="0089429C" w:rsidRPr="00A85C5A">
        <w:rPr>
          <w:lang w:eastAsia="en-US"/>
        </w:rPr>
        <w:t>S13</w:t>
      </w:r>
      <w:r w:rsidRPr="00A85C5A">
        <w:rPr>
          <w:lang w:val="en-IN" w:eastAsia="en-IN" w:bidi="ta-IN"/>
        </w:rPr>
        <w:t>) which was less than the observed value (µ</w:t>
      </w:r>
      <w:r w:rsidRPr="00A85C5A">
        <w:rPr>
          <w:vertAlign w:val="subscript"/>
          <w:lang w:val="en-IN" w:eastAsia="en-IN" w:bidi="ta-IN"/>
        </w:rPr>
        <w:t>exp</w:t>
      </w:r>
      <w:r w:rsidRPr="00A85C5A">
        <w:rPr>
          <w:i/>
          <w:iCs/>
          <w:vertAlign w:val="subscript"/>
          <w:lang w:val="en-IN" w:eastAsia="en-IN" w:bidi="ta-IN"/>
        </w:rPr>
        <w:t xml:space="preserve"> </w:t>
      </w:r>
      <w:r w:rsidRPr="00A85C5A">
        <w:rPr>
          <w:lang w:val="en-IN" w:eastAsia="en-IN" w:bidi="ta-IN"/>
        </w:rPr>
        <w:t xml:space="preserve">= 1.75 B.M) from the </w:t>
      </w:r>
      <w:r w:rsidRPr="00A85C5A">
        <w:rPr>
          <w:iCs/>
          <w:lang w:eastAsia="en-US"/>
        </w:rPr>
        <w:t>Guoy’s balance experiment</w:t>
      </w:r>
      <w:r w:rsidRPr="00A85C5A">
        <w:rPr>
          <w:lang w:val="en-IN" w:eastAsia="en-IN" w:bidi="ta-IN"/>
        </w:rPr>
        <w:t>, one-electron spin orbit coupling constant of free Cu(II) ion (λ</w:t>
      </w:r>
      <w:r w:rsidRPr="00A85C5A">
        <w:rPr>
          <w:vertAlign w:val="subscript"/>
          <w:lang w:val="en-IN" w:eastAsia="en-IN" w:bidi="ta-IN"/>
        </w:rPr>
        <w:t>0</w:t>
      </w:r>
      <w:r w:rsidRPr="00A85C5A">
        <w:rPr>
          <w:lang w:val="en-IN" w:eastAsia="en-IN" w:bidi="ta-IN"/>
        </w:rPr>
        <w:t>) = - 828 cm</w:t>
      </w:r>
      <w:r w:rsidRPr="00A85C5A">
        <w:rPr>
          <w:vertAlign w:val="superscript"/>
          <w:lang w:val="en-IN" w:eastAsia="en-IN" w:bidi="ta-IN"/>
        </w:rPr>
        <w:t>-1</w:t>
      </w:r>
      <w:r w:rsidRPr="00A85C5A">
        <w:rPr>
          <w:lang w:val="en-IN" w:eastAsia="en-IN" w:bidi="ta-IN"/>
        </w:rPr>
        <w:t xml:space="preserve"> and free ion dipolar term (P) = 0.036 cm</w:t>
      </w:r>
      <w:r w:rsidRPr="00A85C5A">
        <w:rPr>
          <w:vertAlign w:val="superscript"/>
          <w:lang w:val="en-IN" w:eastAsia="en-IN" w:bidi="ta-IN"/>
        </w:rPr>
        <w:t>-1</w:t>
      </w:r>
      <w:r w:rsidRPr="00A85C5A">
        <w:rPr>
          <w:lang w:val="en-IN" w:eastAsia="en-IN" w:bidi="ta-IN"/>
        </w:rPr>
        <w:t xml:space="preserve">. </w:t>
      </w:r>
      <w:r w:rsidRPr="00A85C5A">
        <w:rPr>
          <w:lang w:eastAsia="en-US"/>
        </w:rPr>
        <w:t>The observed Co-factor (</w:t>
      </w:r>
      <w:r w:rsidRPr="00A85C5A">
        <w:rPr>
          <w:i/>
          <w:iCs/>
          <w:lang w:eastAsia="en-US"/>
        </w:rPr>
        <w:t>f</w:t>
      </w:r>
      <w:r w:rsidRPr="00A85C5A">
        <w:rPr>
          <w:i/>
          <w:iCs/>
          <w:vertAlign w:val="subscript"/>
          <w:lang w:eastAsia="en-US"/>
        </w:rPr>
        <w:t>||</w:t>
      </w:r>
      <w:r w:rsidRPr="00A85C5A">
        <w:rPr>
          <w:lang w:eastAsia="en-US"/>
        </w:rPr>
        <w:t xml:space="preserve">) value of degree of geometrical distortion for </w:t>
      </w:r>
      <w:r w:rsidRPr="00A85C5A">
        <w:rPr>
          <w:rFonts w:eastAsia="MS Mincho"/>
          <w:kern w:val="24"/>
          <w:lang w:eastAsia="en-US"/>
        </w:rPr>
        <w:t>complex (</w:t>
      </w:r>
      <w:r w:rsidRPr="00A85C5A">
        <w:rPr>
          <w:rFonts w:eastAsia="MS Mincho"/>
          <w:b/>
          <w:bCs/>
          <w:kern w:val="24"/>
          <w:lang w:eastAsia="en-US"/>
        </w:rPr>
        <w:t>1</w:t>
      </w:r>
      <w:r w:rsidRPr="00A85C5A">
        <w:rPr>
          <w:rFonts w:eastAsia="MS Mincho"/>
          <w:kern w:val="24"/>
          <w:lang w:eastAsia="en-US"/>
        </w:rPr>
        <w:t>)</w:t>
      </w:r>
      <w:r w:rsidRPr="00A85C5A">
        <w:rPr>
          <w:lang w:eastAsia="en-US"/>
        </w:rPr>
        <w:t xml:space="preserve"> was 174.42 cm</w:t>
      </w:r>
      <w:r w:rsidRPr="00A85C5A">
        <w:rPr>
          <w:vertAlign w:val="superscript"/>
          <w:lang w:eastAsia="en-US"/>
        </w:rPr>
        <w:t>-1</w:t>
      </w:r>
      <w:r w:rsidRPr="00A85C5A">
        <w:rPr>
          <w:lang w:eastAsia="en-US"/>
        </w:rPr>
        <w:t xml:space="preserve"> which is </w:t>
      </w:r>
      <w:r w:rsidRPr="00A85C5A">
        <w:rPr>
          <w:lang w:val="en-IN" w:eastAsia="en-IN" w:bidi="ta-IN"/>
        </w:rPr>
        <w:t xml:space="preserve">calculated </w:t>
      </w:r>
      <w:r w:rsidRPr="00A85C5A">
        <w:rPr>
          <w:lang w:eastAsia="en-US"/>
        </w:rPr>
        <w:t xml:space="preserve">from </w:t>
      </w:r>
      <w:r w:rsidRPr="00A85C5A">
        <w:rPr>
          <w:lang w:val="en-IN" w:eastAsia="en-IN" w:bidi="ta-IN"/>
        </w:rPr>
        <w:t>the equation</w:t>
      </w:r>
      <w:r w:rsidRPr="00A85C5A">
        <w:rPr>
          <w:lang w:eastAsia="en-US"/>
        </w:rPr>
        <w:t xml:space="preserve"> (</w:t>
      </w:r>
      <w:r w:rsidR="0089429C" w:rsidRPr="00A85C5A">
        <w:rPr>
          <w:lang w:eastAsia="en-US"/>
        </w:rPr>
        <w:t>S14</w:t>
      </w:r>
      <w:r w:rsidRPr="00A85C5A">
        <w:rPr>
          <w:lang w:eastAsia="en-US"/>
        </w:rPr>
        <w:t>).</w:t>
      </w:r>
      <w:r w:rsidRPr="00A85C5A">
        <w:rPr>
          <w:rFonts w:eastAsia="AdvTimes"/>
          <w:lang w:eastAsia="en-US"/>
        </w:rPr>
        <w:t xml:space="preserve"> The obtained </w:t>
      </w:r>
      <w:r w:rsidRPr="00A85C5A">
        <w:rPr>
          <w:lang w:eastAsia="en-US"/>
        </w:rPr>
        <w:t xml:space="preserve">spectral </w:t>
      </w:r>
      <w:r w:rsidRPr="00A85C5A">
        <w:rPr>
          <w:rFonts w:eastAsia="AdvTimes"/>
          <w:lang w:eastAsia="en-US"/>
        </w:rPr>
        <w:t xml:space="preserve">and </w:t>
      </w:r>
      <w:r w:rsidRPr="00A85C5A">
        <w:rPr>
          <w:lang w:eastAsia="en-US"/>
        </w:rPr>
        <w:t xml:space="preserve">magnetic </w:t>
      </w:r>
      <w:r w:rsidRPr="00A85C5A">
        <w:rPr>
          <w:lang w:val="en-IN" w:eastAsia="en-US" w:bidi="ta-IN"/>
        </w:rPr>
        <w:t xml:space="preserve">susceptibility results </w:t>
      </w:r>
      <w:r w:rsidRPr="00A85C5A">
        <w:rPr>
          <w:lang w:eastAsia="en-US"/>
        </w:rPr>
        <w:t xml:space="preserve">of </w:t>
      </w:r>
      <w:r w:rsidRPr="00A85C5A">
        <w:rPr>
          <w:lang w:val="en-IN" w:eastAsia="en-US" w:bidi="ta-IN"/>
        </w:rPr>
        <w:t>the complex (</w:t>
      </w:r>
      <w:r w:rsidRPr="00A85C5A">
        <w:rPr>
          <w:b/>
          <w:bCs/>
          <w:lang w:val="en-IN" w:eastAsia="en-US" w:bidi="ta-IN"/>
        </w:rPr>
        <w:t>1</w:t>
      </w:r>
      <w:r w:rsidRPr="00A85C5A">
        <w:rPr>
          <w:lang w:val="en-IN" w:eastAsia="en-US" w:bidi="ta-IN"/>
        </w:rPr>
        <w:t>)</w:t>
      </w:r>
      <w:r w:rsidRPr="00A85C5A">
        <w:rPr>
          <w:lang w:eastAsia="en-US"/>
        </w:rPr>
        <w:t xml:space="preserve"> have been proposed</w:t>
      </w:r>
      <w:r w:rsidRPr="00A85C5A">
        <w:rPr>
          <w:lang w:val="en-IN" w:eastAsia="en-US" w:bidi="ta-IN"/>
        </w:rPr>
        <w:t xml:space="preserve"> an octahedral geometry </w:t>
      </w:r>
      <w:r w:rsidRPr="00A85C5A">
        <w:rPr>
          <w:lang w:eastAsia="en-US"/>
        </w:rPr>
        <w:t>(</w:t>
      </w:r>
      <w:r w:rsidRPr="00A85C5A">
        <w:rPr>
          <w:bCs/>
          <w:lang w:eastAsia="en-US"/>
        </w:rPr>
        <w:t>Nickless</w:t>
      </w:r>
      <w:r w:rsidRPr="00A85C5A">
        <w:rPr>
          <w:lang w:eastAsia="en-US"/>
        </w:rPr>
        <w:t>,</w:t>
      </w:r>
      <w:r w:rsidR="00604DFC" w:rsidRPr="00A85C5A">
        <w:rPr>
          <w:bCs/>
          <w:lang w:eastAsia="en-US"/>
        </w:rPr>
        <w:t xml:space="preserve"> Power, </w:t>
      </w:r>
      <w:r w:rsidR="00604DFC" w:rsidRPr="00A85C5A">
        <w:rPr>
          <w:bCs/>
          <w:lang w:val="en-IN" w:eastAsia="en-US"/>
        </w:rPr>
        <w:t xml:space="preserve">&amp; </w:t>
      </w:r>
      <w:r w:rsidR="00604DFC" w:rsidRPr="00A85C5A">
        <w:rPr>
          <w:bCs/>
          <w:lang w:eastAsia="en-US"/>
        </w:rPr>
        <w:t xml:space="preserve">Urbach, </w:t>
      </w:r>
      <w:r w:rsidRPr="00A85C5A">
        <w:rPr>
          <w:lang w:eastAsia="en-US"/>
        </w:rPr>
        <w:t xml:space="preserve">1983). </w:t>
      </w:r>
    </w:p>
    <w:p w:rsidR="00E67BDE" w:rsidRPr="00A85C5A" w:rsidRDefault="00E67BDE" w:rsidP="00E67BDE">
      <w:pPr>
        <w:overflowPunct w:val="0"/>
        <w:autoSpaceDE w:val="0"/>
        <w:autoSpaceDN w:val="0"/>
        <w:adjustRightInd w:val="0"/>
        <w:spacing w:line="240" w:lineRule="auto"/>
        <w:jc w:val="center"/>
        <w:textAlignment w:val="baseline"/>
        <w:rPr>
          <w:lang w:eastAsia="en-US"/>
        </w:rPr>
      </w:pPr>
    </w:p>
    <w:tbl>
      <w:tblPr>
        <w:tblStyle w:val="TableGrid10"/>
        <w:tblW w:w="0" w:type="auto"/>
        <w:jc w:val="center"/>
        <w:tblLook w:val="04A0" w:firstRow="1" w:lastRow="0" w:firstColumn="1" w:lastColumn="0" w:noHBand="0" w:noVBand="1"/>
      </w:tblPr>
      <w:tblGrid>
        <w:gridCol w:w="8755"/>
      </w:tblGrid>
      <w:tr w:rsidR="00E67BDE" w:rsidRPr="00A85C5A" w:rsidTr="00867F16">
        <w:trPr>
          <w:jc w:val="center"/>
        </w:trPr>
        <w:tc>
          <w:tcPr>
            <w:tcW w:w="8755" w:type="dxa"/>
            <w:tcBorders>
              <w:top w:val="nil"/>
              <w:left w:val="nil"/>
              <w:bottom w:val="nil"/>
              <w:right w:val="nil"/>
            </w:tcBorders>
          </w:tcPr>
          <w:p w:rsidR="00E67BDE" w:rsidRPr="00A85C5A" w:rsidRDefault="00E67BDE" w:rsidP="00196C35">
            <w:pPr>
              <w:overflowPunct w:val="0"/>
              <w:autoSpaceDE w:val="0"/>
              <w:autoSpaceDN w:val="0"/>
              <w:adjustRightInd w:val="0"/>
              <w:spacing w:line="240" w:lineRule="auto"/>
              <w:contextualSpacing/>
              <w:jc w:val="both"/>
              <w:textAlignment w:val="baseline"/>
              <w:rPr>
                <w:lang w:eastAsia="en-US"/>
              </w:rPr>
            </w:pPr>
            <w:r w:rsidRPr="00A85C5A">
              <w:rPr>
                <w:noProof/>
                <w:lang w:val="en-US" w:eastAsia="en-US"/>
              </w:rPr>
              <w:drawing>
                <wp:inline distT="0" distB="0" distL="0" distR="0">
                  <wp:extent cx="5101458" cy="1856278"/>
                  <wp:effectExtent l="38100" t="57150" r="118242" b="86822"/>
                  <wp:docPr id="4" name="Picture 3" descr="C:\Users\elcot\Desktop\333 final es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cot\Desktop\333 final esr .jpg"/>
                          <pic:cNvPicPr>
                            <a:picLocks noChangeAspect="1" noChangeArrowheads="1"/>
                          </pic:cNvPicPr>
                        </pic:nvPicPr>
                        <pic:blipFill>
                          <a:blip r:embed="rId14" cstate="print"/>
                          <a:srcRect/>
                          <a:stretch>
                            <a:fillRect/>
                          </a:stretch>
                        </pic:blipFill>
                        <pic:spPr bwMode="auto">
                          <a:xfrm>
                            <a:off x="0" y="0"/>
                            <a:ext cx="5099567" cy="1855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A85C5A">
              <w:rPr>
                <w:rFonts w:ascii="Times New Roman" w:hAnsi="Times New Roman"/>
                <w:b/>
                <w:lang w:val="rm-CH" w:eastAsia="en-US"/>
              </w:rPr>
              <w:t>Fig</w:t>
            </w:r>
            <w:r w:rsidRPr="00A85C5A">
              <w:rPr>
                <w:rFonts w:ascii="Times New Roman" w:hAnsi="Times New Roman"/>
                <w:bCs/>
                <w:lang w:val="rm-CH" w:eastAsia="en-US"/>
              </w:rPr>
              <w:t xml:space="preserve">. </w:t>
            </w:r>
            <w:r w:rsidRPr="00A85C5A">
              <w:rPr>
                <w:rFonts w:ascii="Times New Roman" w:hAnsi="Times New Roman"/>
                <w:b/>
                <w:lang w:eastAsia="en-US"/>
              </w:rPr>
              <w:t>S5</w:t>
            </w:r>
            <w:r w:rsidRPr="00A85C5A">
              <w:rPr>
                <w:rFonts w:ascii="Times New Roman" w:hAnsi="Times New Roman"/>
                <w:lang w:eastAsia="en-US"/>
              </w:rPr>
              <w:t xml:space="preserve"> The EPR spectra of complex (</w:t>
            </w:r>
            <w:r w:rsidRPr="00A85C5A">
              <w:rPr>
                <w:rFonts w:ascii="Times New Roman" w:hAnsi="Times New Roman"/>
                <w:b/>
                <w:bCs/>
                <w:lang w:eastAsia="en-US"/>
              </w:rPr>
              <w:t>1</w:t>
            </w:r>
            <w:r w:rsidRPr="00A85C5A">
              <w:rPr>
                <w:rFonts w:ascii="Times New Roman" w:hAnsi="Times New Roman"/>
                <w:lang w:eastAsia="en-US"/>
              </w:rPr>
              <w:t>) at (</w:t>
            </w:r>
            <w:r w:rsidRPr="00A85C5A">
              <w:rPr>
                <w:rFonts w:ascii="Times New Roman" w:hAnsi="Times New Roman"/>
                <w:b/>
                <w:bCs/>
                <w:lang w:eastAsia="en-US"/>
              </w:rPr>
              <w:t>a</w:t>
            </w:r>
            <w:r w:rsidRPr="00A85C5A">
              <w:rPr>
                <w:rFonts w:ascii="Times New Roman" w:hAnsi="Times New Roman"/>
                <w:lang w:eastAsia="en-US"/>
              </w:rPr>
              <w:t>) room temperature (300 K) and (</w:t>
            </w:r>
            <w:r w:rsidRPr="00A85C5A">
              <w:rPr>
                <w:rFonts w:ascii="Times New Roman" w:hAnsi="Times New Roman"/>
                <w:b/>
                <w:bCs/>
                <w:lang w:eastAsia="en-US"/>
              </w:rPr>
              <w:t>b</w:t>
            </w:r>
            <w:r w:rsidRPr="00A85C5A">
              <w:rPr>
                <w:rFonts w:ascii="Times New Roman" w:hAnsi="Times New Roman"/>
                <w:lang w:eastAsia="en-US"/>
              </w:rPr>
              <w:t>) liquid nitrogen temperature (77 K)</w:t>
            </w:r>
          </w:p>
        </w:tc>
      </w:tr>
    </w:tbl>
    <w:p w:rsidR="00E67BDE" w:rsidRPr="00A85C5A" w:rsidRDefault="00E67BDE" w:rsidP="00E67BDE">
      <w:pPr>
        <w:overflowPunct w:val="0"/>
        <w:autoSpaceDE w:val="0"/>
        <w:autoSpaceDN w:val="0"/>
        <w:adjustRightInd w:val="0"/>
        <w:spacing w:line="240" w:lineRule="auto"/>
        <w:contextualSpacing/>
        <w:jc w:val="center"/>
        <w:textAlignment w:val="baseline"/>
        <w:rPr>
          <w:lang w:eastAsia="en-US"/>
        </w:rPr>
      </w:pPr>
    </w:p>
    <w:p w:rsidR="00EC6E98" w:rsidRPr="00A85C5A" w:rsidRDefault="00EC6E98" w:rsidP="00EC6E98">
      <w:pPr>
        <w:overflowPunct w:val="0"/>
        <w:autoSpaceDE w:val="0"/>
        <w:autoSpaceDN w:val="0"/>
        <w:adjustRightInd w:val="0"/>
        <w:contextualSpacing/>
        <w:jc w:val="both"/>
        <w:textAlignment w:val="baseline"/>
        <w:rPr>
          <w:i/>
          <w:iCs/>
          <w:lang w:eastAsia="en-US"/>
        </w:rPr>
      </w:pPr>
      <w:r w:rsidRPr="00A85C5A">
        <w:rPr>
          <w:b/>
          <w:bCs/>
          <w:i/>
          <w:iCs/>
          <w:lang w:eastAsia="en-US"/>
        </w:rPr>
        <w:t>Thermal analysis</w:t>
      </w:r>
    </w:p>
    <w:p w:rsidR="00472BDA" w:rsidRPr="00A85C5A" w:rsidRDefault="00EC6E98" w:rsidP="00417F38">
      <w:pPr>
        <w:overflowPunct w:val="0"/>
        <w:autoSpaceDE w:val="0"/>
        <w:autoSpaceDN w:val="0"/>
        <w:adjustRightInd w:val="0"/>
        <w:contextualSpacing/>
        <w:jc w:val="both"/>
        <w:textAlignment w:val="baseline"/>
        <w:rPr>
          <w:lang w:val="en-US"/>
        </w:rPr>
      </w:pPr>
      <w:r w:rsidRPr="00A85C5A">
        <w:rPr>
          <w:lang w:eastAsia="en-US"/>
        </w:rPr>
        <w:t>Thermogravimetric analysis is an effective and useful technique to assess quantitative of weight changes with respect to temperature and to investigate the thermal stability and composition</w:t>
      </w:r>
      <w:r w:rsidR="00BE1C46" w:rsidRPr="00A85C5A">
        <w:rPr>
          <w:lang w:eastAsia="en-US"/>
        </w:rPr>
        <w:t xml:space="preserve"> of complexes.</w:t>
      </w:r>
      <w:r w:rsidRPr="00A85C5A">
        <w:rPr>
          <w:lang w:eastAsia="en-US"/>
        </w:rPr>
        <w:t xml:space="preserve"> </w:t>
      </w:r>
      <w:r w:rsidR="00BE1C46" w:rsidRPr="00A85C5A">
        <w:rPr>
          <w:lang w:eastAsia="en-US"/>
        </w:rPr>
        <w:t xml:space="preserve">It </w:t>
      </w:r>
      <w:r w:rsidRPr="00A85C5A">
        <w:rPr>
          <w:lang w:eastAsia="en-US"/>
        </w:rPr>
        <w:t>is an essential dynamic tool for exploring the probability of attachment of solvent molecules</w:t>
      </w:r>
      <w:r w:rsidR="001553FC" w:rsidRPr="00A85C5A">
        <w:rPr>
          <w:lang w:eastAsia="en-US"/>
        </w:rPr>
        <w:t xml:space="preserve"> (H</w:t>
      </w:r>
      <w:r w:rsidR="001553FC" w:rsidRPr="00A85C5A">
        <w:rPr>
          <w:vertAlign w:val="subscript"/>
          <w:lang w:eastAsia="en-US"/>
        </w:rPr>
        <w:t>2</w:t>
      </w:r>
      <w:r w:rsidR="001553FC" w:rsidRPr="00A85C5A">
        <w:rPr>
          <w:lang w:eastAsia="en-US"/>
        </w:rPr>
        <w:t>O)</w:t>
      </w:r>
      <w:r w:rsidRPr="00A85C5A">
        <w:rPr>
          <w:lang w:eastAsia="en-US"/>
        </w:rPr>
        <w:t xml:space="preserve"> towards the central atom as a crystal or in a coordinate form / lattice form. Thermogram of the complexes (</w:t>
      </w:r>
      <w:r w:rsidRPr="00A85C5A">
        <w:rPr>
          <w:b/>
          <w:bCs/>
          <w:lang w:eastAsia="en-US"/>
        </w:rPr>
        <w:t>1-5</w:t>
      </w:r>
      <w:r w:rsidRPr="00A85C5A">
        <w:rPr>
          <w:lang w:eastAsia="en-US"/>
        </w:rPr>
        <w:t xml:space="preserve">) has been recorded </w:t>
      </w:r>
      <w:r w:rsidR="00BE1C46" w:rsidRPr="00A85C5A">
        <w:rPr>
          <w:lang w:eastAsia="en-US"/>
        </w:rPr>
        <w:t xml:space="preserve">in the temperature range </w:t>
      </w:r>
      <w:r w:rsidR="001553FC" w:rsidRPr="00A85C5A">
        <w:rPr>
          <w:lang w:eastAsia="en-US"/>
        </w:rPr>
        <w:t>from</w:t>
      </w:r>
      <w:r w:rsidR="00BE1C46" w:rsidRPr="00A85C5A">
        <w:rPr>
          <w:lang w:eastAsia="en-US"/>
        </w:rPr>
        <w:t xml:space="preserve"> 40 </w:t>
      </w:r>
      <w:r w:rsidR="00BE1C46" w:rsidRPr="00A85C5A">
        <w:rPr>
          <w:rFonts w:ascii="Segoe UI Symbol" w:hAnsi="Segoe UI Symbol"/>
          <w:lang w:eastAsia="en-US"/>
        </w:rPr>
        <w:t>°</w:t>
      </w:r>
      <w:r w:rsidRPr="00A85C5A">
        <w:rPr>
          <w:lang w:eastAsia="en-US"/>
        </w:rPr>
        <w:t>C</w:t>
      </w:r>
      <w:r w:rsidR="00283104" w:rsidRPr="00A85C5A">
        <w:rPr>
          <w:lang w:eastAsia="en-US"/>
        </w:rPr>
        <w:t xml:space="preserve"> to 73</w:t>
      </w:r>
      <w:r w:rsidRPr="00A85C5A">
        <w:rPr>
          <w:lang w:eastAsia="en-US"/>
        </w:rPr>
        <w:t xml:space="preserve">0 </w:t>
      </w:r>
      <w:r w:rsidR="00BE1C46" w:rsidRPr="00A85C5A">
        <w:rPr>
          <w:rFonts w:ascii="Segoe UI Symbol" w:hAnsi="Segoe UI Symbol"/>
          <w:lang w:eastAsia="en-US"/>
        </w:rPr>
        <w:t>°</w:t>
      </w:r>
      <w:r w:rsidRPr="00A85C5A">
        <w:rPr>
          <w:lang w:eastAsia="en-US"/>
        </w:rPr>
        <w:t>C (</w:t>
      </w:r>
      <w:r w:rsidRPr="00A85C5A">
        <w:rPr>
          <w:lang w:val="rm-CH" w:eastAsia="rm-CH"/>
        </w:rPr>
        <w:t>Fig. S6)</w:t>
      </w:r>
      <w:r w:rsidRPr="00A85C5A">
        <w:rPr>
          <w:lang w:eastAsia="en-US"/>
        </w:rPr>
        <w:t xml:space="preserve">. </w:t>
      </w:r>
      <w:r w:rsidR="001553FC" w:rsidRPr="00A85C5A">
        <w:rPr>
          <w:lang w:eastAsia="en-US"/>
        </w:rPr>
        <w:t xml:space="preserve">The stages of decomposition, temperature range, decomposition products, the </w:t>
      </w:r>
      <w:r w:rsidRPr="00A85C5A">
        <w:rPr>
          <w:lang w:eastAsia="en-US"/>
        </w:rPr>
        <w:t>observed</w:t>
      </w:r>
      <w:r w:rsidR="001553FC" w:rsidRPr="00A85C5A">
        <w:rPr>
          <w:lang w:eastAsia="en-US"/>
        </w:rPr>
        <w:t xml:space="preserve"> mass loss and calculated mass loss percentages of all complexes</w:t>
      </w:r>
      <w:r w:rsidRPr="00A85C5A">
        <w:rPr>
          <w:lang w:eastAsia="en-US"/>
        </w:rPr>
        <w:t xml:space="preserve"> are summarized in Table S1. </w:t>
      </w:r>
      <w:r w:rsidR="00717C93" w:rsidRPr="00A85C5A">
        <w:rPr>
          <w:lang w:eastAsia="en-US"/>
        </w:rPr>
        <w:t>The data</w:t>
      </w:r>
      <w:r w:rsidR="007A4A09" w:rsidRPr="00A85C5A">
        <w:rPr>
          <w:lang w:eastAsia="en-US"/>
        </w:rPr>
        <w:t xml:space="preserve"> reveal the following findings: </w:t>
      </w:r>
      <w:r w:rsidR="00717C93" w:rsidRPr="00A85C5A">
        <w:rPr>
          <w:lang w:val="en-IN" w:eastAsia="en-US"/>
        </w:rPr>
        <w:t>[M</w:t>
      </w:r>
      <w:r w:rsidR="00717C93" w:rsidRPr="00A85C5A">
        <w:rPr>
          <w:vertAlign w:val="superscript"/>
          <w:lang w:val="en-IN" w:eastAsia="en-US"/>
        </w:rPr>
        <w:t>II</w:t>
      </w:r>
      <w:r w:rsidR="007A4A09" w:rsidRPr="00A85C5A">
        <w:rPr>
          <w:lang w:val="en-IN" w:eastAsia="en-US"/>
        </w:rPr>
        <w:t>(L)(phen)</w:t>
      </w:r>
      <w:r w:rsidR="00717C93" w:rsidRPr="00A85C5A">
        <w:rPr>
          <w:lang w:val="en-IN" w:eastAsia="en-US"/>
        </w:rPr>
        <w:t>AcO].nH</w:t>
      </w:r>
      <w:r w:rsidR="00717C93" w:rsidRPr="00A85C5A">
        <w:rPr>
          <w:vertAlign w:val="subscript"/>
          <w:lang w:val="en-IN" w:eastAsia="en-US"/>
        </w:rPr>
        <w:t>2</w:t>
      </w:r>
      <w:r w:rsidR="00717C93" w:rsidRPr="00A85C5A">
        <w:rPr>
          <w:lang w:val="en-IN" w:eastAsia="en-US"/>
        </w:rPr>
        <w:t xml:space="preserve">O </w:t>
      </w:r>
      <w:r w:rsidR="00417F38" w:rsidRPr="00A85C5A">
        <w:rPr>
          <w:lang w:eastAsia="en-US"/>
        </w:rPr>
        <w:t>complexes (</w:t>
      </w:r>
      <w:r w:rsidR="00417F38" w:rsidRPr="00A85C5A">
        <w:rPr>
          <w:b/>
          <w:bCs/>
          <w:lang w:eastAsia="en-US"/>
        </w:rPr>
        <w:t>1-5</w:t>
      </w:r>
      <w:r w:rsidR="00417F38" w:rsidRPr="00A85C5A">
        <w:rPr>
          <w:lang w:eastAsia="en-US"/>
        </w:rPr>
        <w:t xml:space="preserve">) </w:t>
      </w:r>
      <w:r w:rsidR="00417F38" w:rsidRPr="00A85C5A">
        <w:rPr>
          <w:lang w:val="en-IN" w:eastAsia="en-US"/>
        </w:rPr>
        <w:t xml:space="preserve">were </w:t>
      </w:r>
      <w:r w:rsidR="00717C93" w:rsidRPr="00A85C5A">
        <w:rPr>
          <w:lang w:val="en-IN" w:eastAsia="en-US"/>
        </w:rPr>
        <w:t>thermally decomposed in three steps.</w:t>
      </w:r>
      <w:r w:rsidR="00417F38" w:rsidRPr="00A85C5A">
        <w:rPr>
          <w:lang w:val="en-IN" w:eastAsia="en-US"/>
        </w:rPr>
        <w:t xml:space="preserve"> </w:t>
      </w:r>
      <w:r w:rsidR="00290E09" w:rsidRPr="00A85C5A">
        <w:rPr>
          <w:lang w:eastAsia="en-US"/>
        </w:rPr>
        <w:t xml:space="preserve">In the </w:t>
      </w:r>
      <w:r w:rsidR="00290E09" w:rsidRPr="00A85C5A">
        <w:rPr>
          <w:bCs/>
          <w:lang w:eastAsia="en-US"/>
        </w:rPr>
        <w:t>endothermic process</w:t>
      </w:r>
      <w:r w:rsidR="00290E09" w:rsidRPr="00A85C5A">
        <w:rPr>
          <w:lang w:eastAsia="en-US"/>
        </w:rPr>
        <w:t>, the observed weight</w:t>
      </w:r>
      <w:r w:rsidRPr="00A85C5A">
        <w:rPr>
          <w:lang w:eastAsia="en-US"/>
        </w:rPr>
        <w:t xml:space="preserve"> loss in the first ste</w:t>
      </w:r>
      <w:r w:rsidR="00EC678E" w:rsidRPr="00A85C5A">
        <w:rPr>
          <w:lang w:eastAsia="en-US"/>
        </w:rPr>
        <w:t xml:space="preserve">p of decomposition of </w:t>
      </w:r>
      <w:r w:rsidR="003D11F1" w:rsidRPr="00A85C5A">
        <w:rPr>
          <w:bCs/>
          <w:lang w:eastAsia="en-US"/>
        </w:rPr>
        <w:t>[Cu</w:t>
      </w:r>
      <w:r w:rsidR="003D11F1" w:rsidRPr="00A85C5A">
        <w:rPr>
          <w:bCs/>
          <w:vertAlign w:val="superscript"/>
          <w:lang w:eastAsia="en-US"/>
        </w:rPr>
        <w:t>II</w:t>
      </w:r>
      <w:r w:rsidR="007A4A09" w:rsidRPr="00A85C5A">
        <w:rPr>
          <w:bCs/>
          <w:lang w:eastAsia="en-US"/>
        </w:rPr>
        <w:t>(L)(phen)</w:t>
      </w:r>
      <w:r w:rsidR="003D11F1" w:rsidRPr="00A85C5A">
        <w:rPr>
          <w:bCs/>
          <w:lang w:eastAsia="en-US"/>
        </w:rPr>
        <w:t>AcO].2H</w:t>
      </w:r>
      <w:r w:rsidR="003D11F1" w:rsidRPr="00A85C5A">
        <w:rPr>
          <w:bCs/>
          <w:vertAlign w:val="subscript"/>
          <w:lang w:eastAsia="en-US"/>
        </w:rPr>
        <w:t>2</w:t>
      </w:r>
      <w:r w:rsidR="003D11F1" w:rsidRPr="00A85C5A">
        <w:rPr>
          <w:bCs/>
          <w:lang w:eastAsia="en-US"/>
        </w:rPr>
        <w:t xml:space="preserve">O </w:t>
      </w:r>
      <w:r w:rsidR="00EC678E" w:rsidRPr="00A85C5A">
        <w:rPr>
          <w:lang w:eastAsia="en-US"/>
        </w:rPr>
        <w:t xml:space="preserve">complex </w:t>
      </w:r>
      <w:r w:rsidRPr="00A85C5A">
        <w:rPr>
          <w:lang w:eastAsia="en-US"/>
        </w:rPr>
        <w:t>(</w:t>
      </w:r>
      <w:r w:rsidRPr="00A85C5A">
        <w:rPr>
          <w:b/>
          <w:bCs/>
          <w:lang w:eastAsia="en-US"/>
        </w:rPr>
        <w:t>1</w:t>
      </w:r>
      <w:r w:rsidRPr="00A85C5A">
        <w:rPr>
          <w:lang w:eastAsia="en-US"/>
        </w:rPr>
        <w:t>)</w:t>
      </w:r>
      <w:r w:rsidR="00290E09" w:rsidRPr="00A85C5A">
        <w:rPr>
          <w:lang w:eastAsia="en-US"/>
        </w:rPr>
        <w:t xml:space="preserve"> was </w:t>
      </w:r>
      <w:r w:rsidR="00290E09" w:rsidRPr="00A85C5A">
        <w:rPr>
          <w:lang w:eastAsia="en-US" w:bidi="ta-IN"/>
        </w:rPr>
        <w:t xml:space="preserve">06.32 </w:t>
      </w:r>
      <w:r w:rsidR="00290E09" w:rsidRPr="00A85C5A">
        <w:rPr>
          <w:lang w:eastAsia="en-US"/>
        </w:rPr>
        <w:t>%</w:t>
      </w:r>
      <w:r w:rsidR="00290E09" w:rsidRPr="00A85C5A">
        <w:rPr>
          <w:lang w:eastAsia="en-US" w:bidi="ta-IN"/>
        </w:rPr>
        <w:t xml:space="preserve"> (06.29 </w:t>
      </w:r>
      <w:r w:rsidR="00290E09" w:rsidRPr="00A85C5A">
        <w:rPr>
          <w:lang w:eastAsia="en-US"/>
        </w:rPr>
        <w:t>%</w:t>
      </w:r>
      <w:r w:rsidR="00290E09" w:rsidRPr="00A85C5A">
        <w:rPr>
          <w:lang w:eastAsia="en-US" w:bidi="ta-IN"/>
        </w:rPr>
        <w:t>)</w:t>
      </w:r>
      <w:r w:rsidRPr="00A85C5A">
        <w:rPr>
          <w:lang w:eastAsia="en-US"/>
        </w:rPr>
        <w:t xml:space="preserve"> </w:t>
      </w:r>
      <w:r w:rsidR="00290E09" w:rsidRPr="00A85C5A">
        <w:rPr>
          <w:lang w:eastAsia="en-US"/>
        </w:rPr>
        <w:t xml:space="preserve">at </w:t>
      </w:r>
      <w:r w:rsidRPr="00A85C5A">
        <w:rPr>
          <w:lang w:eastAsia="en-US"/>
        </w:rPr>
        <w:t xml:space="preserve">120 </w:t>
      </w:r>
      <w:r w:rsidR="00BE1C46" w:rsidRPr="00A85C5A">
        <w:rPr>
          <w:rFonts w:ascii="Segoe UI Symbol" w:hAnsi="Segoe UI Symbol"/>
          <w:lang w:eastAsia="en-US"/>
        </w:rPr>
        <w:t>°</w:t>
      </w:r>
      <w:r w:rsidRPr="00A85C5A">
        <w:rPr>
          <w:lang w:eastAsia="en-US"/>
        </w:rPr>
        <w:t xml:space="preserve">C corresponds to the loss of </w:t>
      </w:r>
      <w:r w:rsidR="00FA50FA" w:rsidRPr="00A85C5A">
        <w:rPr>
          <w:lang w:eastAsia="en-US"/>
        </w:rPr>
        <w:t xml:space="preserve">two </w:t>
      </w:r>
      <w:r w:rsidRPr="00A85C5A">
        <w:rPr>
          <w:lang w:eastAsia="en-US"/>
        </w:rPr>
        <w:t>hydrated lattice water molecules</w:t>
      </w:r>
      <w:r w:rsidR="006C67CD" w:rsidRPr="00A85C5A">
        <w:rPr>
          <w:bCs/>
          <w:lang w:eastAsia="en-US"/>
        </w:rPr>
        <w:t xml:space="preserve"> </w:t>
      </w:r>
      <w:r w:rsidRPr="00A85C5A">
        <w:rPr>
          <w:bCs/>
          <w:lang w:eastAsia="en-US"/>
        </w:rPr>
        <w:t>(</w:t>
      </w:r>
      <w:r w:rsidR="002034CA" w:rsidRPr="00A85C5A">
        <w:rPr>
          <w:lang w:eastAsia="en-US"/>
        </w:rPr>
        <w:t>Kalbende,</w:t>
      </w:r>
      <w:r w:rsidR="002034CA" w:rsidRPr="00A85C5A">
        <w:rPr>
          <w:bCs/>
          <w:lang w:eastAsia="en-US"/>
        </w:rPr>
        <w:t xml:space="preserve"> Tarase, </w:t>
      </w:r>
      <w:r w:rsidR="002034CA" w:rsidRPr="00A85C5A">
        <w:rPr>
          <w:bCs/>
          <w:lang w:val="en-IN" w:eastAsia="en-US"/>
        </w:rPr>
        <w:t>&amp;</w:t>
      </w:r>
      <w:r w:rsidR="002034CA" w:rsidRPr="00A85C5A">
        <w:rPr>
          <w:bCs/>
          <w:lang w:eastAsia="en-US"/>
        </w:rPr>
        <w:t xml:space="preserve"> Zade,</w:t>
      </w:r>
      <w:r w:rsidRPr="00A85C5A">
        <w:rPr>
          <w:lang w:eastAsia="en-US"/>
        </w:rPr>
        <w:t xml:space="preserve"> 2013</w:t>
      </w:r>
      <w:r w:rsidRPr="00A85C5A">
        <w:rPr>
          <w:bCs/>
          <w:lang w:eastAsia="en-US"/>
        </w:rPr>
        <w:t>).</w:t>
      </w:r>
      <w:r w:rsidRPr="00A85C5A">
        <w:rPr>
          <w:lang w:eastAsia="en-US"/>
        </w:rPr>
        <w:t xml:space="preserve"> </w:t>
      </w:r>
      <w:r w:rsidR="00FA50FA" w:rsidRPr="00A85C5A">
        <w:rPr>
          <w:lang w:eastAsia="en-US"/>
        </w:rPr>
        <w:t xml:space="preserve">The observed weight loss in the </w:t>
      </w:r>
      <w:r w:rsidRPr="00A85C5A">
        <w:rPr>
          <w:lang w:eastAsia="en-US"/>
        </w:rPr>
        <w:t xml:space="preserve">second degradation stage is consistent with the elimination of the acetate </w:t>
      </w:r>
      <w:r w:rsidR="00290E09" w:rsidRPr="00A85C5A">
        <w:rPr>
          <w:lang w:eastAsia="en-US"/>
        </w:rPr>
        <w:t xml:space="preserve">at 225 </w:t>
      </w:r>
      <w:r w:rsidR="00290E09" w:rsidRPr="00A85C5A">
        <w:rPr>
          <w:rFonts w:ascii="Segoe UI Symbol" w:hAnsi="Segoe UI Symbol"/>
          <w:shd w:val="clear" w:color="auto" w:fill="FFFFFF" w:themeFill="background1"/>
          <w:lang w:eastAsia="en-US"/>
        </w:rPr>
        <w:t>°</w:t>
      </w:r>
      <w:r w:rsidR="00290E09" w:rsidRPr="00A85C5A">
        <w:rPr>
          <w:shd w:val="clear" w:color="auto" w:fill="FFFFFF" w:themeFill="background1"/>
          <w:lang w:eastAsia="en-US"/>
        </w:rPr>
        <w:t>C</w:t>
      </w:r>
      <w:r w:rsidR="00290E09" w:rsidRPr="00A85C5A">
        <w:rPr>
          <w:lang w:eastAsia="en-US"/>
        </w:rPr>
        <w:t xml:space="preserve"> </w:t>
      </w:r>
      <w:r w:rsidR="00FA50FA" w:rsidRPr="00A85C5A">
        <w:rPr>
          <w:lang w:eastAsia="en-US"/>
        </w:rPr>
        <w:t xml:space="preserve">and 1,10-phenanthroline moiety at 440 </w:t>
      </w:r>
      <w:r w:rsidR="00FA50FA" w:rsidRPr="00A85C5A">
        <w:rPr>
          <w:rFonts w:ascii="Segoe UI Symbol" w:hAnsi="Segoe UI Symbol"/>
          <w:shd w:val="clear" w:color="auto" w:fill="FFFFFF" w:themeFill="background1"/>
          <w:lang w:eastAsia="en-US"/>
        </w:rPr>
        <w:t>°</w:t>
      </w:r>
      <w:r w:rsidR="00FA50FA" w:rsidRPr="00A85C5A">
        <w:rPr>
          <w:shd w:val="clear" w:color="auto" w:fill="FFFFFF" w:themeFill="background1"/>
          <w:lang w:eastAsia="en-US"/>
        </w:rPr>
        <w:t>C</w:t>
      </w:r>
      <w:r w:rsidR="00FA50FA" w:rsidRPr="00A85C5A">
        <w:rPr>
          <w:lang w:eastAsia="en-US"/>
        </w:rPr>
        <w:t xml:space="preserve"> w</w:t>
      </w:r>
      <w:r w:rsidR="000226B2" w:rsidRPr="00A85C5A">
        <w:rPr>
          <w:lang w:eastAsia="en-US"/>
        </w:rPr>
        <w:t>as</w:t>
      </w:r>
      <w:r w:rsidR="00FA50FA" w:rsidRPr="00A85C5A">
        <w:rPr>
          <w:lang w:eastAsia="en-US"/>
        </w:rPr>
        <w:t xml:space="preserve"> 41.79 % (41.85 %). The obtained weight loss in the </w:t>
      </w:r>
      <w:r w:rsidRPr="00A85C5A">
        <w:rPr>
          <w:lang w:eastAsia="en-US"/>
        </w:rPr>
        <w:t xml:space="preserve">third degradation stage is indicated that the elimination of the </w:t>
      </w:r>
      <w:r w:rsidRPr="00A85C5A">
        <w:rPr>
          <w:lang w:eastAsia="en-US" w:bidi="ta-IN"/>
        </w:rPr>
        <w:t>morpholine substituted</w:t>
      </w:r>
      <w:r w:rsidRPr="00A85C5A">
        <w:rPr>
          <w:lang w:eastAsia="en-US"/>
        </w:rPr>
        <w:t xml:space="preserve"> ligand </w:t>
      </w:r>
      <w:r w:rsidR="009B1FB8" w:rsidRPr="00A85C5A">
        <w:rPr>
          <w:lang w:eastAsia="en-US"/>
        </w:rPr>
        <w:t xml:space="preserve">at 722 </w:t>
      </w:r>
      <w:r w:rsidR="009B1FB8" w:rsidRPr="00A85C5A">
        <w:rPr>
          <w:rFonts w:ascii="Segoe UI Symbol" w:hAnsi="Segoe UI Symbol"/>
          <w:shd w:val="clear" w:color="auto" w:fill="FFFFFF" w:themeFill="background1"/>
          <w:lang w:eastAsia="en-US"/>
        </w:rPr>
        <w:t>°</w:t>
      </w:r>
      <w:r w:rsidR="009B1FB8" w:rsidRPr="00A85C5A">
        <w:rPr>
          <w:shd w:val="clear" w:color="auto" w:fill="FFFFFF" w:themeFill="background1"/>
          <w:lang w:eastAsia="en-US"/>
        </w:rPr>
        <w:t>C</w:t>
      </w:r>
      <w:r w:rsidR="009B1FB8" w:rsidRPr="00A85C5A">
        <w:rPr>
          <w:lang w:eastAsia="en-US"/>
        </w:rPr>
        <w:t xml:space="preserve"> was 38.18 % (38.14 %). </w:t>
      </w:r>
      <w:r w:rsidR="006C67CD" w:rsidRPr="00A85C5A">
        <w:rPr>
          <w:lang w:eastAsia="en-US"/>
        </w:rPr>
        <w:t>The</w:t>
      </w:r>
      <w:r w:rsidR="00503303" w:rsidRPr="00A85C5A">
        <w:rPr>
          <w:lang w:eastAsia="en-US"/>
        </w:rPr>
        <w:t xml:space="preserve"> obtained</w:t>
      </w:r>
      <w:r w:rsidR="003910A9" w:rsidRPr="00A85C5A">
        <w:rPr>
          <w:lang w:eastAsia="en-US"/>
        </w:rPr>
        <w:t xml:space="preserve"> final product was 13.85 % (13.91 %) in this complex (</w:t>
      </w:r>
      <w:r w:rsidR="003910A9" w:rsidRPr="00A85C5A">
        <w:rPr>
          <w:b/>
          <w:bCs/>
          <w:lang w:eastAsia="en-US"/>
        </w:rPr>
        <w:t>1</w:t>
      </w:r>
      <w:r w:rsidR="003910A9" w:rsidRPr="00A85C5A">
        <w:rPr>
          <w:lang w:eastAsia="en-US"/>
        </w:rPr>
        <w:t xml:space="preserve">) which may be due to the formation of CuO residue </w:t>
      </w:r>
      <w:r w:rsidR="00CC4CDB" w:rsidRPr="00A85C5A">
        <w:rPr>
          <w:lang w:eastAsia="en-US"/>
        </w:rPr>
        <w:t>(Farag</w:t>
      </w:r>
      <w:r w:rsidRPr="00A85C5A">
        <w:rPr>
          <w:lang w:eastAsia="en-US"/>
        </w:rPr>
        <w:t>,</w:t>
      </w:r>
      <w:r w:rsidR="00CC4CDB" w:rsidRPr="00A85C5A">
        <w:rPr>
          <w:bCs/>
          <w:lang w:eastAsia="en-US"/>
        </w:rPr>
        <w:t xml:space="preserve"> Altalbawy, Gehad, El-Ela Sayed, </w:t>
      </w:r>
      <w:r w:rsidR="00CC4CDB" w:rsidRPr="00A85C5A">
        <w:rPr>
          <w:bCs/>
          <w:lang w:val="en-IN" w:eastAsia="en-US"/>
        </w:rPr>
        <w:t xml:space="preserve">&amp; </w:t>
      </w:r>
      <w:r w:rsidR="00CC4CDB" w:rsidRPr="00A85C5A">
        <w:rPr>
          <w:bCs/>
          <w:lang w:eastAsia="en-US"/>
        </w:rPr>
        <w:t>Mohamed,</w:t>
      </w:r>
      <w:r w:rsidRPr="00A85C5A">
        <w:rPr>
          <w:lang w:eastAsia="en-US"/>
        </w:rPr>
        <w:t xml:space="preserve"> 2011)</w:t>
      </w:r>
      <w:r w:rsidR="006C67CD" w:rsidRPr="00A85C5A">
        <w:rPr>
          <w:lang w:eastAsia="en-US"/>
        </w:rPr>
        <w:t xml:space="preserve">. </w:t>
      </w:r>
      <w:r w:rsidR="003910A9" w:rsidRPr="00A85C5A">
        <w:rPr>
          <w:lang w:eastAsia="en-US"/>
        </w:rPr>
        <w:t>Similarly, the observed weight loss in the first st</w:t>
      </w:r>
      <w:r w:rsidR="00EC678E" w:rsidRPr="00A85C5A">
        <w:rPr>
          <w:lang w:eastAsia="en-US"/>
        </w:rPr>
        <w:t xml:space="preserve">ep of decomposition of </w:t>
      </w:r>
      <w:r w:rsidR="003D11F1" w:rsidRPr="00A85C5A">
        <w:rPr>
          <w:bCs/>
          <w:lang w:eastAsia="en-US"/>
        </w:rPr>
        <w:t>[Co</w:t>
      </w:r>
      <w:r w:rsidR="003D11F1" w:rsidRPr="00A85C5A">
        <w:rPr>
          <w:bCs/>
          <w:vertAlign w:val="superscript"/>
          <w:lang w:eastAsia="en-US"/>
        </w:rPr>
        <w:t>II</w:t>
      </w:r>
      <w:r w:rsidR="007A4A09" w:rsidRPr="00A85C5A">
        <w:rPr>
          <w:bCs/>
          <w:lang w:eastAsia="en-US"/>
        </w:rPr>
        <w:t>(L)(phen)</w:t>
      </w:r>
      <w:r w:rsidR="003D11F1" w:rsidRPr="00A85C5A">
        <w:rPr>
          <w:bCs/>
          <w:lang w:eastAsia="en-US"/>
        </w:rPr>
        <w:t>AcO].4H</w:t>
      </w:r>
      <w:r w:rsidR="003D11F1" w:rsidRPr="00A85C5A">
        <w:rPr>
          <w:bCs/>
          <w:vertAlign w:val="subscript"/>
          <w:lang w:eastAsia="en-US"/>
        </w:rPr>
        <w:t>2</w:t>
      </w:r>
      <w:r w:rsidR="003D11F1" w:rsidRPr="00A85C5A">
        <w:rPr>
          <w:bCs/>
          <w:lang w:eastAsia="en-US"/>
        </w:rPr>
        <w:t xml:space="preserve">O </w:t>
      </w:r>
      <w:r w:rsidR="00EC678E" w:rsidRPr="00A85C5A">
        <w:rPr>
          <w:lang w:eastAsia="en-US"/>
        </w:rPr>
        <w:t>complex</w:t>
      </w:r>
      <w:r w:rsidR="003910A9" w:rsidRPr="00A85C5A">
        <w:rPr>
          <w:lang w:eastAsia="en-US"/>
        </w:rPr>
        <w:t xml:space="preserve"> (</w:t>
      </w:r>
      <w:r w:rsidR="003910A9" w:rsidRPr="00A85C5A">
        <w:rPr>
          <w:b/>
          <w:bCs/>
          <w:lang w:eastAsia="en-US"/>
        </w:rPr>
        <w:t>2</w:t>
      </w:r>
      <w:r w:rsidR="003910A9" w:rsidRPr="00A85C5A">
        <w:rPr>
          <w:lang w:eastAsia="en-US"/>
        </w:rPr>
        <w:t xml:space="preserve">) was </w:t>
      </w:r>
      <w:r w:rsidR="00EC678E" w:rsidRPr="00A85C5A">
        <w:rPr>
          <w:lang w:eastAsia="en-US"/>
        </w:rPr>
        <w:t>12.00 % (11.94 %)</w:t>
      </w:r>
      <w:r w:rsidR="00EC678E" w:rsidRPr="00A85C5A">
        <w:rPr>
          <w:lang w:eastAsia="en-US" w:bidi="ta-IN"/>
        </w:rPr>
        <w:t xml:space="preserve"> </w:t>
      </w:r>
      <w:r w:rsidR="003910A9" w:rsidRPr="00A85C5A">
        <w:rPr>
          <w:lang w:eastAsia="en-US"/>
        </w:rPr>
        <w:t xml:space="preserve">at </w:t>
      </w:r>
      <w:r w:rsidR="00EC678E" w:rsidRPr="00A85C5A">
        <w:rPr>
          <w:lang w:eastAsia="en-US"/>
        </w:rPr>
        <w:t>105</w:t>
      </w:r>
      <w:r w:rsidR="003910A9" w:rsidRPr="00A85C5A">
        <w:rPr>
          <w:lang w:eastAsia="en-US"/>
        </w:rPr>
        <w:t xml:space="preserve"> </w:t>
      </w:r>
      <w:r w:rsidR="003910A9" w:rsidRPr="00A85C5A">
        <w:rPr>
          <w:rFonts w:ascii="Segoe UI Symbol" w:hAnsi="Segoe UI Symbol"/>
          <w:lang w:eastAsia="en-US"/>
        </w:rPr>
        <w:t>°</w:t>
      </w:r>
      <w:r w:rsidR="003910A9" w:rsidRPr="00A85C5A">
        <w:rPr>
          <w:lang w:eastAsia="en-US"/>
        </w:rPr>
        <w:t xml:space="preserve">C corresponds to the loss of </w:t>
      </w:r>
      <w:r w:rsidR="00EC678E" w:rsidRPr="00A85C5A">
        <w:rPr>
          <w:lang w:eastAsia="en-US"/>
        </w:rPr>
        <w:t>four</w:t>
      </w:r>
      <w:r w:rsidR="003910A9" w:rsidRPr="00A85C5A">
        <w:rPr>
          <w:lang w:eastAsia="en-US"/>
        </w:rPr>
        <w:t xml:space="preserve"> hydrated water molecules</w:t>
      </w:r>
      <w:r w:rsidR="00EC678E" w:rsidRPr="00A85C5A">
        <w:rPr>
          <w:lang w:eastAsia="en-US"/>
        </w:rPr>
        <w:t>. The observed weight loss in the second degradation step</w:t>
      </w:r>
      <w:r w:rsidR="000226B2" w:rsidRPr="00A85C5A">
        <w:rPr>
          <w:lang w:eastAsia="en-US"/>
        </w:rPr>
        <w:t xml:space="preserve"> </w:t>
      </w:r>
      <w:r w:rsidR="00EC678E" w:rsidRPr="00A85C5A">
        <w:rPr>
          <w:lang w:eastAsia="en-US"/>
        </w:rPr>
        <w:t xml:space="preserve">corresponding to the elimination of the acetate at 250 </w:t>
      </w:r>
      <w:r w:rsidR="00EC678E" w:rsidRPr="00A85C5A">
        <w:rPr>
          <w:rFonts w:ascii="Segoe UI Symbol" w:hAnsi="Segoe UI Symbol"/>
          <w:shd w:val="clear" w:color="auto" w:fill="FFFFFF" w:themeFill="background1"/>
          <w:lang w:eastAsia="en-US"/>
        </w:rPr>
        <w:t>°</w:t>
      </w:r>
      <w:r w:rsidR="00EC678E" w:rsidRPr="00A85C5A">
        <w:rPr>
          <w:shd w:val="clear" w:color="auto" w:fill="FFFFFF" w:themeFill="background1"/>
          <w:lang w:eastAsia="en-US"/>
        </w:rPr>
        <w:t>C</w:t>
      </w:r>
      <w:r w:rsidR="00EC678E" w:rsidRPr="00A85C5A">
        <w:rPr>
          <w:lang w:eastAsia="en-US"/>
        </w:rPr>
        <w:t xml:space="preserve"> and 1,10-</w:t>
      </w:r>
      <w:r w:rsidR="00EC678E" w:rsidRPr="00A85C5A">
        <w:rPr>
          <w:lang w:eastAsia="en-US"/>
        </w:rPr>
        <w:lastRenderedPageBreak/>
        <w:t xml:space="preserve">phenanthroline moiety at 438 </w:t>
      </w:r>
      <w:r w:rsidR="00EC678E" w:rsidRPr="00A85C5A">
        <w:rPr>
          <w:rFonts w:ascii="Segoe UI Symbol" w:hAnsi="Segoe UI Symbol"/>
          <w:shd w:val="clear" w:color="auto" w:fill="FFFFFF" w:themeFill="background1"/>
          <w:lang w:eastAsia="en-US"/>
        </w:rPr>
        <w:t>°</w:t>
      </w:r>
      <w:r w:rsidR="00EC678E" w:rsidRPr="00A85C5A">
        <w:rPr>
          <w:shd w:val="clear" w:color="auto" w:fill="FFFFFF" w:themeFill="background1"/>
          <w:lang w:eastAsia="en-US"/>
        </w:rPr>
        <w:t>C</w:t>
      </w:r>
      <w:r w:rsidR="00EC678E" w:rsidRPr="00A85C5A">
        <w:rPr>
          <w:lang w:eastAsia="en-US"/>
        </w:rPr>
        <w:t xml:space="preserve"> w</w:t>
      </w:r>
      <w:r w:rsidR="000226B2" w:rsidRPr="00A85C5A">
        <w:rPr>
          <w:lang w:eastAsia="en-US"/>
        </w:rPr>
        <w:t>as</w:t>
      </w:r>
      <w:r w:rsidR="00EC678E" w:rsidRPr="00A85C5A">
        <w:rPr>
          <w:lang w:eastAsia="en-US"/>
        </w:rPr>
        <w:t xml:space="preserve"> 39.71 % (39.67 %)</w:t>
      </w:r>
      <w:r w:rsidR="000226B2" w:rsidRPr="00A85C5A">
        <w:rPr>
          <w:lang w:eastAsia="en-US"/>
        </w:rPr>
        <w:t xml:space="preserve">. The obtained weight loss in the third degradation step indicating to the elimination of the </w:t>
      </w:r>
      <w:r w:rsidR="000226B2" w:rsidRPr="00A85C5A">
        <w:rPr>
          <w:lang w:eastAsia="en-US" w:bidi="ta-IN"/>
        </w:rPr>
        <w:t xml:space="preserve">morpholine based </w:t>
      </w:r>
      <w:r w:rsidR="000226B2" w:rsidRPr="00A85C5A">
        <w:rPr>
          <w:lang w:eastAsia="en-US"/>
        </w:rPr>
        <w:t xml:space="preserve">ligand moiety at 718 </w:t>
      </w:r>
      <w:r w:rsidR="000226B2" w:rsidRPr="00A85C5A">
        <w:rPr>
          <w:rFonts w:ascii="Segoe UI Symbol" w:hAnsi="Segoe UI Symbol"/>
          <w:shd w:val="clear" w:color="auto" w:fill="FFFFFF" w:themeFill="background1"/>
          <w:lang w:eastAsia="en-US"/>
        </w:rPr>
        <w:t>°</w:t>
      </w:r>
      <w:r w:rsidR="000226B2" w:rsidRPr="00A85C5A">
        <w:rPr>
          <w:shd w:val="clear" w:color="auto" w:fill="FFFFFF" w:themeFill="background1"/>
          <w:lang w:eastAsia="en-US"/>
        </w:rPr>
        <w:t>C</w:t>
      </w:r>
      <w:r w:rsidR="000226B2" w:rsidRPr="00A85C5A">
        <w:rPr>
          <w:lang w:eastAsia="en-US"/>
        </w:rPr>
        <w:t xml:space="preserve"> was</w:t>
      </w:r>
      <w:r w:rsidR="00AD3BC5" w:rsidRPr="00A85C5A">
        <w:rPr>
          <w:lang w:eastAsia="en-US"/>
        </w:rPr>
        <w:t xml:space="preserve"> </w:t>
      </w:r>
      <w:r w:rsidR="000226B2" w:rsidRPr="00A85C5A">
        <w:rPr>
          <w:lang w:eastAsia="en-US"/>
        </w:rPr>
        <w:t xml:space="preserve">36.12 </w:t>
      </w:r>
      <w:r w:rsidR="00AD3BC5" w:rsidRPr="00A85C5A">
        <w:rPr>
          <w:lang w:eastAsia="en-US"/>
        </w:rPr>
        <w:t xml:space="preserve">% </w:t>
      </w:r>
      <w:r w:rsidR="000226B2" w:rsidRPr="00A85C5A">
        <w:rPr>
          <w:lang w:eastAsia="en-US"/>
        </w:rPr>
        <w:t>(36.15</w:t>
      </w:r>
      <w:r w:rsidR="00AD3BC5" w:rsidRPr="00A85C5A">
        <w:rPr>
          <w:lang w:eastAsia="en-US"/>
        </w:rPr>
        <w:t xml:space="preserve"> %</w:t>
      </w:r>
      <w:r w:rsidR="000226B2" w:rsidRPr="00A85C5A">
        <w:rPr>
          <w:lang w:eastAsia="en-US"/>
        </w:rPr>
        <w:t>)</w:t>
      </w:r>
      <w:r w:rsidR="00AD3BC5" w:rsidRPr="00A85C5A">
        <w:rPr>
          <w:lang w:eastAsia="en-US"/>
        </w:rPr>
        <w:t>. The remaining mass loss</w:t>
      </w:r>
      <w:r w:rsidR="008D0E51" w:rsidRPr="00A85C5A">
        <w:rPr>
          <w:lang w:eastAsia="en-US"/>
        </w:rPr>
        <w:t xml:space="preserve"> of </w:t>
      </w:r>
      <w:r w:rsidR="00AD3BC5" w:rsidRPr="00A85C5A">
        <w:rPr>
          <w:lang w:eastAsia="en-US"/>
        </w:rPr>
        <w:t>was 12.39 %</w:t>
      </w:r>
      <w:r w:rsidR="00AD788D" w:rsidRPr="00A85C5A">
        <w:rPr>
          <w:lang w:eastAsia="en-US"/>
        </w:rPr>
        <w:t xml:space="preserve"> </w:t>
      </w:r>
      <w:r w:rsidR="00AD3BC5" w:rsidRPr="00A85C5A">
        <w:rPr>
          <w:lang w:eastAsia="en-US"/>
        </w:rPr>
        <w:t>(12.42 %)</w:t>
      </w:r>
      <w:r w:rsidR="008A03A5" w:rsidRPr="00A85C5A">
        <w:rPr>
          <w:lang w:eastAsia="en-US"/>
        </w:rPr>
        <w:t xml:space="preserve"> due to the formation of ZnO residue</w:t>
      </w:r>
      <w:r w:rsidR="00AD3BC5" w:rsidRPr="00A85C5A">
        <w:rPr>
          <w:shd w:val="clear" w:color="auto" w:fill="FFFFFF" w:themeFill="background1"/>
          <w:lang w:eastAsia="en-US"/>
        </w:rPr>
        <w:t>.</w:t>
      </w:r>
      <w:r w:rsidR="00686958" w:rsidRPr="00A85C5A">
        <w:rPr>
          <w:shd w:val="clear" w:color="auto" w:fill="FFFFFF" w:themeFill="background1"/>
          <w:lang w:eastAsia="en-US"/>
        </w:rPr>
        <w:t xml:space="preserve"> </w:t>
      </w:r>
      <w:r w:rsidR="00010EF2" w:rsidRPr="00A85C5A">
        <w:rPr>
          <w:lang w:eastAsia="en-US"/>
        </w:rPr>
        <w:t xml:space="preserve">The observed weight loss in the first step of decomposition of </w:t>
      </w:r>
      <w:r w:rsidR="00010EF2" w:rsidRPr="00A85C5A">
        <w:rPr>
          <w:shd w:val="clear" w:color="auto" w:fill="FFFFFF" w:themeFill="background1"/>
          <w:lang w:eastAsia="en-US"/>
        </w:rPr>
        <w:t xml:space="preserve">the </w:t>
      </w:r>
      <w:r w:rsidR="00686958" w:rsidRPr="00A85C5A">
        <w:rPr>
          <w:shd w:val="clear" w:color="auto" w:fill="FFFFFF" w:themeFill="background1"/>
          <w:lang w:eastAsia="en-US"/>
        </w:rPr>
        <w:t>complex (</w:t>
      </w:r>
      <w:r w:rsidR="00686958" w:rsidRPr="00A85C5A">
        <w:rPr>
          <w:b/>
          <w:bCs/>
          <w:shd w:val="clear" w:color="auto" w:fill="FFFFFF" w:themeFill="background1"/>
          <w:lang w:eastAsia="en-US"/>
        </w:rPr>
        <w:t>3</w:t>
      </w:r>
      <w:r w:rsidR="00686958" w:rsidRPr="00A85C5A">
        <w:rPr>
          <w:shd w:val="clear" w:color="auto" w:fill="FFFFFF" w:themeFill="background1"/>
          <w:lang w:eastAsia="en-US"/>
        </w:rPr>
        <w:t xml:space="preserve">) </w:t>
      </w:r>
      <w:r w:rsidR="00686958" w:rsidRPr="00A85C5A">
        <w:rPr>
          <w:bCs/>
          <w:shd w:val="clear" w:color="auto" w:fill="FFFFFF" w:themeFill="background1"/>
          <w:lang w:eastAsia="en-US"/>
        </w:rPr>
        <w:t>[Mn</w:t>
      </w:r>
      <w:r w:rsidR="00686958" w:rsidRPr="00A85C5A">
        <w:rPr>
          <w:bCs/>
          <w:shd w:val="clear" w:color="auto" w:fill="FFFFFF" w:themeFill="background1"/>
          <w:vertAlign w:val="superscript"/>
          <w:lang w:eastAsia="en-US"/>
        </w:rPr>
        <w:t>II</w:t>
      </w:r>
      <w:r w:rsidR="007A4A09" w:rsidRPr="00A85C5A">
        <w:rPr>
          <w:bCs/>
          <w:shd w:val="clear" w:color="auto" w:fill="FFFFFF" w:themeFill="background1"/>
          <w:lang w:eastAsia="en-US"/>
        </w:rPr>
        <w:t>(L)(phen)</w:t>
      </w:r>
      <w:r w:rsidR="00686958" w:rsidRPr="00A85C5A">
        <w:rPr>
          <w:bCs/>
          <w:shd w:val="clear" w:color="auto" w:fill="FFFFFF" w:themeFill="background1"/>
          <w:lang w:eastAsia="en-US"/>
        </w:rPr>
        <w:t>AcO].4H</w:t>
      </w:r>
      <w:r w:rsidR="00686958" w:rsidRPr="00A85C5A">
        <w:rPr>
          <w:bCs/>
          <w:shd w:val="clear" w:color="auto" w:fill="FFFFFF" w:themeFill="background1"/>
          <w:vertAlign w:val="subscript"/>
          <w:lang w:eastAsia="en-US"/>
        </w:rPr>
        <w:t>2</w:t>
      </w:r>
      <w:r w:rsidR="00686958" w:rsidRPr="00A85C5A">
        <w:rPr>
          <w:bCs/>
          <w:shd w:val="clear" w:color="auto" w:fill="FFFFFF" w:themeFill="background1"/>
          <w:lang w:eastAsia="en-US"/>
        </w:rPr>
        <w:t>O</w:t>
      </w:r>
      <w:r w:rsidR="00010EF2" w:rsidRPr="00A85C5A">
        <w:rPr>
          <w:bCs/>
          <w:shd w:val="clear" w:color="auto" w:fill="FFFFFF" w:themeFill="background1"/>
          <w:lang w:eastAsia="en-US"/>
        </w:rPr>
        <w:t xml:space="preserve"> </w:t>
      </w:r>
      <w:r w:rsidR="00010EF2" w:rsidRPr="00A85C5A">
        <w:rPr>
          <w:lang w:eastAsia="en-US"/>
        </w:rPr>
        <w:t xml:space="preserve">was 12.08 % (12.02 %) at 105 </w:t>
      </w:r>
      <w:r w:rsidR="00010EF2" w:rsidRPr="00A85C5A">
        <w:rPr>
          <w:rFonts w:ascii="Segoe UI Symbol" w:hAnsi="Segoe UI Symbol"/>
          <w:lang w:eastAsia="en-US"/>
        </w:rPr>
        <w:t>°</w:t>
      </w:r>
      <w:r w:rsidR="00010EF2" w:rsidRPr="00A85C5A">
        <w:rPr>
          <w:lang w:eastAsia="en-US"/>
        </w:rPr>
        <w:t xml:space="preserve">C </w:t>
      </w:r>
      <w:r w:rsidR="008D0E51" w:rsidRPr="00A85C5A">
        <w:rPr>
          <w:lang w:eastAsia="en-US"/>
        </w:rPr>
        <w:t>corresponding</w:t>
      </w:r>
      <w:r w:rsidR="00010EF2" w:rsidRPr="00A85C5A">
        <w:rPr>
          <w:lang w:eastAsia="en-US"/>
        </w:rPr>
        <w:t xml:space="preserve"> to the loss of four </w:t>
      </w:r>
      <w:r w:rsidR="008D0E51" w:rsidRPr="00A85C5A">
        <w:rPr>
          <w:lang w:eastAsia="en-US"/>
        </w:rPr>
        <w:t>lattice</w:t>
      </w:r>
      <w:r w:rsidR="00010EF2" w:rsidRPr="00A85C5A">
        <w:rPr>
          <w:lang w:eastAsia="en-US"/>
        </w:rPr>
        <w:t xml:space="preserve"> water molecules</w:t>
      </w:r>
      <w:r w:rsidR="008D0E51" w:rsidRPr="00A85C5A">
        <w:rPr>
          <w:bCs/>
          <w:shd w:val="clear" w:color="auto" w:fill="FFFFFF" w:themeFill="background1"/>
          <w:lang w:eastAsia="en-US"/>
        </w:rPr>
        <w:t xml:space="preserve">. </w:t>
      </w:r>
      <w:r w:rsidR="008D0E51" w:rsidRPr="00A85C5A">
        <w:rPr>
          <w:lang w:eastAsia="en-US"/>
        </w:rPr>
        <w:t>In the second degradation step, the loss of the acetate at 2</w:t>
      </w:r>
      <w:r w:rsidR="00454E84" w:rsidRPr="00A85C5A">
        <w:rPr>
          <w:lang w:eastAsia="en-US"/>
        </w:rPr>
        <w:t>6</w:t>
      </w:r>
      <w:r w:rsidR="008D0E51" w:rsidRPr="00A85C5A">
        <w:rPr>
          <w:lang w:eastAsia="en-US"/>
        </w:rPr>
        <w:t xml:space="preserve">0 </w:t>
      </w:r>
      <w:r w:rsidR="008D0E51" w:rsidRPr="00A85C5A">
        <w:rPr>
          <w:rFonts w:ascii="Segoe UI Symbol" w:hAnsi="Segoe UI Symbol"/>
          <w:shd w:val="clear" w:color="auto" w:fill="FFFFFF" w:themeFill="background1"/>
          <w:lang w:eastAsia="en-US"/>
        </w:rPr>
        <w:t>°</w:t>
      </w:r>
      <w:r w:rsidR="008D0E51" w:rsidRPr="00A85C5A">
        <w:rPr>
          <w:shd w:val="clear" w:color="auto" w:fill="FFFFFF" w:themeFill="background1"/>
          <w:lang w:eastAsia="en-US"/>
        </w:rPr>
        <w:t>C</w:t>
      </w:r>
      <w:r w:rsidR="008D0E51" w:rsidRPr="00A85C5A">
        <w:rPr>
          <w:lang w:eastAsia="en-US"/>
        </w:rPr>
        <w:t xml:space="preserve"> and 1,10-phenanthroline moiety at 4</w:t>
      </w:r>
      <w:r w:rsidR="00454E84" w:rsidRPr="00A85C5A">
        <w:rPr>
          <w:lang w:eastAsia="en-US"/>
        </w:rPr>
        <w:t>00</w:t>
      </w:r>
      <w:r w:rsidR="008D0E51" w:rsidRPr="00A85C5A">
        <w:rPr>
          <w:lang w:eastAsia="en-US"/>
        </w:rPr>
        <w:t xml:space="preserve"> </w:t>
      </w:r>
      <w:r w:rsidR="008D0E51" w:rsidRPr="00A85C5A">
        <w:rPr>
          <w:rFonts w:ascii="Segoe UI Symbol" w:hAnsi="Segoe UI Symbol"/>
          <w:shd w:val="clear" w:color="auto" w:fill="FFFFFF" w:themeFill="background1"/>
          <w:lang w:eastAsia="en-US"/>
        </w:rPr>
        <w:t>°</w:t>
      </w:r>
      <w:r w:rsidR="008D0E51" w:rsidRPr="00A85C5A">
        <w:rPr>
          <w:shd w:val="clear" w:color="auto" w:fill="FFFFFF" w:themeFill="background1"/>
          <w:lang w:eastAsia="en-US"/>
        </w:rPr>
        <w:t>C</w:t>
      </w:r>
      <w:r w:rsidR="008D0E51" w:rsidRPr="00A85C5A">
        <w:rPr>
          <w:lang w:eastAsia="en-US"/>
        </w:rPr>
        <w:t xml:space="preserve"> was </w:t>
      </w:r>
      <w:r w:rsidR="00454E84" w:rsidRPr="00A85C5A">
        <w:rPr>
          <w:lang w:eastAsia="en-US"/>
        </w:rPr>
        <w:t>39.80 % (39.93 %)</w:t>
      </w:r>
      <w:r w:rsidR="0044411B" w:rsidRPr="00A85C5A">
        <w:rPr>
          <w:lang w:eastAsia="en-US"/>
        </w:rPr>
        <w:t xml:space="preserve">. In the third degradation step, the observed weight loss of the organic part of </w:t>
      </w:r>
      <w:r w:rsidR="0044411B" w:rsidRPr="00A85C5A">
        <w:rPr>
          <w:lang w:eastAsia="en-US" w:bidi="ta-IN"/>
        </w:rPr>
        <w:t xml:space="preserve">morpholine based </w:t>
      </w:r>
      <w:r w:rsidR="0044411B" w:rsidRPr="00A85C5A">
        <w:rPr>
          <w:lang w:eastAsia="en-US"/>
        </w:rPr>
        <w:t xml:space="preserve">ligand moiety at 728 </w:t>
      </w:r>
      <w:r w:rsidR="0044411B" w:rsidRPr="00A85C5A">
        <w:rPr>
          <w:rFonts w:ascii="Segoe UI Symbol" w:hAnsi="Segoe UI Symbol"/>
          <w:shd w:val="clear" w:color="auto" w:fill="FFFFFF" w:themeFill="background1"/>
          <w:lang w:eastAsia="en-US"/>
        </w:rPr>
        <w:t>°</w:t>
      </w:r>
      <w:r w:rsidR="0044411B" w:rsidRPr="00A85C5A">
        <w:rPr>
          <w:shd w:val="clear" w:color="auto" w:fill="FFFFFF" w:themeFill="background1"/>
          <w:lang w:eastAsia="en-US"/>
        </w:rPr>
        <w:t xml:space="preserve">C was </w:t>
      </w:r>
      <w:r w:rsidR="0044411B" w:rsidRPr="00A85C5A">
        <w:rPr>
          <w:lang w:eastAsia="en-US"/>
        </w:rPr>
        <w:t>36.40 % (36.39 %).</w:t>
      </w:r>
      <w:r w:rsidR="00412765" w:rsidRPr="00A85C5A">
        <w:rPr>
          <w:lang w:eastAsia="en-US"/>
        </w:rPr>
        <w:t xml:space="preserve"> The formation of </w:t>
      </w:r>
      <w:r w:rsidR="00503303" w:rsidRPr="00A85C5A">
        <w:rPr>
          <w:lang w:eastAsia="en-US"/>
        </w:rPr>
        <w:t xml:space="preserve">MnO </w:t>
      </w:r>
      <w:r w:rsidR="00412765" w:rsidRPr="00A85C5A">
        <w:rPr>
          <w:lang w:eastAsia="en-US"/>
        </w:rPr>
        <w:t>residue weight loss was 11.77 % (11.84 %)</w:t>
      </w:r>
      <w:r w:rsidR="00412765" w:rsidRPr="00A85C5A">
        <w:rPr>
          <w:shd w:val="clear" w:color="auto" w:fill="FFFFFF" w:themeFill="background1"/>
          <w:lang w:eastAsia="en-US"/>
        </w:rPr>
        <w:t xml:space="preserve">. In the case of </w:t>
      </w:r>
      <w:r w:rsidR="00412765" w:rsidRPr="00A85C5A">
        <w:rPr>
          <w:bCs/>
          <w:lang w:eastAsia="en-US"/>
        </w:rPr>
        <w:t>[Ni</w:t>
      </w:r>
      <w:r w:rsidR="00412765" w:rsidRPr="00A85C5A">
        <w:rPr>
          <w:bCs/>
          <w:vertAlign w:val="superscript"/>
          <w:lang w:eastAsia="en-US"/>
        </w:rPr>
        <w:t>II</w:t>
      </w:r>
      <w:r w:rsidR="007A4A09" w:rsidRPr="00A85C5A">
        <w:rPr>
          <w:bCs/>
          <w:lang w:eastAsia="en-US"/>
        </w:rPr>
        <w:t>(L)(phen)</w:t>
      </w:r>
      <w:r w:rsidR="00412765" w:rsidRPr="00A85C5A">
        <w:rPr>
          <w:bCs/>
          <w:lang w:eastAsia="en-US"/>
        </w:rPr>
        <w:t>AcO].4H</w:t>
      </w:r>
      <w:r w:rsidR="00412765" w:rsidRPr="00A85C5A">
        <w:rPr>
          <w:bCs/>
          <w:vertAlign w:val="subscript"/>
          <w:lang w:eastAsia="en-US"/>
        </w:rPr>
        <w:t>2</w:t>
      </w:r>
      <w:r w:rsidR="00412765" w:rsidRPr="00A85C5A">
        <w:rPr>
          <w:bCs/>
          <w:lang w:eastAsia="en-US"/>
        </w:rPr>
        <w:t>O complex (</w:t>
      </w:r>
      <w:r w:rsidR="00412765" w:rsidRPr="00A85C5A">
        <w:rPr>
          <w:b/>
          <w:lang w:eastAsia="en-US"/>
        </w:rPr>
        <w:t>4</w:t>
      </w:r>
      <w:r w:rsidR="00412765" w:rsidRPr="00A85C5A">
        <w:rPr>
          <w:bCs/>
          <w:lang w:eastAsia="en-US"/>
        </w:rPr>
        <w:t xml:space="preserve">), the first step at 95 </w:t>
      </w:r>
      <w:r w:rsidR="00412765" w:rsidRPr="00A85C5A">
        <w:rPr>
          <w:rFonts w:ascii="Segoe UI Symbol" w:hAnsi="Segoe UI Symbol"/>
          <w:shd w:val="clear" w:color="auto" w:fill="FFFFFF" w:themeFill="background1"/>
          <w:lang w:eastAsia="en-US"/>
        </w:rPr>
        <w:t>°</w:t>
      </w:r>
      <w:r w:rsidR="00412765" w:rsidRPr="00A85C5A">
        <w:rPr>
          <w:shd w:val="clear" w:color="auto" w:fill="FFFFFF" w:themeFill="background1"/>
          <w:lang w:eastAsia="en-US"/>
        </w:rPr>
        <w:t>C</w:t>
      </w:r>
      <w:r w:rsidR="00412765" w:rsidRPr="00A85C5A">
        <w:rPr>
          <w:lang w:eastAsia="en-US"/>
        </w:rPr>
        <w:t xml:space="preserve"> by estimated mass loss of 12.00 % (11.94 %) which may be attributed to the loss of four lattice water molecules. The second </w:t>
      </w:r>
      <w:r w:rsidR="009A4115" w:rsidRPr="00A85C5A">
        <w:rPr>
          <w:lang w:eastAsia="en-US"/>
        </w:rPr>
        <w:t xml:space="preserve">decomposition </w:t>
      </w:r>
      <w:r w:rsidR="00412765" w:rsidRPr="00A85C5A">
        <w:rPr>
          <w:lang w:eastAsia="en-US"/>
        </w:rPr>
        <w:t>step</w:t>
      </w:r>
      <w:r w:rsidR="009A4115" w:rsidRPr="00A85C5A">
        <w:rPr>
          <w:lang w:eastAsia="en-US"/>
        </w:rPr>
        <w:t xml:space="preserve"> at 248 </w:t>
      </w:r>
      <w:r w:rsidR="009A4115" w:rsidRPr="00A85C5A">
        <w:rPr>
          <w:rFonts w:ascii="Segoe UI Symbol" w:hAnsi="Segoe UI Symbol"/>
          <w:shd w:val="clear" w:color="auto" w:fill="FFFFFF" w:themeFill="background1"/>
          <w:lang w:eastAsia="en-US"/>
        </w:rPr>
        <w:t>°</w:t>
      </w:r>
      <w:r w:rsidR="009A4115" w:rsidRPr="00A85C5A">
        <w:rPr>
          <w:shd w:val="clear" w:color="auto" w:fill="FFFFFF" w:themeFill="background1"/>
          <w:lang w:eastAsia="en-US"/>
        </w:rPr>
        <w:t xml:space="preserve">C </w:t>
      </w:r>
      <w:r w:rsidR="00503303" w:rsidRPr="00A85C5A">
        <w:rPr>
          <w:shd w:val="clear" w:color="auto" w:fill="FFFFFF" w:themeFill="background1"/>
          <w:lang w:eastAsia="en-US"/>
        </w:rPr>
        <w:t xml:space="preserve">and </w:t>
      </w:r>
      <w:r w:rsidR="00503303" w:rsidRPr="00A85C5A">
        <w:rPr>
          <w:lang w:eastAsia="en-US"/>
        </w:rPr>
        <w:t xml:space="preserve">400 </w:t>
      </w:r>
      <w:r w:rsidR="00503303" w:rsidRPr="00A85C5A">
        <w:rPr>
          <w:rFonts w:ascii="Segoe UI Symbol" w:hAnsi="Segoe UI Symbol"/>
          <w:shd w:val="clear" w:color="auto" w:fill="FFFFFF" w:themeFill="background1"/>
          <w:lang w:eastAsia="en-US"/>
        </w:rPr>
        <w:t>°</w:t>
      </w:r>
      <w:r w:rsidR="00503303" w:rsidRPr="00A85C5A">
        <w:rPr>
          <w:shd w:val="clear" w:color="auto" w:fill="FFFFFF" w:themeFill="background1"/>
          <w:lang w:eastAsia="en-US"/>
        </w:rPr>
        <w:t xml:space="preserve">C respectively </w:t>
      </w:r>
      <w:r w:rsidR="009A4115" w:rsidRPr="00A85C5A">
        <w:rPr>
          <w:shd w:val="clear" w:color="auto" w:fill="FFFFFF" w:themeFill="background1"/>
          <w:lang w:eastAsia="en-US"/>
        </w:rPr>
        <w:t xml:space="preserve">with an estimated mass loss of </w:t>
      </w:r>
      <w:r w:rsidR="009A4115" w:rsidRPr="00A85C5A">
        <w:rPr>
          <w:lang w:eastAsia="en-US"/>
        </w:rPr>
        <w:t>39.72 % (39.68 %)</w:t>
      </w:r>
      <w:r w:rsidR="003D11F1" w:rsidRPr="00A85C5A">
        <w:rPr>
          <w:lang w:eastAsia="en-US"/>
        </w:rPr>
        <w:t>, accounting for the expulsion of the acetate and 1,10-phenanthroline moieties. The</w:t>
      </w:r>
      <w:r w:rsidR="00503303" w:rsidRPr="00A85C5A">
        <w:rPr>
          <w:lang w:eastAsia="en-US"/>
        </w:rPr>
        <w:t xml:space="preserve"> third decomposition step at 715</w:t>
      </w:r>
      <w:r w:rsidR="003D11F1" w:rsidRPr="00A85C5A">
        <w:rPr>
          <w:lang w:eastAsia="en-US"/>
        </w:rPr>
        <w:t xml:space="preserve"> </w:t>
      </w:r>
      <w:r w:rsidR="003D11F1" w:rsidRPr="00A85C5A">
        <w:rPr>
          <w:rFonts w:ascii="Segoe UI Symbol" w:hAnsi="Segoe UI Symbol"/>
          <w:shd w:val="clear" w:color="auto" w:fill="FFFFFF" w:themeFill="background1"/>
          <w:lang w:eastAsia="en-US"/>
        </w:rPr>
        <w:t>°</w:t>
      </w:r>
      <w:r w:rsidR="003D11F1" w:rsidRPr="00A85C5A">
        <w:rPr>
          <w:shd w:val="clear" w:color="auto" w:fill="FFFFFF" w:themeFill="background1"/>
          <w:lang w:eastAsia="en-US"/>
        </w:rPr>
        <w:t xml:space="preserve">C with an estimated mass loss of </w:t>
      </w:r>
      <w:r w:rsidR="003D11F1" w:rsidRPr="00A85C5A">
        <w:rPr>
          <w:lang w:eastAsia="en-US"/>
        </w:rPr>
        <w:t xml:space="preserve">36.14 % (36.17 %), accounting for the expulsion of the total organic part of </w:t>
      </w:r>
      <w:r w:rsidR="003D11F1" w:rsidRPr="00A85C5A">
        <w:rPr>
          <w:lang w:eastAsia="en-US" w:bidi="ta-IN"/>
        </w:rPr>
        <w:t xml:space="preserve">morpholine based </w:t>
      </w:r>
      <w:r w:rsidR="003D11F1" w:rsidRPr="00A85C5A">
        <w:rPr>
          <w:lang w:eastAsia="en-US"/>
        </w:rPr>
        <w:t>ligand moiety.</w:t>
      </w:r>
      <w:r w:rsidR="00E84387" w:rsidRPr="00A85C5A">
        <w:rPr>
          <w:lang w:eastAsia="en-US"/>
        </w:rPr>
        <w:t xml:space="preserve"> </w:t>
      </w:r>
      <w:r w:rsidR="003D11F1" w:rsidRPr="00A85C5A">
        <w:rPr>
          <w:lang w:eastAsia="en-US"/>
        </w:rPr>
        <w:t>The remaining mass loss is</w:t>
      </w:r>
      <w:r w:rsidR="00F511AA" w:rsidRPr="00A85C5A">
        <w:rPr>
          <w:lang w:eastAsia="en-US"/>
        </w:rPr>
        <w:t xml:space="preserve"> 12.35 % (12.39 %)</w:t>
      </w:r>
      <w:r w:rsidR="00C71761" w:rsidRPr="00A85C5A">
        <w:rPr>
          <w:lang w:eastAsia="en-US"/>
        </w:rPr>
        <w:t xml:space="preserve">, regarded as NiO residue. </w:t>
      </w:r>
      <w:r w:rsidR="00C47678" w:rsidRPr="00A85C5A">
        <w:rPr>
          <w:bCs/>
          <w:lang w:eastAsia="en-US"/>
        </w:rPr>
        <w:t>[Zn</w:t>
      </w:r>
      <w:r w:rsidR="00C47678" w:rsidRPr="00A85C5A">
        <w:rPr>
          <w:bCs/>
          <w:vertAlign w:val="superscript"/>
          <w:lang w:eastAsia="en-US"/>
        </w:rPr>
        <w:t>II</w:t>
      </w:r>
      <w:r w:rsidR="007A4A09" w:rsidRPr="00A85C5A">
        <w:rPr>
          <w:bCs/>
          <w:lang w:eastAsia="en-US"/>
        </w:rPr>
        <w:t>(L)(phen)</w:t>
      </w:r>
      <w:r w:rsidR="00C47678" w:rsidRPr="00A85C5A">
        <w:rPr>
          <w:bCs/>
          <w:lang w:eastAsia="en-US"/>
        </w:rPr>
        <w:t>AcO].2H</w:t>
      </w:r>
      <w:r w:rsidR="00C47678" w:rsidRPr="00A85C5A">
        <w:rPr>
          <w:bCs/>
          <w:vertAlign w:val="subscript"/>
          <w:lang w:eastAsia="en-US"/>
        </w:rPr>
        <w:t>2</w:t>
      </w:r>
      <w:r w:rsidR="00C47678" w:rsidRPr="00A85C5A">
        <w:rPr>
          <w:bCs/>
          <w:lang w:eastAsia="en-US"/>
        </w:rPr>
        <w:t>O complex (</w:t>
      </w:r>
      <w:r w:rsidR="00C47678" w:rsidRPr="00A85C5A">
        <w:rPr>
          <w:b/>
          <w:lang w:eastAsia="en-US"/>
        </w:rPr>
        <w:t>5</w:t>
      </w:r>
      <w:r w:rsidR="00C47678" w:rsidRPr="00A85C5A">
        <w:rPr>
          <w:bCs/>
          <w:lang w:eastAsia="en-US"/>
        </w:rPr>
        <w:t xml:space="preserve">) decomposed in three successive steps. The first step corresponds to the mass loss of </w:t>
      </w:r>
      <w:r w:rsidR="00930541" w:rsidRPr="00A85C5A">
        <w:rPr>
          <w:lang w:eastAsia="en-US"/>
        </w:rPr>
        <w:t xml:space="preserve">two </w:t>
      </w:r>
      <w:r w:rsidR="00C47678" w:rsidRPr="00A85C5A">
        <w:rPr>
          <w:lang w:eastAsia="en-US"/>
        </w:rPr>
        <w:t xml:space="preserve">hydrated water molecules with an estimated mass loss of 06.31 % (06.27 %) </w:t>
      </w:r>
      <w:r w:rsidR="00F926DA" w:rsidRPr="00A85C5A">
        <w:rPr>
          <w:lang w:eastAsia="en-US"/>
        </w:rPr>
        <w:t xml:space="preserve">at 105 </w:t>
      </w:r>
      <w:r w:rsidR="00F926DA" w:rsidRPr="00A85C5A">
        <w:rPr>
          <w:rFonts w:ascii="Segoe UI Symbol" w:hAnsi="Segoe UI Symbol"/>
          <w:shd w:val="clear" w:color="auto" w:fill="FFFFFF" w:themeFill="background1"/>
          <w:lang w:eastAsia="en-US"/>
        </w:rPr>
        <w:t>°</w:t>
      </w:r>
      <w:r w:rsidR="00F926DA" w:rsidRPr="00A85C5A">
        <w:rPr>
          <w:shd w:val="clear" w:color="auto" w:fill="FFFFFF" w:themeFill="background1"/>
          <w:lang w:eastAsia="en-US"/>
        </w:rPr>
        <w:t>C</w:t>
      </w:r>
      <w:r w:rsidR="000E498C" w:rsidRPr="00A85C5A">
        <w:rPr>
          <w:shd w:val="clear" w:color="auto" w:fill="FFFFFF" w:themeFill="background1"/>
          <w:lang w:eastAsia="en-US"/>
        </w:rPr>
        <w:t xml:space="preserve">. The second </w:t>
      </w:r>
      <w:r w:rsidR="000E498C" w:rsidRPr="00A85C5A">
        <w:rPr>
          <w:lang w:eastAsia="en-US"/>
        </w:rPr>
        <w:t xml:space="preserve">decomposition step </w:t>
      </w:r>
      <w:r w:rsidR="008116C7" w:rsidRPr="00A85C5A">
        <w:rPr>
          <w:lang w:eastAsia="en-US"/>
        </w:rPr>
        <w:t>occur</w:t>
      </w:r>
      <w:r w:rsidR="008116C7" w:rsidRPr="00A85C5A">
        <w:rPr>
          <w:shd w:val="clear" w:color="auto" w:fill="FFFFFF" w:themeFill="background1"/>
          <w:lang w:eastAsia="en-US"/>
        </w:rPr>
        <w:t xml:space="preserve"> </w:t>
      </w:r>
      <w:r w:rsidR="000E498C" w:rsidRPr="00A85C5A">
        <w:rPr>
          <w:shd w:val="clear" w:color="auto" w:fill="FFFFFF" w:themeFill="background1"/>
          <w:lang w:eastAsia="en-US"/>
        </w:rPr>
        <w:t xml:space="preserve">with an estimated mass loss of </w:t>
      </w:r>
      <w:r w:rsidR="000E498C" w:rsidRPr="00A85C5A">
        <w:rPr>
          <w:lang w:eastAsia="en-US"/>
        </w:rPr>
        <w:t xml:space="preserve">41.76 % (41.72 %) which may attribute to loss of the acetate </w:t>
      </w:r>
      <w:r w:rsidR="008116C7" w:rsidRPr="00A85C5A">
        <w:rPr>
          <w:lang w:eastAsia="en-US"/>
        </w:rPr>
        <w:t xml:space="preserve">at 220 </w:t>
      </w:r>
      <w:r w:rsidR="008116C7" w:rsidRPr="00A85C5A">
        <w:rPr>
          <w:rFonts w:ascii="Segoe UI Symbol" w:hAnsi="Segoe UI Symbol"/>
          <w:shd w:val="clear" w:color="auto" w:fill="FFFFFF" w:themeFill="background1"/>
          <w:lang w:eastAsia="en-US"/>
        </w:rPr>
        <w:t>°</w:t>
      </w:r>
      <w:r w:rsidR="008116C7" w:rsidRPr="00A85C5A">
        <w:rPr>
          <w:shd w:val="clear" w:color="auto" w:fill="FFFFFF" w:themeFill="background1"/>
          <w:lang w:eastAsia="en-US"/>
        </w:rPr>
        <w:t xml:space="preserve">C </w:t>
      </w:r>
      <w:r w:rsidR="008116C7" w:rsidRPr="00A85C5A">
        <w:rPr>
          <w:lang w:eastAsia="en-US"/>
        </w:rPr>
        <w:t xml:space="preserve">and 1,10-phenanthroline moiety at 410 </w:t>
      </w:r>
      <w:r w:rsidR="008116C7" w:rsidRPr="00A85C5A">
        <w:rPr>
          <w:rFonts w:ascii="Segoe UI Symbol" w:hAnsi="Segoe UI Symbol"/>
          <w:shd w:val="clear" w:color="auto" w:fill="FFFFFF" w:themeFill="background1"/>
          <w:lang w:eastAsia="en-US"/>
        </w:rPr>
        <w:t>°</w:t>
      </w:r>
      <w:r w:rsidR="008116C7" w:rsidRPr="00A85C5A">
        <w:rPr>
          <w:shd w:val="clear" w:color="auto" w:fill="FFFFFF" w:themeFill="background1"/>
          <w:lang w:eastAsia="en-US"/>
        </w:rPr>
        <w:t>C</w:t>
      </w:r>
      <w:r w:rsidR="000E498C" w:rsidRPr="00A85C5A">
        <w:rPr>
          <w:lang w:eastAsia="en-US"/>
        </w:rPr>
        <w:t>. Th</w:t>
      </w:r>
      <w:r w:rsidR="003F3F11" w:rsidRPr="00A85C5A">
        <w:rPr>
          <w:lang w:eastAsia="en-US"/>
        </w:rPr>
        <w:t xml:space="preserve">e third decomposition step at 722 </w:t>
      </w:r>
      <w:r w:rsidR="000E498C" w:rsidRPr="00A85C5A">
        <w:rPr>
          <w:rFonts w:ascii="Segoe UI Symbol" w:hAnsi="Segoe UI Symbol"/>
          <w:shd w:val="clear" w:color="auto" w:fill="FFFFFF" w:themeFill="background1"/>
          <w:lang w:eastAsia="en-US"/>
        </w:rPr>
        <w:t>°</w:t>
      </w:r>
      <w:r w:rsidR="000E498C" w:rsidRPr="00A85C5A">
        <w:rPr>
          <w:shd w:val="clear" w:color="auto" w:fill="FFFFFF" w:themeFill="background1"/>
          <w:lang w:eastAsia="en-US"/>
        </w:rPr>
        <w:t xml:space="preserve">C with an estimated mass loss of </w:t>
      </w:r>
      <w:r w:rsidR="000E498C" w:rsidRPr="00A85C5A">
        <w:rPr>
          <w:lang w:eastAsia="en-US"/>
        </w:rPr>
        <w:t xml:space="preserve">38.07 % (38.02 %), </w:t>
      </w:r>
      <w:r w:rsidR="000E498C" w:rsidRPr="00A85C5A">
        <w:rPr>
          <w:lang w:eastAsia="en-US"/>
        </w:rPr>
        <w:lastRenderedPageBreak/>
        <w:t xml:space="preserve">corresponding to the expulsion of the total organic part of </w:t>
      </w:r>
      <w:r w:rsidR="000E498C" w:rsidRPr="00A85C5A">
        <w:rPr>
          <w:lang w:eastAsia="en-US" w:bidi="ta-IN"/>
        </w:rPr>
        <w:t xml:space="preserve">morpholine based </w:t>
      </w:r>
      <w:r w:rsidR="00810656" w:rsidRPr="00A85C5A">
        <w:rPr>
          <w:lang w:eastAsia="en-US"/>
        </w:rPr>
        <w:t>ligand</w:t>
      </w:r>
      <w:r w:rsidR="000E498C" w:rsidRPr="00A85C5A">
        <w:rPr>
          <w:lang w:eastAsia="en-US"/>
        </w:rPr>
        <w:t>. The final product obtained was 14.16 % (14.19 %) in this compl</w:t>
      </w:r>
      <w:r w:rsidR="003F3F11" w:rsidRPr="00A85C5A">
        <w:rPr>
          <w:lang w:eastAsia="en-US"/>
        </w:rPr>
        <w:t>ex which also may</w:t>
      </w:r>
      <w:r w:rsidR="00F02B89" w:rsidRPr="00A85C5A">
        <w:rPr>
          <w:lang w:eastAsia="en-US"/>
        </w:rPr>
        <w:t xml:space="preserve"> be due to the formation of ZnO and </w:t>
      </w:r>
      <w:r w:rsidR="00F02B89" w:rsidRPr="00A85C5A">
        <w:rPr>
          <w:lang w:val="en-US"/>
        </w:rPr>
        <w:t xml:space="preserve">the overall thermal </w:t>
      </w:r>
      <w:r w:rsidR="00F02B89" w:rsidRPr="00A85C5A">
        <w:rPr>
          <w:lang w:eastAsia="en-US"/>
        </w:rPr>
        <w:t>degradation steps of complexes (</w:t>
      </w:r>
      <w:r w:rsidR="00F02B89" w:rsidRPr="00A85C5A">
        <w:rPr>
          <w:b/>
          <w:bCs/>
          <w:lang w:eastAsia="en-US"/>
        </w:rPr>
        <w:t>1-5</w:t>
      </w:r>
      <w:r w:rsidR="00F02B89" w:rsidRPr="00A85C5A">
        <w:rPr>
          <w:lang w:eastAsia="en-US"/>
        </w:rPr>
        <w:t xml:space="preserve">) are possible as in the </w:t>
      </w:r>
      <w:r w:rsidR="00F02B89" w:rsidRPr="00A85C5A">
        <w:rPr>
          <w:lang w:val="en-US"/>
        </w:rPr>
        <w:t xml:space="preserve">following flow chart. </w:t>
      </w:r>
      <w:r w:rsidR="00457C3E" w:rsidRPr="00A85C5A">
        <w:rPr>
          <w:lang w:eastAsia="en-US"/>
        </w:rPr>
        <w:t>Based on the above results, the proposed structures of complexes (</w:t>
      </w:r>
      <w:r w:rsidR="00457C3E" w:rsidRPr="00A85C5A">
        <w:rPr>
          <w:b/>
          <w:bCs/>
          <w:lang w:eastAsia="en-US"/>
        </w:rPr>
        <w:t>1-5</w:t>
      </w:r>
      <w:r w:rsidR="00457C3E" w:rsidRPr="00A85C5A">
        <w:rPr>
          <w:lang w:eastAsia="en-US"/>
        </w:rPr>
        <w:t xml:space="preserve">) have been shown in </w:t>
      </w:r>
      <w:r w:rsidR="00457C3E" w:rsidRPr="00A85C5A">
        <w:rPr>
          <w:lang w:val="en-US"/>
        </w:rPr>
        <w:t>Scheme 1.</w:t>
      </w:r>
      <w:r w:rsidR="00F02B89" w:rsidRPr="00A85C5A">
        <w:rPr>
          <w:lang w:val="en-US"/>
        </w:rPr>
        <w:t xml:space="preserve"> </w:t>
      </w:r>
    </w:p>
    <w:p w:rsidR="00BD10DB" w:rsidRPr="00A85C5A" w:rsidRDefault="00BD10DB" w:rsidP="00417F38">
      <w:pPr>
        <w:overflowPunct w:val="0"/>
        <w:autoSpaceDE w:val="0"/>
        <w:autoSpaceDN w:val="0"/>
        <w:adjustRightInd w:val="0"/>
        <w:contextualSpacing/>
        <w:jc w:val="both"/>
        <w:textAlignment w:val="baseline"/>
        <w:rPr>
          <w:lang w:val="en-US"/>
        </w:rPr>
      </w:pPr>
    </w:p>
    <w:p w:rsidR="00AA0628" w:rsidRPr="00A85C5A" w:rsidRDefault="00AA0628" w:rsidP="00AA0628">
      <w:pPr>
        <w:overflowPunct w:val="0"/>
        <w:autoSpaceDE w:val="0"/>
        <w:autoSpaceDN w:val="0"/>
        <w:adjustRightInd w:val="0"/>
        <w:contextualSpacing/>
        <w:jc w:val="center"/>
        <w:textAlignment w:val="baseline"/>
        <w:rPr>
          <w:i/>
          <w:iCs/>
          <w:lang w:eastAsia="en-US"/>
        </w:rPr>
      </w:pPr>
      <w:r w:rsidRPr="00A85C5A">
        <w:rPr>
          <w:i/>
          <w:iCs/>
          <w:noProof/>
          <w:lang w:val="en-US" w:eastAsia="en-US"/>
        </w:rPr>
        <w:drawing>
          <wp:inline distT="0" distB="0" distL="0" distR="0">
            <wp:extent cx="2487295" cy="3321050"/>
            <wp:effectExtent l="38100" t="57150" r="122555" b="88900"/>
            <wp:docPr id="7" name="Picture 1" descr="C:\Users\elcot\Desktop\11sakhi tga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cot\Desktop\11sakhi tga .tif"/>
                    <pic:cNvPicPr>
                      <a:picLocks noChangeAspect="1" noChangeArrowheads="1"/>
                    </pic:cNvPicPr>
                  </pic:nvPicPr>
                  <pic:blipFill>
                    <a:blip r:embed="rId15" cstate="print"/>
                    <a:srcRect/>
                    <a:stretch>
                      <a:fillRect/>
                    </a:stretch>
                  </pic:blipFill>
                  <pic:spPr bwMode="auto">
                    <a:xfrm>
                      <a:off x="0" y="0"/>
                      <a:ext cx="2487295" cy="3321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A0628" w:rsidRPr="00A85C5A" w:rsidRDefault="00AA0628" w:rsidP="00AA0628">
      <w:pPr>
        <w:overflowPunct w:val="0"/>
        <w:autoSpaceDE w:val="0"/>
        <w:autoSpaceDN w:val="0"/>
        <w:adjustRightInd w:val="0"/>
        <w:contextualSpacing/>
        <w:jc w:val="center"/>
        <w:textAlignment w:val="baseline"/>
        <w:rPr>
          <w:i/>
          <w:iCs/>
          <w:lang w:eastAsia="en-US"/>
        </w:rPr>
      </w:pPr>
    </w:p>
    <w:p w:rsidR="00AA0628" w:rsidRPr="00A85C5A" w:rsidRDefault="00AA0628" w:rsidP="00AA0628">
      <w:pPr>
        <w:overflowPunct w:val="0"/>
        <w:autoSpaceDE w:val="0"/>
        <w:autoSpaceDN w:val="0"/>
        <w:adjustRightInd w:val="0"/>
        <w:contextualSpacing/>
        <w:jc w:val="center"/>
        <w:textAlignment w:val="baseline"/>
        <w:rPr>
          <w:i/>
          <w:iCs/>
          <w:lang w:eastAsia="en-US"/>
        </w:rPr>
      </w:pPr>
    </w:p>
    <w:p w:rsidR="00BD10DB" w:rsidRPr="00A85C5A" w:rsidRDefault="00BD10DB" w:rsidP="00AA0628">
      <w:pPr>
        <w:overflowPunct w:val="0"/>
        <w:autoSpaceDE w:val="0"/>
        <w:autoSpaceDN w:val="0"/>
        <w:adjustRightInd w:val="0"/>
        <w:contextualSpacing/>
        <w:jc w:val="center"/>
        <w:textAlignment w:val="baseline"/>
        <w:rPr>
          <w:i/>
          <w:iCs/>
          <w:lang w:eastAsia="en-US"/>
        </w:rPr>
      </w:pPr>
    </w:p>
    <w:p w:rsidR="00BD10DB" w:rsidRPr="00A85C5A" w:rsidRDefault="00BD10DB" w:rsidP="00AA0628">
      <w:pPr>
        <w:overflowPunct w:val="0"/>
        <w:autoSpaceDE w:val="0"/>
        <w:autoSpaceDN w:val="0"/>
        <w:adjustRightInd w:val="0"/>
        <w:contextualSpacing/>
        <w:jc w:val="center"/>
        <w:textAlignment w:val="baseline"/>
        <w:rPr>
          <w:i/>
          <w:iCs/>
          <w:lang w:eastAsia="en-US"/>
        </w:rPr>
      </w:pPr>
    </w:p>
    <w:p w:rsidR="00BD10DB" w:rsidRPr="00A85C5A" w:rsidRDefault="00BD10DB" w:rsidP="00AA0628">
      <w:pPr>
        <w:overflowPunct w:val="0"/>
        <w:autoSpaceDE w:val="0"/>
        <w:autoSpaceDN w:val="0"/>
        <w:adjustRightInd w:val="0"/>
        <w:contextualSpacing/>
        <w:jc w:val="center"/>
        <w:textAlignment w:val="baseline"/>
        <w:rPr>
          <w:i/>
          <w:iCs/>
          <w:lang w:eastAsia="en-US"/>
        </w:rPr>
      </w:pPr>
    </w:p>
    <w:p w:rsidR="00BD10DB" w:rsidRDefault="00BD10DB" w:rsidP="00AA0628">
      <w:pPr>
        <w:overflowPunct w:val="0"/>
        <w:autoSpaceDE w:val="0"/>
        <w:autoSpaceDN w:val="0"/>
        <w:adjustRightInd w:val="0"/>
        <w:contextualSpacing/>
        <w:jc w:val="center"/>
        <w:textAlignment w:val="baseline"/>
        <w:rPr>
          <w:i/>
          <w:iCs/>
          <w:lang w:eastAsia="en-US"/>
        </w:rPr>
      </w:pPr>
    </w:p>
    <w:p w:rsidR="00A85C5A" w:rsidRDefault="00A85C5A" w:rsidP="00AA0628">
      <w:pPr>
        <w:overflowPunct w:val="0"/>
        <w:autoSpaceDE w:val="0"/>
        <w:autoSpaceDN w:val="0"/>
        <w:adjustRightInd w:val="0"/>
        <w:contextualSpacing/>
        <w:jc w:val="center"/>
        <w:textAlignment w:val="baseline"/>
        <w:rPr>
          <w:i/>
          <w:iCs/>
          <w:lang w:eastAsia="en-US"/>
        </w:rPr>
      </w:pPr>
    </w:p>
    <w:p w:rsidR="00A85C5A" w:rsidRPr="00A85C5A" w:rsidRDefault="00A85C5A" w:rsidP="00AA0628">
      <w:pPr>
        <w:overflowPunct w:val="0"/>
        <w:autoSpaceDE w:val="0"/>
        <w:autoSpaceDN w:val="0"/>
        <w:adjustRightInd w:val="0"/>
        <w:contextualSpacing/>
        <w:jc w:val="center"/>
        <w:textAlignment w:val="baseline"/>
        <w:rPr>
          <w:i/>
          <w:iCs/>
          <w:lang w:eastAsia="en-US"/>
        </w:rPr>
      </w:pPr>
    </w:p>
    <w:tbl>
      <w:tblPr>
        <w:tblStyle w:val="TableGrid10"/>
        <w:tblW w:w="10212" w:type="dxa"/>
        <w:tblInd w:w="-800" w:type="dxa"/>
        <w:tblLayout w:type="fixed"/>
        <w:tblLook w:val="04A0" w:firstRow="1" w:lastRow="0" w:firstColumn="1" w:lastColumn="0" w:noHBand="0" w:noVBand="1"/>
      </w:tblPr>
      <w:tblGrid>
        <w:gridCol w:w="3162"/>
        <w:gridCol w:w="1014"/>
        <w:gridCol w:w="1092"/>
        <w:gridCol w:w="1679"/>
        <w:gridCol w:w="1819"/>
        <w:gridCol w:w="1446"/>
      </w:tblGrid>
      <w:tr w:rsidR="00914156" w:rsidRPr="00A85C5A" w:rsidTr="00914156">
        <w:trPr>
          <w:trHeight w:val="244"/>
        </w:trPr>
        <w:tc>
          <w:tcPr>
            <w:tcW w:w="10212" w:type="dxa"/>
            <w:gridSpan w:val="6"/>
            <w:tcBorders>
              <w:top w:val="nil"/>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both"/>
              <w:textAlignment w:val="baseline"/>
              <w:rPr>
                <w:rFonts w:ascii="Times New Roman" w:hAnsi="Times New Roman"/>
                <w:lang w:eastAsia="en-US"/>
              </w:rPr>
            </w:pPr>
            <w:r w:rsidRPr="00A85C5A">
              <w:rPr>
                <w:rFonts w:ascii="Times New Roman" w:hAnsi="Times New Roman"/>
                <w:b/>
                <w:lang w:eastAsia="en-US"/>
              </w:rPr>
              <w:lastRenderedPageBreak/>
              <w:t>Table S1</w:t>
            </w:r>
            <w:r w:rsidRPr="00A85C5A">
              <w:rPr>
                <w:rFonts w:ascii="Times New Roman" w:hAnsi="Times New Roman"/>
                <w:b/>
                <w:bCs/>
                <w:lang w:eastAsia="en-US"/>
              </w:rPr>
              <w:t xml:space="preserve"> </w:t>
            </w:r>
            <w:r w:rsidRPr="00A85C5A">
              <w:rPr>
                <w:rFonts w:ascii="Times New Roman" w:hAnsi="Times New Roman"/>
                <w:lang w:eastAsia="en-US"/>
              </w:rPr>
              <w:t>Thermal analysis of complexes (</w:t>
            </w:r>
            <w:r w:rsidRPr="00A85C5A">
              <w:rPr>
                <w:rFonts w:ascii="Times New Roman" w:hAnsi="Times New Roman"/>
                <w:b/>
                <w:bCs/>
                <w:lang w:eastAsia="en-US"/>
              </w:rPr>
              <w:t>1-5</w:t>
            </w:r>
            <w:r w:rsidRPr="00A85C5A">
              <w:rPr>
                <w:rFonts w:ascii="Times New Roman" w:hAnsi="Times New Roman"/>
                <w:lang w:eastAsia="en-US"/>
              </w:rPr>
              <w:t>) by TGA method</w:t>
            </w:r>
          </w:p>
        </w:tc>
      </w:tr>
      <w:tr w:rsidR="00914156" w:rsidRPr="00A85C5A" w:rsidTr="00914156">
        <w:trPr>
          <w:trHeight w:val="244"/>
        </w:trPr>
        <w:tc>
          <w:tcPr>
            <w:tcW w:w="3162" w:type="dxa"/>
            <w:tcBorders>
              <w:top w:val="single" w:sz="12" w:space="0" w:color="auto"/>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
                <w:bCs/>
                <w:lang w:eastAsia="en-US"/>
              </w:rPr>
            </w:pPr>
            <w:r w:rsidRPr="00A85C5A">
              <w:rPr>
                <w:rFonts w:ascii="Times New Roman" w:hAnsi="Times New Roman"/>
                <w:b/>
                <w:bCs/>
                <w:lang w:eastAsia="en-US"/>
              </w:rPr>
              <w:t>Complexes</w:t>
            </w:r>
          </w:p>
        </w:tc>
        <w:tc>
          <w:tcPr>
            <w:tcW w:w="1014" w:type="dxa"/>
            <w:tcBorders>
              <w:top w:val="single" w:sz="12" w:space="0" w:color="auto"/>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
                <w:bCs/>
                <w:lang w:eastAsia="en-US"/>
              </w:rPr>
            </w:pPr>
            <w:r w:rsidRPr="00A85C5A">
              <w:rPr>
                <w:rFonts w:ascii="Times New Roman" w:hAnsi="Times New Roman"/>
                <w:b/>
                <w:bCs/>
                <w:lang w:eastAsia="en-US"/>
              </w:rPr>
              <w:t xml:space="preserve">M.W </w:t>
            </w:r>
          </w:p>
        </w:tc>
        <w:tc>
          <w:tcPr>
            <w:tcW w:w="1092" w:type="dxa"/>
            <w:tcBorders>
              <w:top w:val="single" w:sz="12" w:space="0" w:color="auto"/>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
                <w:bCs/>
                <w:lang w:eastAsia="en-US"/>
              </w:rPr>
            </w:pPr>
            <w:r w:rsidRPr="00A85C5A">
              <w:rPr>
                <w:rFonts w:ascii="Times New Roman" w:hAnsi="Times New Roman"/>
                <w:b/>
                <w:bCs/>
                <w:lang w:eastAsia="en-US"/>
              </w:rPr>
              <w:t>Step</w:t>
            </w:r>
          </w:p>
        </w:tc>
        <w:tc>
          <w:tcPr>
            <w:tcW w:w="1679" w:type="dxa"/>
            <w:tcBorders>
              <w:top w:val="single" w:sz="12" w:space="0" w:color="auto"/>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
                <w:bCs/>
                <w:lang w:eastAsia="en-US"/>
              </w:rPr>
            </w:pPr>
            <w:r w:rsidRPr="00A85C5A">
              <w:rPr>
                <w:rFonts w:ascii="Times New Roman" w:hAnsi="Times New Roman"/>
                <w:b/>
                <w:bCs/>
                <w:lang w:eastAsia="en-US"/>
              </w:rPr>
              <w:t>Temperature range (</w:t>
            </w:r>
            <w:r w:rsidRPr="00A85C5A">
              <w:rPr>
                <w:rFonts w:ascii="Segoe UI Symbol" w:hAnsi="Segoe UI Symbol"/>
                <w:lang w:eastAsia="en-US"/>
              </w:rPr>
              <w:t>°</w:t>
            </w:r>
            <w:r w:rsidRPr="00A85C5A">
              <w:rPr>
                <w:rFonts w:ascii="Times New Roman" w:hAnsi="Times New Roman"/>
                <w:b/>
                <w:bCs/>
                <w:lang w:eastAsia="en-US"/>
              </w:rPr>
              <w:t>C)</w:t>
            </w:r>
          </w:p>
        </w:tc>
        <w:tc>
          <w:tcPr>
            <w:tcW w:w="1819" w:type="dxa"/>
            <w:tcBorders>
              <w:top w:val="single" w:sz="12" w:space="0" w:color="auto"/>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
                <w:bCs/>
                <w:lang w:eastAsia="en-US"/>
              </w:rPr>
            </w:pPr>
            <w:r w:rsidRPr="00A85C5A">
              <w:rPr>
                <w:rFonts w:ascii="Times New Roman" w:hAnsi="Times New Roman"/>
                <w:b/>
                <w:bCs/>
                <w:lang w:eastAsia="en-US"/>
              </w:rPr>
              <w:t>% Weight loss</w:t>
            </w:r>
          </w:p>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
                <w:bCs/>
                <w:lang w:eastAsia="en-US"/>
              </w:rPr>
            </w:pPr>
            <w:r w:rsidRPr="00A85C5A">
              <w:rPr>
                <w:rFonts w:ascii="Times New Roman" w:hAnsi="Times New Roman"/>
                <w:b/>
                <w:bCs/>
                <w:lang w:eastAsia="en-US"/>
              </w:rPr>
              <w:t>[found (calcd)]</w:t>
            </w:r>
          </w:p>
        </w:tc>
        <w:tc>
          <w:tcPr>
            <w:tcW w:w="1446" w:type="dxa"/>
            <w:tcBorders>
              <w:top w:val="single" w:sz="12" w:space="0" w:color="auto"/>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
                <w:bCs/>
                <w:lang w:eastAsia="en-US"/>
              </w:rPr>
            </w:pPr>
            <w:r w:rsidRPr="00A85C5A">
              <w:rPr>
                <w:rFonts w:ascii="Times New Roman" w:hAnsi="Times New Roman"/>
                <w:b/>
                <w:bCs/>
                <w:lang w:eastAsia="en-US"/>
              </w:rPr>
              <w:t xml:space="preserve">Assignment </w:t>
            </w:r>
          </w:p>
        </w:tc>
      </w:tr>
      <w:tr w:rsidR="00914156" w:rsidRPr="00A85C5A" w:rsidTr="00914156">
        <w:trPr>
          <w:trHeight w:val="244"/>
        </w:trPr>
        <w:tc>
          <w:tcPr>
            <w:tcW w:w="3162" w:type="dxa"/>
            <w:vMerge w:val="restart"/>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bCs/>
                <w:lang w:eastAsia="en-US"/>
              </w:rPr>
              <w:t>(</w:t>
            </w:r>
            <w:r w:rsidRPr="00A85C5A">
              <w:rPr>
                <w:rFonts w:ascii="Times New Roman" w:hAnsi="Times New Roman"/>
                <w:b/>
                <w:lang w:eastAsia="en-US"/>
              </w:rPr>
              <w:t>1</w:t>
            </w:r>
            <w:r w:rsidRPr="00A85C5A">
              <w:rPr>
                <w:rFonts w:ascii="Times New Roman" w:hAnsi="Times New Roman"/>
                <w:bCs/>
                <w:lang w:eastAsia="en-US"/>
              </w:rPr>
              <w:t>) [Cu</w:t>
            </w:r>
            <w:r w:rsidRPr="00A85C5A">
              <w:rPr>
                <w:rFonts w:ascii="Times New Roman" w:hAnsi="Times New Roman"/>
                <w:bCs/>
                <w:vertAlign w:val="superscript"/>
                <w:lang w:eastAsia="en-US"/>
              </w:rPr>
              <w:t>II</w:t>
            </w:r>
            <w:r w:rsidRPr="00A85C5A">
              <w:rPr>
                <w:rFonts w:ascii="Times New Roman" w:hAnsi="Times New Roman"/>
                <w:bCs/>
                <w:lang w:eastAsia="en-US"/>
              </w:rPr>
              <w:t>(L)(phen) AcO].2H</w:t>
            </w:r>
            <w:r w:rsidRPr="00A85C5A">
              <w:rPr>
                <w:rFonts w:ascii="Times New Roman" w:hAnsi="Times New Roman"/>
                <w:bCs/>
                <w:vertAlign w:val="subscript"/>
                <w:lang w:eastAsia="en-US"/>
              </w:rPr>
              <w:t>2</w:t>
            </w:r>
            <w:r w:rsidRPr="00A85C5A">
              <w:rPr>
                <w:rFonts w:ascii="Times New Roman" w:hAnsi="Times New Roman"/>
                <w:bCs/>
                <w:lang w:eastAsia="en-US"/>
              </w:rPr>
              <w:t xml:space="preserve">O   </w:t>
            </w:r>
          </w:p>
        </w:tc>
        <w:tc>
          <w:tcPr>
            <w:tcW w:w="1014" w:type="dxa"/>
            <w:vMerge w:val="restart"/>
            <w:tcBorders>
              <w:top w:val="single" w:sz="12" w:space="0" w:color="auto"/>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571.54</w:t>
            </w:r>
          </w:p>
        </w:tc>
        <w:tc>
          <w:tcPr>
            <w:tcW w:w="1092" w:type="dxa"/>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w:t>
            </w:r>
          </w:p>
        </w:tc>
        <w:tc>
          <w:tcPr>
            <w:tcW w:w="1679" w:type="dxa"/>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40–120</w:t>
            </w:r>
          </w:p>
        </w:tc>
        <w:tc>
          <w:tcPr>
            <w:tcW w:w="1819" w:type="dxa"/>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06.32 (06.29)</w:t>
            </w:r>
          </w:p>
        </w:tc>
        <w:tc>
          <w:tcPr>
            <w:tcW w:w="1446" w:type="dxa"/>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2H</w:t>
            </w:r>
            <w:r w:rsidRPr="00A85C5A">
              <w:rPr>
                <w:rFonts w:ascii="Times New Roman" w:hAnsi="Times New Roman"/>
                <w:vertAlign w:val="subscript"/>
                <w:lang w:eastAsia="en-US"/>
              </w:rPr>
              <w:t>2</w:t>
            </w:r>
            <w:r w:rsidRPr="00A85C5A">
              <w:rPr>
                <w:rFonts w:ascii="Times New Roman" w:hAnsi="Times New Roman"/>
                <w:lang w:eastAsia="en-US"/>
              </w:rPr>
              <w:t xml:space="preserve">O </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highlight w:val="yellow"/>
                <w:lang w:eastAsia="en-US"/>
              </w:rPr>
            </w:pPr>
            <w:r w:rsidRPr="00A85C5A">
              <w:rPr>
                <w:rFonts w:ascii="Times New Roman" w:hAnsi="Times New Roman"/>
                <w:lang w:eastAsia="en-US"/>
              </w:rPr>
              <w:t>II</w:t>
            </w:r>
          </w:p>
        </w:tc>
        <w:tc>
          <w:tcPr>
            <w:tcW w:w="167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120–440</w:t>
            </w:r>
          </w:p>
        </w:tc>
        <w:tc>
          <w:tcPr>
            <w:tcW w:w="181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41.79 (41.85)</w:t>
            </w:r>
          </w:p>
        </w:tc>
        <w:tc>
          <w:tcPr>
            <w:tcW w:w="1446"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2</w:t>
            </w:r>
            <w:r w:rsidRPr="00A85C5A">
              <w:rPr>
                <w:rFonts w:ascii="Times New Roman" w:hAnsi="Times New Roman"/>
                <w:lang w:eastAsia="en-US"/>
              </w:rPr>
              <w:t>H</w:t>
            </w:r>
            <w:r w:rsidRPr="00A85C5A">
              <w:rPr>
                <w:rFonts w:ascii="Times New Roman" w:hAnsi="Times New Roman"/>
                <w:vertAlign w:val="subscript"/>
                <w:lang w:eastAsia="en-US"/>
              </w:rPr>
              <w:t>3</w:t>
            </w:r>
            <w:r w:rsidRPr="00A85C5A">
              <w:rPr>
                <w:rFonts w:ascii="Times New Roman" w:hAnsi="Times New Roman"/>
                <w:lang w:eastAsia="en-US"/>
              </w:rPr>
              <w:t>O</w:t>
            </w:r>
            <w:r w:rsidRPr="00A85C5A">
              <w:rPr>
                <w:rFonts w:ascii="Times New Roman" w:hAnsi="Times New Roman"/>
                <w:vertAlign w:val="subscript"/>
                <w:lang w:eastAsia="en-US"/>
              </w:rPr>
              <w:t xml:space="preserve">2 </w:t>
            </w:r>
          </w:p>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12</w:t>
            </w:r>
            <w:r w:rsidRPr="00A85C5A">
              <w:rPr>
                <w:rFonts w:ascii="Times New Roman" w:hAnsi="Times New Roman"/>
                <w:lang w:eastAsia="en-US"/>
              </w:rPr>
              <w:t>H</w:t>
            </w:r>
            <w:r w:rsidRPr="00A85C5A">
              <w:rPr>
                <w:rFonts w:ascii="Times New Roman" w:hAnsi="Times New Roman"/>
                <w:vertAlign w:val="subscript"/>
                <w:lang w:eastAsia="en-US"/>
              </w:rPr>
              <w:t>8</w:t>
            </w:r>
            <w:r w:rsidRPr="00A85C5A">
              <w:rPr>
                <w:rFonts w:ascii="Times New Roman" w:hAnsi="Times New Roman"/>
                <w:lang w:eastAsia="en-US"/>
              </w:rPr>
              <w:t>N</w:t>
            </w:r>
            <w:r w:rsidRPr="00A85C5A">
              <w:rPr>
                <w:rFonts w:ascii="Times New Roman" w:hAnsi="Times New Roman"/>
                <w:vertAlign w:val="subscript"/>
                <w:lang w:eastAsia="en-US"/>
              </w:rPr>
              <w:t>2</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III</w:t>
            </w:r>
          </w:p>
        </w:tc>
        <w:tc>
          <w:tcPr>
            <w:tcW w:w="167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440–72</w:t>
            </w:r>
            <w:r w:rsidR="00D849C1" w:rsidRPr="00A85C5A">
              <w:rPr>
                <w:rFonts w:ascii="Times New Roman" w:hAnsi="Times New Roman"/>
                <w:lang w:eastAsia="en-US"/>
              </w:rPr>
              <w:t>2</w:t>
            </w:r>
          </w:p>
        </w:tc>
        <w:tc>
          <w:tcPr>
            <w:tcW w:w="181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38.18 (38.14)</w:t>
            </w:r>
          </w:p>
        </w:tc>
        <w:tc>
          <w:tcPr>
            <w:tcW w:w="1446"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13</w:t>
            </w:r>
            <w:r w:rsidRPr="00A85C5A">
              <w:rPr>
                <w:rFonts w:ascii="Times New Roman" w:hAnsi="Times New Roman"/>
                <w:lang w:eastAsia="en-US"/>
              </w:rPr>
              <w:t>H</w:t>
            </w:r>
            <w:r w:rsidRPr="00A85C5A">
              <w:rPr>
                <w:rFonts w:ascii="Times New Roman" w:hAnsi="Times New Roman"/>
                <w:vertAlign w:val="subscript"/>
                <w:lang w:eastAsia="en-US"/>
              </w:rPr>
              <w:t>18</w:t>
            </w:r>
            <w:r w:rsidRPr="00A85C5A">
              <w:rPr>
                <w:rFonts w:ascii="Times New Roman" w:hAnsi="Times New Roman"/>
                <w:lang w:eastAsia="en-US"/>
              </w:rPr>
              <w:t>N</w:t>
            </w:r>
            <w:r w:rsidRPr="00A85C5A">
              <w:rPr>
                <w:rFonts w:ascii="Times New Roman" w:hAnsi="Times New Roman"/>
                <w:vertAlign w:val="subscript"/>
                <w:lang w:eastAsia="en-US"/>
              </w:rPr>
              <w:t>2</w:t>
            </w:r>
            <w:r w:rsidRPr="00A85C5A">
              <w:rPr>
                <w:rFonts w:ascii="Times New Roman" w:hAnsi="Times New Roman"/>
                <w:lang w:eastAsia="en-US"/>
              </w:rPr>
              <w:t>O</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Residue</w:t>
            </w:r>
          </w:p>
        </w:tc>
        <w:tc>
          <w:tcPr>
            <w:tcW w:w="1679"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&gt;72</w:t>
            </w:r>
            <w:r w:rsidR="00D849C1" w:rsidRPr="00A85C5A">
              <w:rPr>
                <w:rFonts w:ascii="Times New Roman" w:hAnsi="Times New Roman"/>
                <w:lang w:eastAsia="en-US"/>
              </w:rPr>
              <w:t>2</w:t>
            </w:r>
          </w:p>
        </w:tc>
        <w:tc>
          <w:tcPr>
            <w:tcW w:w="1819"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13.85 (13.91)</w:t>
            </w:r>
          </w:p>
        </w:tc>
        <w:tc>
          <w:tcPr>
            <w:tcW w:w="1446"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CuO</w:t>
            </w:r>
          </w:p>
        </w:tc>
      </w:tr>
      <w:tr w:rsidR="00914156" w:rsidRPr="00A85C5A" w:rsidTr="00914156">
        <w:trPr>
          <w:trHeight w:val="244"/>
        </w:trPr>
        <w:tc>
          <w:tcPr>
            <w:tcW w:w="3162" w:type="dxa"/>
            <w:vMerge w:val="restart"/>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bCs/>
                <w:lang w:eastAsia="en-US"/>
              </w:rPr>
              <w:t>(</w:t>
            </w:r>
            <w:r w:rsidRPr="00A85C5A">
              <w:rPr>
                <w:rFonts w:ascii="Times New Roman" w:hAnsi="Times New Roman"/>
                <w:b/>
                <w:lang w:eastAsia="en-US"/>
              </w:rPr>
              <w:t>2</w:t>
            </w:r>
            <w:r w:rsidRPr="00A85C5A">
              <w:rPr>
                <w:rFonts w:ascii="Times New Roman" w:hAnsi="Times New Roman"/>
                <w:bCs/>
                <w:lang w:eastAsia="en-US"/>
              </w:rPr>
              <w:t>) [Co</w:t>
            </w:r>
            <w:r w:rsidRPr="00A85C5A">
              <w:rPr>
                <w:rFonts w:ascii="Times New Roman" w:hAnsi="Times New Roman"/>
                <w:bCs/>
                <w:vertAlign w:val="superscript"/>
                <w:lang w:eastAsia="en-US"/>
              </w:rPr>
              <w:t>II</w:t>
            </w:r>
            <w:r w:rsidRPr="00A85C5A">
              <w:rPr>
                <w:rFonts w:ascii="Times New Roman" w:hAnsi="Times New Roman"/>
                <w:bCs/>
                <w:lang w:eastAsia="en-US"/>
              </w:rPr>
              <w:t>(L)(phen) AcO].4H</w:t>
            </w:r>
            <w:r w:rsidRPr="00A85C5A">
              <w:rPr>
                <w:rFonts w:ascii="Times New Roman" w:hAnsi="Times New Roman"/>
                <w:bCs/>
                <w:vertAlign w:val="subscript"/>
                <w:lang w:eastAsia="en-US"/>
              </w:rPr>
              <w:t>2</w:t>
            </w:r>
            <w:r w:rsidRPr="00A85C5A">
              <w:rPr>
                <w:rFonts w:ascii="Times New Roman" w:hAnsi="Times New Roman"/>
                <w:bCs/>
                <w:lang w:eastAsia="en-US"/>
              </w:rPr>
              <w:t xml:space="preserve">O   </w:t>
            </w:r>
          </w:p>
        </w:tc>
        <w:tc>
          <w:tcPr>
            <w:tcW w:w="1014" w:type="dxa"/>
            <w:vMerge w:val="restart"/>
            <w:tcBorders>
              <w:top w:val="single" w:sz="4" w:space="0" w:color="auto"/>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602.93</w:t>
            </w:r>
          </w:p>
        </w:tc>
        <w:tc>
          <w:tcPr>
            <w:tcW w:w="1092"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w:t>
            </w:r>
          </w:p>
        </w:tc>
        <w:tc>
          <w:tcPr>
            <w:tcW w:w="1679"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40–105</w:t>
            </w:r>
          </w:p>
        </w:tc>
        <w:tc>
          <w:tcPr>
            <w:tcW w:w="1819"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12.00 (11.94)</w:t>
            </w:r>
          </w:p>
        </w:tc>
        <w:tc>
          <w:tcPr>
            <w:tcW w:w="1446"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4H</w:t>
            </w:r>
            <w:r w:rsidRPr="00A85C5A">
              <w:rPr>
                <w:rFonts w:ascii="Times New Roman" w:hAnsi="Times New Roman"/>
                <w:vertAlign w:val="subscript"/>
                <w:lang w:eastAsia="en-US"/>
              </w:rPr>
              <w:t>2</w:t>
            </w:r>
            <w:r w:rsidRPr="00A85C5A">
              <w:rPr>
                <w:rFonts w:ascii="Times New Roman" w:hAnsi="Times New Roman"/>
                <w:lang w:eastAsia="en-US"/>
              </w:rPr>
              <w:t xml:space="preserve">O </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II</w:t>
            </w:r>
          </w:p>
        </w:tc>
        <w:tc>
          <w:tcPr>
            <w:tcW w:w="1679" w:type="dxa"/>
            <w:tcBorders>
              <w:top w:val="nil"/>
              <w:left w:val="nil"/>
              <w:bottom w:val="nil"/>
              <w:right w:val="nil"/>
            </w:tcBorders>
            <w:vAlign w:val="center"/>
          </w:tcPr>
          <w:p w:rsidR="00914156" w:rsidRPr="00A85C5A" w:rsidRDefault="00D849C1"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11</w:t>
            </w:r>
            <w:r w:rsidR="00914156" w:rsidRPr="00A85C5A">
              <w:rPr>
                <w:rFonts w:ascii="Times New Roman" w:hAnsi="Times New Roman"/>
                <w:lang w:eastAsia="en-US"/>
              </w:rPr>
              <w:t>0–410</w:t>
            </w:r>
          </w:p>
        </w:tc>
        <w:tc>
          <w:tcPr>
            <w:tcW w:w="181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39.71 (39.67)</w:t>
            </w:r>
          </w:p>
        </w:tc>
        <w:tc>
          <w:tcPr>
            <w:tcW w:w="1446" w:type="dxa"/>
            <w:tcBorders>
              <w:top w:val="nil"/>
              <w:left w:val="nil"/>
              <w:bottom w:val="nil"/>
              <w:right w:val="nil"/>
            </w:tcBorders>
            <w:vAlign w:val="center"/>
          </w:tcPr>
          <w:p w:rsidR="00914156" w:rsidRPr="00A85C5A" w:rsidRDefault="00914156" w:rsidP="00914156">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2</w:t>
            </w:r>
            <w:r w:rsidRPr="00A85C5A">
              <w:rPr>
                <w:rFonts w:ascii="Times New Roman" w:hAnsi="Times New Roman"/>
                <w:lang w:eastAsia="en-US"/>
              </w:rPr>
              <w:t>H</w:t>
            </w:r>
            <w:r w:rsidRPr="00A85C5A">
              <w:rPr>
                <w:rFonts w:ascii="Times New Roman" w:hAnsi="Times New Roman"/>
                <w:vertAlign w:val="subscript"/>
                <w:lang w:eastAsia="en-US"/>
              </w:rPr>
              <w:t>3</w:t>
            </w:r>
            <w:r w:rsidRPr="00A85C5A">
              <w:rPr>
                <w:rFonts w:ascii="Times New Roman" w:hAnsi="Times New Roman"/>
                <w:lang w:eastAsia="en-US"/>
              </w:rPr>
              <w:t>O</w:t>
            </w:r>
            <w:r w:rsidRPr="00A85C5A">
              <w:rPr>
                <w:rFonts w:ascii="Times New Roman" w:hAnsi="Times New Roman"/>
                <w:vertAlign w:val="subscript"/>
                <w:lang w:eastAsia="en-US"/>
              </w:rPr>
              <w:t xml:space="preserve">2 </w:t>
            </w:r>
          </w:p>
          <w:p w:rsidR="00914156" w:rsidRPr="00A85C5A" w:rsidRDefault="00914156" w:rsidP="00914156">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12</w:t>
            </w:r>
            <w:r w:rsidRPr="00A85C5A">
              <w:rPr>
                <w:rFonts w:ascii="Times New Roman" w:hAnsi="Times New Roman"/>
                <w:lang w:eastAsia="en-US"/>
              </w:rPr>
              <w:t>H</w:t>
            </w:r>
            <w:r w:rsidRPr="00A85C5A">
              <w:rPr>
                <w:rFonts w:ascii="Times New Roman" w:hAnsi="Times New Roman"/>
                <w:vertAlign w:val="subscript"/>
                <w:lang w:eastAsia="en-US"/>
              </w:rPr>
              <w:t>8</w:t>
            </w:r>
            <w:r w:rsidRPr="00A85C5A">
              <w:rPr>
                <w:rFonts w:ascii="Times New Roman" w:hAnsi="Times New Roman"/>
                <w:lang w:eastAsia="en-US"/>
              </w:rPr>
              <w:t>N</w:t>
            </w:r>
            <w:r w:rsidRPr="00A85C5A">
              <w:rPr>
                <w:rFonts w:ascii="Times New Roman" w:hAnsi="Times New Roman"/>
                <w:vertAlign w:val="subscript"/>
                <w:lang w:eastAsia="en-US"/>
              </w:rPr>
              <w:t>2</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III</w:t>
            </w:r>
          </w:p>
        </w:tc>
        <w:tc>
          <w:tcPr>
            <w:tcW w:w="167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410–7</w:t>
            </w:r>
            <w:r w:rsidR="00D849C1" w:rsidRPr="00A85C5A">
              <w:rPr>
                <w:rFonts w:ascii="Times New Roman" w:hAnsi="Times New Roman"/>
                <w:lang w:eastAsia="en-US"/>
              </w:rPr>
              <w:t>18</w:t>
            </w:r>
          </w:p>
        </w:tc>
        <w:tc>
          <w:tcPr>
            <w:tcW w:w="181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36.12 (36.15)</w:t>
            </w:r>
          </w:p>
        </w:tc>
        <w:tc>
          <w:tcPr>
            <w:tcW w:w="1446"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13</w:t>
            </w:r>
            <w:r w:rsidRPr="00A85C5A">
              <w:rPr>
                <w:rFonts w:ascii="Times New Roman" w:hAnsi="Times New Roman"/>
                <w:lang w:eastAsia="en-US"/>
              </w:rPr>
              <w:t>H</w:t>
            </w:r>
            <w:r w:rsidRPr="00A85C5A">
              <w:rPr>
                <w:rFonts w:ascii="Times New Roman" w:hAnsi="Times New Roman"/>
                <w:vertAlign w:val="subscript"/>
                <w:lang w:eastAsia="en-US"/>
              </w:rPr>
              <w:t>18</w:t>
            </w:r>
            <w:r w:rsidRPr="00A85C5A">
              <w:rPr>
                <w:rFonts w:ascii="Times New Roman" w:hAnsi="Times New Roman"/>
                <w:lang w:eastAsia="en-US"/>
              </w:rPr>
              <w:t>N</w:t>
            </w:r>
            <w:r w:rsidRPr="00A85C5A">
              <w:rPr>
                <w:rFonts w:ascii="Times New Roman" w:hAnsi="Times New Roman"/>
                <w:vertAlign w:val="subscript"/>
                <w:lang w:eastAsia="en-US"/>
              </w:rPr>
              <w:t>2</w:t>
            </w:r>
            <w:r w:rsidRPr="00A85C5A">
              <w:rPr>
                <w:rFonts w:ascii="Times New Roman" w:hAnsi="Times New Roman"/>
                <w:lang w:eastAsia="en-US"/>
              </w:rPr>
              <w:t>O</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Residue</w:t>
            </w:r>
          </w:p>
        </w:tc>
        <w:tc>
          <w:tcPr>
            <w:tcW w:w="1679"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&gt;7</w:t>
            </w:r>
            <w:r w:rsidR="00D849C1" w:rsidRPr="00A85C5A">
              <w:rPr>
                <w:rFonts w:ascii="Times New Roman" w:hAnsi="Times New Roman"/>
                <w:lang w:eastAsia="en-US"/>
              </w:rPr>
              <w:t>18</w:t>
            </w:r>
          </w:p>
        </w:tc>
        <w:tc>
          <w:tcPr>
            <w:tcW w:w="1819"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12.39 (12.42)</w:t>
            </w:r>
          </w:p>
        </w:tc>
        <w:tc>
          <w:tcPr>
            <w:tcW w:w="1446"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CoO</w:t>
            </w:r>
          </w:p>
        </w:tc>
      </w:tr>
      <w:tr w:rsidR="00914156" w:rsidRPr="00A85C5A" w:rsidTr="00914156">
        <w:trPr>
          <w:trHeight w:val="244"/>
        </w:trPr>
        <w:tc>
          <w:tcPr>
            <w:tcW w:w="3162" w:type="dxa"/>
            <w:vMerge w:val="restart"/>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both"/>
              <w:textAlignment w:val="baseline"/>
              <w:rPr>
                <w:rFonts w:ascii="Times New Roman" w:hAnsi="Times New Roman"/>
                <w:lang w:eastAsia="en-US"/>
              </w:rPr>
            </w:pPr>
            <w:r w:rsidRPr="00A85C5A">
              <w:rPr>
                <w:rFonts w:ascii="Times New Roman" w:hAnsi="Times New Roman"/>
                <w:bCs/>
                <w:lang w:eastAsia="en-US"/>
              </w:rPr>
              <w:t>(</w:t>
            </w:r>
            <w:r w:rsidRPr="00A85C5A">
              <w:rPr>
                <w:rFonts w:ascii="Times New Roman" w:hAnsi="Times New Roman"/>
                <w:b/>
                <w:lang w:eastAsia="en-US"/>
              </w:rPr>
              <w:t>3</w:t>
            </w:r>
            <w:r w:rsidRPr="00A85C5A">
              <w:rPr>
                <w:rFonts w:ascii="Times New Roman" w:hAnsi="Times New Roman"/>
                <w:bCs/>
                <w:lang w:eastAsia="en-US"/>
              </w:rPr>
              <w:t>)[Mn</w:t>
            </w:r>
            <w:r w:rsidRPr="00A85C5A">
              <w:rPr>
                <w:rFonts w:ascii="Times New Roman" w:hAnsi="Times New Roman"/>
                <w:bCs/>
                <w:vertAlign w:val="superscript"/>
                <w:lang w:eastAsia="en-US"/>
              </w:rPr>
              <w:t>II</w:t>
            </w:r>
            <w:r w:rsidRPr="00A85C5A">
              <w:rPr>
                <w:rFonts w:ascii="Times New Roman" w:hAnsi="Times New Roman"/>
                <w:bCs/>
                <w:lang w:eastAsia="en-US"/>
              </w:rPr>
              <w:t>(L)(phen) AcO].4H</w:t>
            </w:r>
            <w:r w:rsidRPr="00A85C5A">
              <w:rPr>
                <w:rFonts w:ascii="Times New Roman" w:hAnsi="Times New Roman"/>
                <w:bCs/>
                <w:vertAlign w:val="subscript"/>
                <w:lang w:eastAsia="en-US"/>
              </w:rPr>
              <w:t>2</w:t>
            </w:r>
            <w:r w:rsidRPr="00A85C5A">
              <w:rPr>
                <w:rFonts w:ascii="Times New Roman" w:hAnsi="Times New Roman"/>
                <w:bCs/>
                <w:lang w:eastAsia="en-US"/>
              </w:rPr>
              <w:t xml:space="preserve">O   </w:t>
            </w:r>
          </w:p>
        </w:tc>
        <w:tc>
          <w:tcPr>
            <w:tcW w:w="1014" w:type="dxa"/>
            <w:vMerge w:val="restart"/>
            <w:tcBorders>
              <w:top w:val="single" w:sz="4" w:space="0" w:color="auto"/>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598.94</w:t>
            </w:r>
          </w:p>
        </w:tc>
        <w:tc>
          <w:tcPr>
            <w:tcW w:w="1092"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w:t>
            </w:r>
          </w:p>
        </w:tc>
        <w:tc>
          <w:tcPr>
            <w:tcW w:w="1679"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40–105</w:t>
            </w:r>
          </w:p>
        </w:tc>
        <w:tc>
          <w:tcPr>
            <w:tcW w:w="1819"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12.08 (12.02)</w:t>
            </w:r>
          </w:p>
        </w:tc>
        <w:tc>
          <w:tcPr>
            <w:tcW w:w="1446"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4H</w:t>
            </w:r>
            <w:r w:rsidRPr="00A85C5A">
              <w:rPr>
                <w:rFonts w:ascii="Times New Roman" w:hAnsi="Times New Roman"/>
                <w:vertAlign w:val="subscript"/>
                <w:lang w:eastAsia="en-US"/>
              </w:rPr>
              <w:t>2</w:t>
            </w:r>
            <w:r w:rsidRPr="00A85C5A">
              <w:rPr>
                <w:rFonts w:ascii="Times New Roman" w:hAnsi="Times New Roman"/>
                <w:lang w:eastAsia="en-US"/>
              </w:rPr>
              <w:t xml:space="preserve">O </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II</w:t>
            </w:r>
          </w:p>
        </w:tc>
        <w:tc>
          <w:tcPr>
            <w:tcW w:w="1679" w:type="dxa"/>
            <w:tcBorders>
              <w:top w:val="nil"/>
              <w:left w:val="nil"/>
              <w:bottom w:val="nil"/>
              <w:right w:val="nil"/>
            </w:tcBorders>
            <w:vAlign w:val="center"/>
          </w:tcPr>
          <w:p w:rsidR="00914156" w:rsidRPr="00A85C5A" w:rsidRDefault="00D849C1"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110</w:t>
            </w:r>
            <w:r w:rsidR="00914156" w:rsidRPr="00A85C5A">
              <w:rPr>
                <w:rFonts w:ascii="Times New Roman" w:hAnsi="Times New Roman"/>
                <w:lang w:eastAsia="en-US"/>
              </w:rPr>
              <w:t>–385</w:t>
            </w:r>
          </w:p>
        </w:tc>
        <w:tc>
          <w:tcPr>
            <w:tcW w:w="181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39.80 (39.93)</w:t>
            </w:r>
          </w:p>
        </w:tc>
        <w:tc>
          <w:tcPr>
            <w:tcW w:w="1446" w:type="dxa"/>
            <w:tcBorders>
              <w:top w:val="nil"/>
              <w:left w:val="nil"/>
              <w:bottom w:val="nil"/>
              <w:right w:val="nil"/>
            </w:tcBorders>
            <w:vAlign w:val="center"/>
          </w:tcPr>
          <w:p w:rsidR="00914156" w:rsidRPr="00A85C5A" w:rsidRDefault="00914156" w:rsidP="00914156">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2</w:t>
            </w:r>
            <w:r w:rsidRPr="00A85C5A">
              <w:rPr>
                <w:rFonts w:ascii="Times New Roman" w:hAnsi="Times New Roman"/>
                <w:lang w:eastAsia="en-US"/>
              </w:rPr>
              <w:t>H</w:t>
            </w:r>
            <w:r w:rsidRPr="00A85C5A">
              <w:rPr>
                <w:rFonts w:ascii="Times New Roman" w:hAnsi="Times New Roman"/>
                <w:vertAlign w:val="subscript"/>
                <w:lang w:eastAsia="en-US"/>
              </w:rPr>
              <w:t>3</w:t>
            </w:r>
            <w:r w:rsidRPr="00A85C5A">
              <w:rPr>
                <w:rFonts w:ascii="Times New Roman" w:hAnsi="Times New Roman"/>
                <w:lang w:eastAsia="en-US"/>
              </w:rPr>
              <w:t>O</w:t>
            </w:r>
            <w:r w:rsidRPr="00A85C5A">
              <w:rPr>
                <w:rFonts w:ascii="Times New Roman" w:hAnsi="Times New Roman"/>
                <w:vertAlign w:val="subscript"/>
                <w:lang w:eastAsia="en-US"/>
              </w:rPr>
              <w:t xml:space="preserve">2 </w:t>
            </w:r>
          </w:p>
          <w:p w:rsidR="00914156" w:rsidRPr="00A85C5A" w:rsidRDefault="00914156" w:rsidP="00914156">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12</w:t>
            </w:r>
            <w:r w:rsidRPr="00A85C5A">
              <w:rPr>
                <w:rFonts w:ascii="Times New Roman" w:hAnsi="Times New Roman"/>
                <w:lang w:eastAsia="en-US"/>
              </w:rPr>
              <w:t>H</w:t>
            </w:r>
            <w:r w:rsidRPr="00A85C5A">
              <w:rPr>
                <w:rFonts w:ascii="Times New Roman" w:hAnsi="Times New Roman"/>
                <w:vertAlign w:val="subscript"/>
                <w:lang w:eastAsia="en-US"/>
              </w:rPr>
              <w:t>8</w:t>
            </w:r>
            <w:r w:rsidRPr="00A85C5A">
              <w:rPr>
                <w:rFonts w:ascii="Times New Roman" w:hAnsi="Times New Roman"/>
                <w:lang w:eastAsia="en-US"/>
              </w:rPr>
              <w:t>N</w:t>
            </w:r>
            <w:r w:rsidRPr="00A85C5A">
              <w:rPr>
                <w:rFonts w:ascii="Times New Roman" w:hAnsi="Times New Roman"/>
                <w:vertAlign w:val="subscript"/>
                <w:lang w:eastAsia="en-US"/>
              </w:rPr>
              <w:t>2</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III</w:t>
            </w:r>
          </w:p>
        </w:tc>
        <w:tc>
          <w:tcPr>
            <w:tcW w:w="167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385–7</w:t>
            </w:r>
            <w:r w:rsidR="00D849C1" w:rsidRPr="00A85C5A">
              <w:rPr>
                <w:rFonts w:ascii="Times New Roman" w:hAnsi="Times New Roman"/>
                <w:lang w:eastAsia="en-US"/>
              </w:rPr>
              <w:t>28</w:t>
            </w:r>
          </w:p>
        </w:tc>
        <w:tc>
          <w:tcPr>
            <w:tcW w:w="181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36.40 (36.39)</w:t>
            </w:r>
          </w:p>
        </w:tc>
        <w:tc>
          <w:tcPr>
            <w:tcW w:w="1446"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13</w:t>
            </w:r>
            <w:r w:rsidRPr="00A85C5A">
              <w:rPr>
                <w:rFonts w:ascii="Times New Roman" w:hAnsi="Times New Roman"/>
                <w:lang w:eastAsia="en-US"/>
              </w:rPr>
              <w:t>H</w:t>
            </w:r>
            <w:r w:rsidRPr="00A85C5A">
              <w:rPr>
                <w:rFonts w:ascii="Times New Roman" w:hAnsi="Times New Roman"/>
                <w:vertAlign w:val="subscript"/>
                <w:lang w:eastAsia="en-US"/>
              </w:rPr>
              <w:t>18</w:t>
            </w:r>
            <w:r w:rsidRPr="00A85C5A">
              <w:rPr>
                <w:rFonts w:ascii="Times New Roman" w:hAnsi="Times New Roman"/>
                <w:lang w:eastAsia="en-US"/>
              </w:rPr>
              <w:t>N</w:t>
            </w:r>
            <w:r w:rsidRPr="00A85C5A">
              <w:rPr>
                <w:rFonts w:ascii="Times New Roman" w:hAnsi="Times New Roman"/>
                <w:vertAlign w:val="subscript"/>
                <w:lang w:eastAsia="en-US"/>
              </w:rPr>
              <w:t>2</w:t>
            </w:r>
            <w:r w:rsidRPr="00A85C5A">
              <w:rPr>
                <w:rFonts w:ascii="Times New Roman" w:hAnsi="Times New Roman"/>
                <w:lang w:eastAsia="en-US"/>
              </w:rPr>
              <w:t>O</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Residue</w:t>
            </w:r>
          </w:p>
        </w:tc>
        <w:tc>
          <w:tcPr>
            <w:tcW w:w="1679"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&gt;7</w:t>
            </w:r>
            <w:r w:rsidR="00D849C1" w:rsidRPr="00A85C5A">
              <w:rPr>
                <w:rFonts w:ascii="Times New Roman" w:hAnsi="Times New Roman"/>
                <w:lang w:eastAsia="en-US"/>
              </w:rPr>
              <w:t>28</w:t>
            </w:r>
          </w:p>
        </w:tc>
        <w:tc>
          <w:tcPr>
            <w:tcW w:w="1819"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11.77 (11.84)</w:t>
            </w:r>
          </w:p>
        </w:tc>
        <w:tc>
          <w:tcPr>
            <w:tcW w:w="1446"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bCs/>
                <w:lang w:eastAsia="en-US"/>
              </w:rPr>
              <w:t>Mn</w:t>
            </w:r>
            <w:r w:rsidRPr="00A85C5A">
              <w:rPr>
                <w:rFonts w:ascii="Times New Roman" w:hAnsi="Times New Roman"/>
                <w:lang w:eastAsia="en-US"/>
              </w:rPr>
              <w:t>O</w:t>
            </w:r>
          </w:p>
        </w:tc>
      </w:tr>
      <w:tr w:rsidR="00914156" w:rsidRPr="00A85C5A" w:rsidTr="00914156">
        <w:trPr>
          <w:trHeight w:val="244"/>
        </w:trPr>
        <w:tc>
          <w:tcPr>
            <w:tcW w:w="3162" w:type="dxa"/>
            <w:vMerge w:val="restart"/>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bCs/>
                <w:lang w:eastAsia="en-US"/>
              </w:rPr>
              <w:t>(</w:t>
            </w:r>
            <w:r w:rsidRPr="00A85C5A">
              <w:rPr>
                <w:rFonts w:ascii="Times New Roman" w:hAnsi="Times New Roman"/>
                <w:b/>
                <w:lang w:eastAsia="en-US"/>
              </w:rPr>
              <w:t>4</w:t>
            </w:r>
            <w:r w:rsidRPr="00A85C5A">
              <w:rPr>
                <w:rFonts w:ascii="Times New Roman" w:hAnsi="Times New Roman"/>
                <w:bCs/>
                <w:lang w:eastAsia="en-US"/>
              </w:rPr>
              <w:t>) [Ni</w:t>
            </w:r>
            <w:r w:rsidRPr="00A85C5A">
              <w:rPr>
                <w:rFonts w:ascii="Times New Roman" w:hAnsi="Times New Roman"/>
                <w:bCs/>
                <w:vertAlign w:val="superscript"/>
                <w:lang w:eastAsia="en-US"/>
              </w:rPr>
              <w:t>II</w:t>
            </w:r>
            <w:r w:rsidRPr="00A85C5A">
              <w:rPr>
                <w:rFonts w:ascii="Times New Roman" w:hAnsi="Times New Roman"/>
                <w:bCs/>
                <w:lang w:eastAsia="en-US"/>
              </w:rPr>
              <w:t>(L)(phen) AcO].4H</w:t>
            </w:r>
            <w:r w:rsidRPr="00A85C5A">
              <w:rPr>
                <w:rFonts w:ascii="Times New Roman" w:hAnsi="Times New Roman"/>
                <w:bCs/>
                <w:vertAlign w:val="subscript"/>
                <w:lang w:eastAsia="en-US"/>
              </w:rPr>
              <w:t>2</w:t>
            </w:r>
            <w:r w:rsidRPr="00A85C5A">
              <w:rPr>
                <w:rFonts w:ascii="Times New Roman" w:hAnsi="Times New Roman"/>
                <w:bCs/>
                <w:lang w:eastAsia="en-US"/>
              </w:rPr>
              <w:t xml:space="preserve">O   </w:t>
            </w:r>
          </w:p>
        </w:tc>
        <w:tc>
          <w:tcPr>
            <w:tcW w:w="1014" w:type="dxa"/>
            <w:vMerge w:val="restart"/>
            <w:tcBorders>
              <w:top w:val="single" w:sz="4" w:space="0" w:color="auto"/>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602.70</w:t>
            </w:r>
          </w:p>
        </w:tc>
        <w:tc>
          <w:tcPr>
            <w:tcW w:w="1092"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w:t>
            </w:r>
          </w:p>
        </w:tc>
        <w:tc>
          <w:tcPr>
            <w:tcW w:w="1679"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40–95</w:t>
            </w:r>
          </w:p>
        </w:tc>
        <w:tc>
          <w:tcPr>
            <w:tcW w:w="1819"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12.00 (11.94)</w:t>
            </w:r>
          </w:p>
        </w:tc>
        <w:tc>
          <w:tcPr>
            <w:tcW w:w="1446"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4H</w:t>
            </w:r>
            <w:r w:rsidRPr="00A85C5A">
              <w:rPr>
                <w:rFonts w:ascii="Times New Roman" w:hAnsi="Times New Roman"/>
                <w:vertAlign w:val="subscript"/>
                <w:lang w:eastAsia="en-US"/>
              </w:rPr>
              <w:t>2</w:t>
            </w:r>
            <w:r w:rsidRPr="00A85C5A">
              <w:rPr>
                <w:rFonts w:ascii="Times New Roman" w:hAnsi="Times New Roman"/>
                <w:lang w:eastAsia="en-US"/>
              </w:rPr>
              <w:t xml:space="preserve">O </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II</w:t>
            </w:r>
          </w:p>
        </w:tc>
        <w:tc>
          <w:tcPr>
            <w:tcW w:w="1679" w:type="dxa"/>
            <w:tcBorders>
              <w:top w:val="nil"/>
              <w:left w:val="nil"/>
              <w:bottom w:val="nil"/>
              <w:right w:val="nil"/>
            </w:tcBorders>
            <w:vAlign w:val="center"/>
          </w:tcPr>
          <w:p w:rsidR="00914156" w:rsidRPr="00A85C5A" w:rsidRDefault="00D849C1"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w:t>
            </w:r>
            <w:r w:rsidR="00E268FF" w:rsidRPr="00A85C5A">
              <w:rPr>
                <w:rFonts w:ascii="Times New Roman" w:hAnsi="Times New Roman"/>
                <w:lang w:eastAsia="en-US"/>
              </w:rPr>
              <w:t>1</w:t>
            </w:r>
            <w:r w:rsidR="00914156" w:rsidRPr="00A85C5A">
              <w:rPr>
                <w:rFonts w:ascii="Times New Roman" w:hAnsi="Times New Roman"/>
                <w:lang w:eastAsia="en-US"/>
              </w:rPr>
              <w:t>0–400</w:t>
            </w:r>
          </w:p>
        </w:tc>
        <w:tc>
          <w:tcPr>
            <w:tcW w:w="181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39.72 (39.68)</w:t>
            </w:r>
          </w:p>
        </w:tc>
        <w:tc>
          <w:tcPr>
            <w:tcW w:w="1446" w:type="dxa"/>
            <w:tcBorders>
              <w:top w:val="nil"/>
              <w:left w:val="nil"/>
              <w:bottom w:val="nil"/>
              <w:right w:val="nil"/>
            </w:tcBorders>
            <w:vAlign w:val="center"/>
          </w:tcPr>
          <w:p w:rsidR="00914156" w:rsidRPr="00A85C5A" w:rsidRDefault="00914156" w:rsidP="00914156">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2</w:t>
            </w:r>
            <w:r w:rsidRPr="00A85C5A">
              <w:rPr>
                <w:rFonts w:ascii="Times New Roman" w:hAnsi="Times New Roman"/>
                <w:lang w:eastAsia="en-US"/>
              </w:rPr>
              <w:t>H</w:t>
            </w:r>
            <w:r w:rsidRPr="00A85C5A">
              <w:rPr>
                <w:rFonts w:ascii="Times New Roman" w:hAnsi="Times New Roman"/>
                <w:vertAlign w:val="subscript"/>
                <w:lang w:eastAsia="en-US"/>
              </w:rPr>
              <w:t>3</w:t>
            </w:r>
            <w:r w:rsidRPr="00A85C5A">
              <w:rPr>
                <w:rFonts w:ascii="Times New Roman" w:hAnsi="Times New Roman"/>
                <w:lang w:eastAsia="en-US"/>
              </w:rPr>
              <w:t>O</w:t>
            </w:r>
            <w:r w:rsidRPr="00A85C5A">
              <w:rPr>
                <w:rFonts w:ascii="Times New Roman" w:hAnsi="Times New Roman"/>
                <w:vertAlign w:val="subscript"/>
                <w:lang w:eastAsia="en-US"/>
              </w:rPr>
              <w:t xml:space="preserve">2 </w:t>
            </w:r>
          </w:p>
          <w:p w:rsidR="00914156" w:rsidRPr="00A85C5A" w:rsidRDefault="00914156" w:rsidP="00914156">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12</w:t>
            </w:r>
            <w:r w:rsidRPr="00A85C5A">
              <w:rPr>
                <w:rFonts w:ascii="Times New Roman" w:hAnsi="Times New Roman"/>
                <w:lang w:eastAsia="en-US"/>
              </w:rPr>
              <w:t>H</w:t>
            </w:r>
            <w:r w:rsidRPr="00A85C5A">
              <w:rPr>
                <w:rFonts w:ascii="Times New Roman" w:hAnsi="Times New Roman"/>
                <w:vertAlign w:val="subscript"/>
                <w:lang w:eastAsia="en-US"/>
              </w:rPr>
              <w:t>8</w:t>
            </w:r>
            <w:r w:rsidRPr="00A85C5A">
              <w:rPr>
                <w:rFonts w:ascii="Times New Roman" w:hAnsi="Times New Roman"/>
                <w:lang w:eastAsia="en-US"/>
              </w:rPr>
              <w:t>N</w:t>
            </w:r>
            <w:r w:rsidRPr="00A85C5A">
              <w:rPr>
                <w:rFonts w:ascii="Times New Roman" w:hAnsi="Times New Roman"/>
                <w:vertAlign w:val="subscript"/>
                <w:lang w:eastAsia="en-US"/>
              </w:rPr>
              <w:t>2</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III</w:t>
            </w:r>
          </w:p>
        </w:tc>
        <w:tc>
          <w:tcPr>
            <w:tcW w:w="1679" w:type="dxa"/>
            <w:tcBorders>
              <w:top w:val="nil"/>
              <w:left w:val="nil"/>
              <w:bottom w:val="nil"/>
              <w:right w:val="nil"/>
            </w:tcBorders>
            <w:vAlign w:val="center"/>
          </w:tcPr>
          <w:p w:rsidR="00914156" w:rsidRPr="00A85C5A" w:rsidRDefault="00D849C1"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400–71</w:t>
            </w:r>
            <w:r w:rsidR="00914156" w:rsidRPr="00A85C5A">
              <w:rPr>
                <w:rFonts w:ascii="Times New Roman" w:hAnsi="Times New Roman"/>
                <w:lang w:eastAsia="en-US"/>
              </w:rPr>
              <w:t>5</w:t>
            </w:r>
          </w:p>
        </w:tc>
        <w:tc>
          <w:tcPr>
            <w:tcW w:w="181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36.14 (36.17)</w:t>
            </w:r>
          </w:p>
        </w:tc>
        <w:tc>
          <w:tcPr>
            <w:tcW w:w="1446"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13</w:t>
            </w:r>
            <w:r w:rsidRPr="00A85C5A">
              <w:rPr>
                <w:rFonts w:ascii="Times New Roman" w:hAnsi="Times New Roman"/>
                <w:lang w:eastAsia="en-US"/>
              </w:rPr>
              <w:t>H</w:t>
            </w:r>
            <w:r w:rsidRPr="00A85C5A">
              <w:rPr>
                <w:rFonts w:ascii="Times New Roman" w:hAnsi="Times New Roman"/>
                <w:vertAlign w:val="subscript"/>
                <w:lang w:eastAsia="en-US"/>
              </w:rPr>
              <w:t>18</w:t>
            </w:r>
            <w:r w:rsidRPr="00A85C5A">
              <w:rPr>
                <w:rFonts w:ascii="Times New Roman" w:hAnsi="Times New Roman"/>
                <w:lang w:eastAsia="en-US"/>
              </w:rPr>
              <w:t>N</w:t>
            </w:r>
            <w:r w:rsidRPr="00A85C5A">
              <w:rPr>
                <w:rFonts w:ascii="Times New Roman" w:hAnsi="Times New Roman"/>
                <w:vertAlign w:val="subscript"/>
                <w:lang w:eastAsia="en-US"/>
              </w:rPr>
              <w:t>2</w:t>
            </w:r>
            <w:r w:rsidRPr="00A85C5A">
              <w:rPr>
                <w:rFonts w:ascii="Times New Roman" w:hAnsi="Times New Roman"/>
                <w:lang w:eastAsia="en-US"/>
              </w:rPr>
              <w:t>O</w:t>
            </w:r>
          </w:p>
        </w:tc>
      </w:tr>
      <w:tr w:rsidR="00914156" w:rsidRPr="00A85C5A" w:rsidTr="00914156">
        <w:trPr>
          <w:trHeight w:val="244"/>
        </w:trPr>
        <w:tc>
          <w:tcPr>
            <w:tcW w:w="3162" w:type="dxa"/>
            <w:vMerge/>
            <w:tcBorders>
              <w:top w:val="single" w:sz="12"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Residue</w:t>
            </w:r>
          </w:p>
        </w:tc>
        <w:tc>
          <w:tcPr>
            <w:tcW w:w="1679" w:type="dxa"/>
            <w:tcBorders>
              <w:top w:val="nil"/>
              <w:left w:val="nil"/>
              <w:bottom w:val="single" w:sz="4" w:space="0" w:color="auto"/>
              <w:right w:val="nil"/>
            </w:tcBorders>
            <w:vAlign w:val="center"/>
          </w:tcPr>
          <w:p w:rsidR="00914156" w:rsidRPr="00A85C5A" w:rsidRDefault="00D849C1"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&gt;71</w:t>
            </w:r>
            <w:r w:rsidR="00914156" w:rsidRPr="00A85C5A">
              <w:rPr>
                <w:rFonts w:ascii="Times New Roman" w:hAnsi="Times New Roman"/>
                <w:lang w:eastAsia="en-US"/>
              </w:rPr>
              <w:t>5</w:t>
            </w:r>
          </w:p>
        </w:tc>
        <w:tc>
          <w:tcPr>
            <w:tcW w:w="1819"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12.35 (12.39)</w:t>
            </w:r>
          </w:p>
        </w:tc>
        <w:tc>
          <w:tcPr>
            <w:tcW w:w="1446" w:type="dxa"/>
            <w:tcBorders>
              <w:top w:val="nil"/>
              <w:left w:val="nil"/>
              <w:bottom w:val="single" w:sz="4"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bCs/>
                <w:lang w:eastAsia="en-US"/>
              </w:rPr>
              <w:t>Ni</w:t>
            </w:r>
            <w:r w:rsidRPr="00A85C5A">
              <w:rPr>
                <w:rFonts w:ascii="Times New Roman" w:hAnsi="Times New Roman"/>
                <w:lang w:eastAsia="en-US"/>
              </w:rPr>
              <w:t>O</w:t>
            </w:r>
          </w:p>
        </w:tc>
      </w:tr>
      <w:tr w:rsidR="00914156" w:rsidRPr="00A85C5A" w:rsidTr="00914156">
        <w:trPr>
          <w:trHeight w:val="268"/>
        </w:trPr>
        <w:tc>
          <w:tcPr>
            <w:tcW w:w="3162" w:type="dxa"/>
            <w:vMerge w:val="restart"/>
            <w:tcBorders>
              <w:top w:val="nil"/>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r w:rsidRPr="00A85C5A">
              <w:rPr>
                <w:rFonts w:ascii="Times New Roman" w:hAnsi="Times New Roman"/>
                <w:bCs/>
                <w:lang w:eastAsia="en-US"/>
              </w:rPr>
              <w:t>(</w:t>
            </w:r>
            <w:r w:rsidRPr="00A85C5A">
              <w:rPr>
                <w:rFonts w:ascii="Times New Roman" w:hAnsi="Times New Roman"/>
                <w:b/>
                <w:lang w:eastAsia="en-US"/>
              </w:rPr>
              <w:t>5</w:t>
            </w:r>
            <w:r w:rsidRPr="00A85C5A">
              <w:rPr>
                <w:rFonts w:ascii="Times New Roman" w:hAnsi="Times New Roman"/>
                <w:bCs/>
                <w:lang w:eastAsia="en-US"/>
              </w:rPr>
              <w:t>) [Zn</w:t>
            </w:r>
            <w:r w:rsidRPr="00A85C5A">
              <w:rPr>
                <w:rFonts w:ascii="Times New Roman" w:hAnsi="Times New Roman"/>
                <w:bCs/>
                <w:vertAlign w:val="superscript"/>
                <w:lang w:eastAsia="en-US"/>
              </w:rPr>
              <w:t>II</w:t>
            </w:r>
            <w:r w:rsidRPr="00A85C5A">
              <w:rPr>
                <w:rFonts w:ascii="Times New Roman" w:hAnsi="Times New Roman"/>
                <w:bCs/>
                <w:lang w:eastAsia="en-US"/>
              </w:rPr>
              <w:t>(L)(phen) AcO].2H</w:t>
            </w:r>
            <w:r w:rsidRPr="00A85C5A">
              <w:rPr>
                <w:rFonts w:ascii="Times New Roman" w:hAnsi="Times New Roman"/>
                <w:bCs/>
                <w:vertAlign w:val="subscript"/>
                <w:lang w:eastAsia="en-US"/>
              </w:rPr>
              <w:t>2</w:t>
            </w:r>
            <w:r w:rsidRPr="00A85C5A">
              <w:rPr>
                <w:rFonts w:ascii="Times New Roman" w:hAnsi="Times New Roman"/>
                <w:bCs/>
                <w:lang w:eastAsia="en-US"/>
              </w:rPr>
              <w:t xml:space="preserve">O   </w:t>
            </w:r>
          </w:p>
        </w:tc>
        <w:tc>
          <w:tcPr>
            <w:tcW w:w="1014" w:type="dxa"/>
            <w:vMerge w:val="restart"/>
            <w:tcBorders>
              <w:top w:val="single" w:sz="4" w:space="0" w:color="auto"/>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573.37</w:t>
            </w:r>
          </w:p>
        </w:tc>
        <w:tc>
          <w:tcPr>
            <w:tcW w:w="1092"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w:t>
            </w:r>
          </w:p>
        </w:tc>
        <w:tc>
          <w:tcPr>
            <w:tcW w:w="1679"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40–105</w:t>
            </w:r>
          </w:p>
        </w:tc>
        <w:tc>
          <w:tcPr>
            <w:tcW w:w="1819"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06.31 (06.27)</w:t>
            </w:r>
          </w:p>
        </w:tc>
        <w:tc>
          <w:tcPr>
            <w:tcW w:w="1446" w:type="dxa"/>
            <w:tcBorders>
              <w:top w:val="single" w:sz="4" w:space="0" w:color="auto"/>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2H</w:t>
            </w:r>
            <w:r w:rsidRPr="00A85C5A">
              <w:rPr>
                <w:rFonts w:ascii="Times New Roman" w:hAnsi="Times New Roman"/>
                <w:vertAlign w:val="subscript"/>
                <w:lang w:eastAsia="en-US"/>
              </w:rPr>
              <w:t>2</w:t>
            </w:r>
            <w:r w:rsidRPr="00A85C5A">
              <w:rPr>
                <w:rFonts w:ascii="Times New Roman" w:hAnsi="Times New Roman"/>
                <w:lang w:eastAsia="en-US"/>
              </w:rPr>
              <w:t xml:space="preserve">O </w:t>
            </w:r>
          </w:p>
        </w:tc>
      </w:tr>
      <w:tr w:rsidR="00914156" w:rsidRPr="00A85C5A" w:rsidTr="00914156">
        <w:trPr>
          <w:trHeight w:val="244"/>
        </w:trPr>
        <w:tc>
          <w:tcPr>
            <w:tcW w:w="3162"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II</w:t>
            </w:r>
          </w:p>
        </w:tc>
        <w:tc>
          <w:tcPr>
            <w:tcW w:w="1679" w:type="dxa"/>
            <w:tcBorders>
              <w:top w:val="nil"/>
              <w:left w:val="nil"/>
              <w:bottom w:val="nil"/>
              <w:right w:val="nil"/>
            </w:tcBorders>
            <w:vAlign w:val="center"/>
          </w:tcPr>
          <w:p w:rsidR="00914156" w:rsidRPr="00A85C5A" w:rsidRDefault="00D849C1"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11</w:t>
            </w:r>
            <w:r w:rsidR="00914156" w:rsidRPr="00A85C5A">
              <w:rPr>
                <w:rFonts w:ascii="Times New Roman" w:hAnsi="Times New Roman"/>
                <w:lang w:eastAsia="en-US"/>
              </w:rPr>
              <w:t>0–400</w:t>
            </w:r>
          </w:p>
        </w:tc>
        <w:tc>
          <w:tcPr>
            <w:tcW w:w="181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41.76 (41.72)</w:t>
            </w:r>
          </w:p>
        </w:tc>
        <w:tc>
          <w:tcPr>
            <w:tcW w:w="1446" w:type="dxa"/>
            <w:tcBorders>
              <w:top w:val="nil"/>
              <w:left w:val="nil"/>
              <w:bottom w:val="nil"/>
              <w:right w:val="nil"/>
            </w:tcBorders>
            <w:vAlign w:val="center"/>
          </w:tcPr>
          <w:p w:rsidR="00914156" w:rsidRPr="00A85C5A" w:rsidRDefault="00914156" w:rsidP="00914156">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2</w:t>
            </w:r>
            <w:r w:rsidRPr="00A85C5A">
              <w:rPr>
                <w:rFonts w:ascii="Times New Roman" w:hAnsi="Times New Roman"/>
                <w:lang w:eastAsia="en-US"/>
              </w:rPr>
              <w:t>H</w:t>
            </w:r>
            <w:r w:rsidRPr="00A85C5A">
              <w:rPr>
                <w:rFonts w:ascii="Times New Roman" w:hAnsi="Times New Roman"/>
                <w:vertAlign w:val="subscript"/>
                <w:lang w:eastAsia="en-US"/>
              </w:rPr>
              <w:t>3</w:t>
            </w:r>
            <w:r w:rsidRPr="00A85C5A">
              <w:rPr>
                <w:rFonts w:ascii="Times New Roman" w:hAnsi="Times New Roman"/>
                <w:lang w:eastAsia="en-US"/>
              </w:rPr>
              <w:t>O</w:t>
            </w:r>
            <w:r w:rsidRPr="00A85C5A">
              <w:rPr>
                <w:rFonts w:ascii="Times New Roman" w:hAnsi="Times New Roman"/>
                <w:vertAlign w:val="subscript"/>
                <w:lang w:eastAsia="en-US"/>
              </w:rPr>
              <w:t xml:space="preserve">2 </w:t>
            </w:r>
          </w:p>
          <w:p w:rsidR="00914156" w:rsidRPr="00A85C5A" w:rsidRDefault="00914156" w:rsidP="00914156">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12</w:t>
            </w:r>
            <w:r w:rsidRPr="00A85C5A">
              <w:rPr>
                <w:rFonts w:ascii="Times New Roman" w:hAnsi="Times New Roman"/>
                <w:lang w:eastAsia="en-US"/>
              </w:rPr>
              <w:t>H</w:t>
            </w:r>
            <w:r w:rsidRPr="00A85C5A">
              <w:rPr>
                <w:rFonts w:ascii="Times New Roman" w:hAnsi="Times New Roman"/>
                <w:vertAlign w:val="subscript"/>
                <w:lang w:eastAsia="en-US"/>
              </w:rPr>
              <w:t>8</w:t>
            </w:r>
            <w:r w:rsidRPr="00A85C5A">
              <w:rPr>
                <w:rFonts w:ascii="Times New Roman" w:hAnsi="Times New Roman"/>
                <w:lang w:eastAsia="en-US"/>
              </w:rPr>
              <w:t>N</w:t>
            </w:r>
            <w:r w:rsidRPr="00A85C5A">
              <w:rPr>
                <w:rFonts w:ascii="Times New Roman" w:hAnsi="Times New Roman"/>
                <w:vertAlign w:val="subscript"/>
                <w:lang w:eastAsia="en-US"/>
              </w:rPr>
              <w:t>2</w:t>
            </w:r>
          </w:p>
        </w:tc>
      </w:tr>
      <w:tr w:rsidR="00914156" w:rsidRPr="00A85C5A" w:rsidTr="00914156">
        <w:trPr>
          <w:trHeight w:val="244"/>
        </w:trPr>
        <w:tc>
          <w:tcPr>
            <w:tcW w:w="3162"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III</w:t>
            </w:r>
          </w:p>
        </w:tc>
        <w:tc>
          <w:tcPr>
            <w:tcW w:w="167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400–7</w:t>
            </w:r>
            <w:r w:rsidR="00D849C1" w:rsidRPr="00A85C5A">
              <w:rPr>
                <w:rFonts w:ascii="Times New Roman" w:hAnsi="Times New Roman"/>
                <w:lang w:eastAsia="en-US"/>
              </w:rPr>
              <w:t>22</w:t>
            </w:r>
          </w:p>
        </w:tc>
        <w:tc>
          <w:tcPr>
            <w:tcW w:w="1819"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38.07 (38.02)</w:t>
            </w:r>
          </w:p>
        </w:tc>
        <w:tc>
          <w:tcPr>
            <w:tcW w:w="1446" w:type="dxa"/>
            <w:tcBorders>
              <w:top w:val="nil"/>
              <w:left w:val="nil"/>
              <w:bottom w:val="nil"/>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C</w:t>
            </w:r>
            <w:r w:rsidRPr="00A85C5A">
              <w:rPr>
                <w:rFonts w:ascii="Times New Roman" w:hAnsi="Times New Roman"/>
                <w:vertAlign w:val="subscript"/>
                <w:lang w:eastAsia="en-US"/>
              </w:rPr>
              <w:t>13</w:t>
            </w:r>
            <w:r w:rsidRPr="00A85C5A">
              <w:rPr>
                <w:rFonts w:ascii="Times New Roman" w:hAnsi="Times New Roman"/>
                <w:lang w:eastAsia="en-US"/>
              </w:rPr>
              <w:t>H</w:t>
            </w:r>
            <w:r w:rsidRPr="00A85C5A">
              <w:rPr>
                <w:rFonts w:ascii="Times New Roman" w:hAnsi="Times New Roman"/>
                <w:vertAlign w:val="subscript"/>
                <w:lang w:eastAsia="en-US"/>
              </w:rPr>
              <w:t>18</w:t>
            </w:r>
            <w:r w:rsidRPr="00A85C5A">
              <w:rPr>
                <w:rFonts w:ascii="Times New Roman" w:hAnsi="Times New Roman"/>
                <w:lang w:eastAsia="en-US"/>
              </w:rPr>
              <w:t>N</w:t>
            </w:r>
            <w:r w:rsidRPr="00A85C5A">
              <w:rPr>
                <w:rFonts w:ascii="Times New Roman" w:hAnsi="Times New Roman"/>
                <w:vertAlign w:val="subscript"/>
                <w:lang w:eastAsia="en-US"/>
              </w:rPr>
              <w:t>2</w:t>
            </w:r>
            <w:r w:rsidRPr="00A85C5A">
              <w:rPr>
                <w:rFonts w:ascii="Times New Roman" w:hAnsi="Times New Roman"/>
                <w:lang w:eastAsia="en-US"/>
              </w:rPr>
              <w:t>O</w:t>
            </w:r>
          </w:p>
        </w:tc>
      </w:tr>
      <w:tr w:rsidR="00914156" w:rsidRPr="00A85C5A" w:rsidTr="00914156">
        <w:trPr>
          <w:trHeight w:val="244"/>
        </w:trPr>
        <w:tc>
          <w:tcPr>
            <w:tcW w:w="3162" w:type="dxa"/>
            <w:vMerge/>
            <w:tcBorders>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bCs/>
                <w:lang w:eastAsia="en-US"/>
              </w:rPr>
            </w:pPr>
          </w:p>
        </w:tc>
        <w:tc>
          <w:tcPr>
            <w:tcW w:w="1014" w:type="dxa"/>
            <w:vMerge/>
            <w:tcBorders>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p>
        </w:tc>
        <w:tc>
          <w:tcPr>
            <w:tcW w:w="1092" w:type="dxa"/>
            <w:tcBorders>
              <w:top w:val="nil"/>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Residue</w:t>
            </w:r>
          </w:p>
        </w:tc>
        <w:tc>
          <w:tcPr>
            <w:tcW w:w="1679" w:type="dxa"/>
            <w:tcBorders>
              <w:top w:val="nil"/>
              <w:left w:val="nil"/>
              <w:bottom w:val="single" w:sz="12" w:space="0" w:color="auto"/>
              <w:right w:val="nil"/>
            </w:tcBorders>
            <w:vAlign w:val="center"/>
          </w:tcPr>
          <w:p w:rsidR="00914156" w:rsidRPr="00A85C5A" w:rsidRDefault="00D849C1"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&gt;722</w:t>
            </w:r>
          </w:p>
        </w:tc>
        <w:tc>
          <w:tcPr>
            <w:tcW w:w="1819" w:type="dxa"/>
            <w:tcBorders>
              <w:top w:val="nil"/>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lang w:eastAsia="en-US"/>
              </w:rPr>
              <w:t>14.16 (14.19)</w:t>
            </w:r>
          </w:p>
        </w:tc>
        <w:tc>
          <w:tcPr>
            <w:tcW w:w="1446" w:type="dxa"/>
            <w:tcBorders>
              <w:top w:val="nil"/>
              <w:left w:val="nil"/>
              <w:bottom w:val="single" w:sz="12" w:space="0" w:color="auto"/>
              <w:right w:val="nil"/>
            </w:tcBorders>
            <w:vAlign w:val="center"/>
          </w:tcPr>
          <w:p w:rsidR="00914156" w:rsidRPr="00A85C5A" w:rsidRDefault="00914156" w:rsidP="000E498C">
            <w:pPr>
              <w:overflowPunct w:val="0"/>
              <w:autoSpaceDE w:val="0"/>
              <w:autoSpaceDN w:val="0"/>
              <w:adjustRightInd w:val="0"/>
              <w:spacing w:line="240" w:lineRule="auto"/>
              <w:jc w:val="center"/>
              <w:textAlignment w:val="baseline"/>
              <w:rPr>
                <w:rFonts w:ascii="Times New Roman" w:hAnsi="Times New Roman"/>
                <w:lang w:eastAsia="en-US"/>
              </w:rPr>
            </w:pPr>
            <w:r w:rsidRPr="00A85C5A">
              <w:rPr>
                <w:rFonts w:ascii="Times New Roman" w:hAnsi="Times New Roman"/>
                <w:bCs/>
                <w:lang w:eastAsia="en-US"/>
              </w:rPr>
              <w:t>Zn</w:t>
            </w:r>
            <w:r w:rsidRPr="00A85C5A">
              <w:rPr>
                <w:rFonts w:ascii="Times New Roman" w:hAnsi="Times New Roman"/>
                <w:lang w:eastAsia="en-US"/>
              </w:rPr>
              <w:t>O</w:t>
            </w:r>
          </w:p>
        </w:tc>
      </w:tr>
    </w:tbl>
    <w:p w:rsidR="00914156" w:rsidRPr="00A85C5A" w:rsidRDefault="00914156" w:rsidP="00914156">
      <w:pPr>
        <w:overflowPunct w:val="0"/>
        <w:autoSpaceDE w:val="0"/>
        <w:autoSpaceDN w:val="0"/>
        <w:adjustRightInd w:val="0"/>
        <w:spacing w:line="240" w:lineRule="auto"/>
        <w:jc w:val="both"/>
        <w:textAlignment w:val="baseline"/>
        <w:rPr>
          <w:rFonts w:eastAsia="Calibri"/>
          <w:lang w:val="en-IN" w:eastAsia="en-US" w:bidi="ta-IN"/>
        </w:rPr>
      </w:pPr>
    </w:p>
    <w:tbl>
      <w:tblPr>
        <w:tblStyle w:val="TableGrid10"/>
        <w:tblW w:w="6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6"/>
      </w:tblGrid>
      <w:tr w:rsidR="00783674" w:rsidRPr="00A85C5A" w:rsidTr="00BD10DB">
        <w:trPr>
          <w:jc w:val="center"/>
        </w:trPr>
        <w:tc>
          <w:tcPr>
            <w:tcW w:w="6666" w:type="dxa"/>
          </w:tcPr>
          <w:p w:rsidR="00783674" w:rsidRPr="00A85C5A" w:rsidRDefault="00783674" w:rsidP="00AA0628">
            <w:pPr>
              <w:overflowPunct w:val="0"/>
              <w:autoSpaceDE w:val="0"/>
              <w:autoSpaceDN w:val="0"/>
              <w:adjustRightInd w:val="0"/>
              <w:spacing w:line="240" w:lineRule="auto"/>
              <w:contextualSpacing/>
              <w:jc w:val="center"/>
              <w:textAlignment w:val="baseline"/>
              <w:rPr>
                <w:lang w:eastAsia="en-US"/>
              </w:rPr>
            </w:pPr>
            <w:r w:rsidRPr="00A85C5A">
              <w:rPr>
                <w:noProof/>
                <w:lang w:val="en-US" w:eastAsia="en-US"/>
              </w:rPr>
              <w:drawing>
                <wp:inline distT="0" distB="0" distL="0" distR="0">
                  <wp:extent cx="3972920" cy="2625567"/>
                  <wp:effectExtent l="19050" t="0" r="8530" b="0"/>
                  <wp:docPr id="5" name="Picture 12" descr="E:\2013-17 onwards\2017 onwards\2017 onwards part 3\all journal publication\9.chemical paper and madras uni conference bioinorgani and application\tga\final\555first phen cu co tg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2013-17 onwards\2017 onwards\2017 onwards part 3\all journal publication\9.chemical paper and madras uni conference bioinorgani and application\tga\final\555first phen cu co tga final.jpg"/>
                          <pic:cNvPicPr>
                            <a:picLocks noChangeAspect="1" noChangeArrowheads="1"/>
                          </pic:cNvPicPr>
                        </pic:nvPicPr>
                        <pic:blipFill>
                          <a:blip r:embed="rId16" cstate="print"/>
                          <a:srcRect/>
                          <a:stretch>
                            <a:fillRect/>
                          </a:stretch>
                        </pic:blipFill>
                        <pic:spPr bwMode="auto">
                          <a:xfrm>
                            <a:off x="0" y="0"/>
                            <a:ext cx="3978636" cy="2629345"/>
                          </a:xfrm>
                          <a:prstGeom prst="rect">
                            <a:avLst/>
                          </a:prstGeom>
                          <a:noFill/>
                          <a:ln w="9525">
                            <a:noFill/>
                            <a:miter lim="800000"/>
                            <a:headEnd/>
                            <a:tailEnd/>
                          </a:ln>
                        </pic:spPr>
                      </pic:pic>
                    </a:graphicData>
                  </a:graphic>
                </wp:inline>
              </w:drawing>
            </w:r>
          </w:p>
          <w:p w:rsidR="00783674" w:rsidRPr="00A85C5A" w:rsidRDefault="00783674" w:rsidP="00AA0628">
            <w:pPr>
              <w:overflowPunct w:val="0"/>
              <w:autoSpaceDE w:val="0"/>
              <w:autoSpaceDN w:val="0"/>
              <w:adjustRightInd w:val="0"/>
              <w:spacing w:line="240" w:lineRule="auto"/>
              <w:contextualSpacing/>
              <w:jc w:val="both"/>
              <w:textAlignment w:val="baseline"/>
              <w:rPr>
                <w:rFonts w:ascii="Times New Roman" w:hAnsi="Times New Roman"/>
                <w:lang w:eastAsia="en-US"/>
              </w:rPr>
            </w:pPr>
            <w:r w:rsidRPr="00A85C5A">
              <w:rPr>
                <w:rFonts w:ascii="Times New Roman" w:hAnsi="Times New Roman"/>
                <w:b/>
                <w:lang w:eastAsia="en-US"/>
              </w:rPr>
              <w:t>Fig. S6</w:t>
            </w:r>
            <w:r w:rsidRPr="00A85C5A">
              <w:rPr>
                <w:rFonts w:ascii="Times New Roman" w:hAnsi="Times New Roman"/>
                <w:lang w:eastAsia="en-US"/>
              </w:rPr>
              <w:t xml:space="preserve"> TG plots of complexes (</w:t>
            </w:r>
            <w:r w:rsidRPr="00A85C5A">
              <w:rPr>
                <w:rFonts w:ascii="Times New Roman" w:hAnsi="Times New Roman"/>
                <w:b/>
                <w:bCs/>
                <w:lang w:eastAsia="en-US"/>
              </w:rPr>
              <w:t>1-5</w:t>
            </w:r>
            <w:r w:rsidRPr="00A85C5A">
              <w:rPr>
                <w:rFonts w:ascii="Times New Roman" w:hAnsi="Times New Roman"/>
                <w:lang w:eastAsia="en-US"/>
              </w:rPr>
              <w:t xml:space="preserve">) recorded under nitrogen atmosphere between the temperature range 40 and 750 </w:t>
            </w:r>
            <w:r w:rsidRPr="00A85C5A">
              <w:rPr>
                <w:rFonts w:ascii="Segoe UI Symbol" w:hAnsi="Segoe UI Symbol"/>
                <w:lang w:eastAsia="en-US"/>
              </w:rPr>
              <w:t>°</w:t>
            </w:r>
            <w:r w:rsidRPr="00A85C5A">
              <w:rPr>
                <w:rFonts w:ascii="Times New Roman" w:hAnsi="Times New Roman"/>
                <w:lang w:val="en-GB" w:eastAsia="en-US"/>
              </w:rPr>
              <w:t xml:space="preserve">C </w:t>
            </w:r>
            <w:r w:rsidRPr="00A85C5A">
              <w:rPr>
                <w:rFonts w:ascii="Times New Roman" w:hAnsi="Times New Roman"/>
                <w:lang w:eastAsia="en-US"/>
              </w:rPr>
              <w:t xml:space="preserve">at a heating rate of 20 </w:t>
            </w:r>
            <w:r w:rsidRPr="00A85C5A">
              <w:rPr>
                <w:rFonts w:ascii="Segoe UI Symbol" w:hAnsi="Segoe UI Symbol"/>
                <w:lang w:eastAsia="en-US"/>
              </w:rPr>
              <w:t>°</w:t>
            </w:r>
            <w:r w:rsidRPr="00A85C5A">
              <w:rPr>
                <w:rFonts w:ascii="Times New Roman" w:hAnsi="Times New Roman"/>
                <w:lang w:val="en-GB" w:eastAsia="en-US"/>
              </w:rPr>
              <w:t xml:space="preserve">C </w:t>
            </w:r>
            <w:r w:rsidR="00BD10DB" w:rsidRPr="00A85C5A">
              <w:rPr>
                <w:rFonts w:ascii="Times New Roman" w:hAnsi="Times New Roman"/>
                <w:lang w:eastAsia="en-US"/>
              </w:rPr>
              <w:t>/min</w:t>
            </w:r>
          </w:p>
        </w:tc>
      </w:tr>
    </w:tbl>
    <w:p w:rsidR="00783674" w:rsidRPr="00A85C5A" w:rsidRDefault="00783674" w:rsidP="00783674">
      <w:pPr>
        <w:overflowPunct w:val="0"/>
        <w:autoSpaceDE w:val="0"/>
        <w:autoSpaceDN w:val="0"/>
        <w:adjustRightInd w:val="0"/>
        <w:contextualSpacing/>
        <w:jc w:val="both"/>
        <w:textAlignment w:val="baseline"/>
        <w:rPr>
          <w:lang w:val="en-US"/>
        </w:rPr>
      </w:pPr>
    </w:p>
    <w:p w:rsidR="00EC6E98" w:rsidRPr="00A85C5A" w:rsidRDefault="00EC6E98" w:rsidP="00EC6E98">
      <w:pPr>
        <w:overflowPunct w:val="0"/>
        <w:autoSpaceDE w:val="0"/>
        <w:autoSpaceDN w:val="0"/>
        <w:adjustRightInd w:val="0"/>
        <w:contextualSpacing/>
        <w:jc w:val="both"/>
        <w:textAlignment w:val="baseline"/>
        <w:rPr>
          <w:b/>
          <w:bCs/>
          <w:i/>
          <w:iCs/>
          <w:lang w:eastAsia="en-US"/>
        </w:rPr>
      </w:pPr>
      <w:r w:rsidRPr="00A85C5A">
        <w:rPr>
          <w:b/>
          <w:bCs/>
          <w:i/>
          <w:iCs/>
          <w:lang w:eastAsia="en-US"/>
        </w:rPr>
        <w:t xml:space="preserve">Cyclic voltammetry </w:t>
      </w:r>
    </w:p>
    <w:p w:rsidR="00EC6E98" w:rsidRPr="00A85C5A" w:rsidRDefault="00EC6E98" w:rsidP="00EC6E98">
      <w:pPr>
        <w:overflowPunct w:val="0"/>
        <w:autoSpaceDE w:val="0"/>
        <w:autoSpaceDN w:val="0"/>
        <w:adjustRightInd w:val="0"/>
        <w:jc w:val="both"/>
        <w:textAlignment w:val="baseline"/>
        <w:rPr>
          <w:rFonts w:eastAsia="MS Mincho"/>
          <w:b/>
          <w:i/>
          <w:iCs/>
          <w:kern w:val="24"/>
          <w:lang w:eastAsia="en-US"/>
        </w:rPr>
      </w:pPr>
      <w:r w:rsidRPr="00A85C5A">
        <w:rPr>
          <w:lang w:eastAsia="en-US"/>
        </w:rPr>
        <w:t>Cyclic voltammetry is an essential tool to investigate the electron transfer reactions of the complexes. Complexes (</w:t>
      </w:r>
      <w:r w:rsidRPr="00A85C5A">
        <w:rPr>
          <w:b/>
          <w:bCs/>
          <w:lang w:eastAsia="en-US"/>
        </w:rPr>
        <w:t>1-5</w:t>
      </w:r>
      <w:r w:rsidRPr="00A85C5A">
        <w:rPr>
          <w:lang w:eastAsia="en-US"/>
        </w:rPr>
        <w:t>) (</w:t>
      </w:r>
      <w:r w:rsidRPr="00A85C5A">
        <w:rPr>
          <w:rFonts w:eastAsia="Calibri"/>
          <w:lang w:val="en-IN" w:eastAsia="en-US" w:bidi="ta-IN"/>
        </w:rPr>
        <w:t>10</w:t>
      </w:r>
      <w:r w:rsidRPr="00A85C5A">
        <w:rPr>
          <w:rFonts w:eastAsia="Calibri"/>
          <w:vertAlign w:val="superscript"/>
          <w:lang w:val="en-IN" w:eastAsia="en-US" w:bidi="ta-IN"/>
        </w:rPr>
        <w:t>-3</w:t>
      </w:r>
      <w:r w:rsidRPr="00A85C5A">
        <w:rPr>
          <w:lang w:eastAsia="en-US"/>
        </w:rPr>
        <w:t xml:space="preserve"> M) were recorded in the potential range -1.7 to 1.0 V in methanol at 298 K containing 0.1M n-Bu</w:t>
      </w:r>
      <w:r w:rsidRPr="00A85C5A">
        <w:rPr>
          <w:vertAlign w:val="subscript"/>
          <w:lang w:eastAsia="en-US"/>
        </w:rPr>
        <w:t>4</w:t>
      </w:r>
      <w:r w:rsidRPr="00A85C5A">
        <w:rPr>
          <w:lang w:eastAsia="en-US"/>
        </w:rPr>
        <w:t>NClO</w:t>
      </w:r>
      <w:r w:rsidRPr="00A85C5A">
        <w:rPr>
          <w:vertAlign w:val="subscript"/>
          <w:lang w:eastAsia="en-US"/>
        </w:rPr>
        <w:t>4</w:t>
      </w:r>
      <w:r w:rsidRPr="00A85C5A">
        <w:rPr>
          <w:lang w:eastAsia="en-US"/>
        </w:rPr>
        <w:t xml:space="preserve"> as supporting electrolyte at scan rate of 100 Mv s</w:t>
      </w:r>
      <w:r w:rsidRPr="00A85C5A">
        <w:rPr>
          <w:vertAlign w:val="superscript"/>
          <w:lang w:eastAsia="en-US"/>
        </w:rPr>
        <w:t>-1</w:t>
      </w:r>
      <w:r w:rsidRPr="00A85C5A">
        <w:rPr>
          <w:lang w:eastAsia="en-US"/>
        </w:rPr>
        <w:t>. The cyclic voltammogram for mononuclear complexes (</w:t>
      </w:r>
      <w:r w:rsidRPr="00A85C5A">
        <w:rPr>
          <w:b/>
          <w:bCs/>
          <w:lang w:eastAsia="en-US"/>
        </w:rPr>
        <w:t>1-5</w:t>
      </w:r>
      <w:r w:rsidRPr="00A85C5A">
        <w:rPr>
          <w:lang w:eastAsia="en-US"/>
        </w:rPr>
        <w:t>) revealed that a quasi reversible one step reduction peak (</w:t>
      </w:r>
      <w:r w:rsidRPr="00A85C5A">
        <w:rPr>
          <w:i/>
          <w:iCs/>
          <w:lang w:eastAsia="en-US"/>
        </w:rPr>
        <w:t>E</w:t>
      </w:r>
      <w:r w:rsidRPr="00A85C5A">
        <w:rPr>
          <w:i/>
          <w:iCs/>
          <w:vertAlign w:val="subscript"/>
          <w:lang w:eastAsia="en-US"/>
        </w:rPr>
        <w:t>pc</w:t>
      </w:r>
      <w:r w:rsidRPr="00A85C5A">
        <w:rPr>
          <w:lang w:eastAsia="en-US"/>
        </w:rPr>
        <w:t xml:space="preserve">) in the range from -0.73 </w:t>
      </w:r>
      <w:r w:rsidRPr="00A85C5A">
        <w:rPr>
          <w:lang w:val="en-IN" w:eastAsia="en-US"/>
        </w:rPr>
        <w:t xml:space="preserve">V to -1.11 V </w:t>
      </w:r>
      <w:r w:rsidRPr="00A85C5A">
        <w:rPr>
          <w:lang w:eastAsia="en-US"/>
        </w:rPr>
        <w:t>corresponding to M(II) / M(I) and one oxidation peak (</w:t>
      </w:r>
      <w:r w:rsidRPr="00A85C5A">
        <w:rPr>
          <w:i/>
          <w:iCs/>
          <w:lang w:eastAsia="en-US"/>
        </w:rPr>
        <w:t>E</w:t>
      </w:r>
      <w:r w:rsidRPr="00A85C5A">
        <w:rPr>
          <w:i/>
          <w:iCs/>
          <w:vertAlign w:val="subscript"/>
          <w:lang w:eastAsia="en-US"/>
        </w:rPr>
        <w:t>pa</w:t>
      </w:r>
      <w:r w:rsidRPr="00A85C5A">
        <w:rPr>
          <w:lang w:eastAsia="en-US"/>
        </w:rPr>
        <w:t xml:space="preserve">) in the range from -0.39 </w:t>
      </w:r>
      <w:r w:rsidRPr="00A85C5A">
        <w:rPr>
          <w:lang w:val="en-IN" w:eastAsia="en-US"/>
        </w:rPr>
        <w:t xml:space="preserve">V to -0.66 V </w:t>
      </w:r>
      <w:r w:rsidRPr="00A85C5A">
        <w:rPr>
          <w:lang w:eastAsia="en-US"/>
        </w:rPr>
        <w:t>corresponding to M(I) / M(II). The values of peak-to-peak separation (</w:t>
      </w:r>
      <w:r w:rsidRPr="00A85C5A">
        <w:rPr>
          <w:lang w:eastAsia="en-IN"/>
        </w:rPr>
        <w:t>Δ</w:t>
      </w:r>
      <w:r w:rsidRPr="00A85C5A">
        <w:rPr>
          <w:i/>
          <w:iCs/>
          <w:lang w:eastAsia="en-IN"/>
        </w:rPr>
        <w:t>E</w:t>
      </w:r>
      <w:r w:rsidRPr="00A85C5A">
        <w:rPr>
          <w:i/>
          <w:iCs/>
          <w:vertAlign w:val="subscript"/>
          <w:lang w:eastAsia="en-IN"/>
        </w:rPr>
        <w:t>P</w:t>
      </w:r>
      <w:r w:rsidRPr="00A85C5A">
        <w:rPr>
          <w:lang w:eastAsia="en-US"/>
        </w:rPr>
        <w:t>) for complexes (</w:t>
      </w:r>
      <w:r w:rsidRPr="00A85C5A">
        <w:rPr>
          <w:b/>
          <w:bCs/>
          <w:lang w:eastAsia="en-US"/>
        </w:rPr>
        <w:t>1-5</w:t>
      </w:r>
      <w:r w:rsidRPr="00A85C5A">
        <w:rPr>
          <w:lang w:eastAsia="en-US"/>
        </w:rPr>
        <w:t xml:space="preserve">) were observed in the range of 340 </w:t>
      </w:r>
      <w:r w:rsidRPr="00A85C5A">
        <w:rPr>
          <w:lang w:val="en-IN" w:eastAsia="en-US"/>
        </w:rPr>
        <w:t>–</w:t>
      </w:r>
      <w:r w:rsidRPr="00A85C5A">
        <w:rPr>
          <w:lang w:eastAsia="en-US"/>
        </w:rPr>
        <w:t xml:space="preserve"> 530 mV which was greater than the Nernstian value [</w:t>
      </w:r>
      <w:r w:rsidRPr="00A85C5A">
        <w:rPr>
          <w:lang w:eastAsia="en-IN"/>
        </w:rPr>
        <w:t>(</w:t>
      </w:r>
      <w:r w:rsidRPr="00A85C5A">
        <w:rPr>
          <w:i/>
          <w:iCs/>
          <w:lang w:eastAsia="en-IN"/>
        </w:rPr>
        <w:t>E</w:t>
      </w:r>
      <w:r w:rsidRPr="00A85C5A">
        <w:rPr>
          <w:i/>
          <w:iCs/>
          <w:vertAlign w:val="subscript"/>
          <w:lang w:eastAsia="en-IN"/>
        </w:rPr>
        <w:t>Pa</w:t>
      </w:r>
      <w:r w:rsidRPr="00A85C5A">
        <w:rPr>
          <w:i/>
          <w:iCs/>
          <w:lang w:val="en-IN" w:eastAsia="en-US"/>
        </w:rPr>
        <w:t>–</w:t>
      </w:r>
      <w:r w:rsidRPr="00A85C5A">
        <w:rPr>
          <w:i/>
          <w:iCs/>
          <w:lang w:eastAsia="en-IN"/>
        </w:rPr>
        <w:t>E</w:t>
      </w:r>
      <w:r w:rsidRPr="00A85C5A">
        <w:rPr>
          <w:i/>
          <w:iCs/>
          <w:vertAlign w:val="subscript"/>
          <w:lang w:eastAsia="en-IN"/>
        </w:rPr>
        <w:t>Pc</w:t>
      </w:r>
      <w:r w:rsidRPr="00A85C5A">
        <w:rPr>
          <w:lang w:eastAsia="en-IN"/>
        </w:rPr>
        <w:t>) (or) Δ</w:t>
      </w:r>
      <w:r w:rsidRPr="00A85C5A">
        <w:rPr>
          <w:i/>
          <w:iCs/>
          <w:lang w:eastAsia="en-IN"/>
        </w:rPr>
        <w:t>E</w:t>
      </w:r>
      <w:r w:rsidRPr="00A85C5A">
        <w:rPr>
          <w:i/>
          <w:iCs/>
          <w:vertAlign w:val="subscript"/>
          <w:lang w:eastAsia="en-IN"/>
        </w:rPr>
        <w:t>P</w:t>
      </w:r>
      <w:r w:rsidRPr="00A85C5A">
        <w:rPr>
          <w:lang w:eastAsia="en-IN"/>
        </w:rPr>
        <w:t xml:space="preserve"> = 2.303RT/nF = 59/n mV] </w:t>
      </w:r>
      <w:r w:rsidRPr="00A85C5A">
        <w:rPr>
          <w:lang w:eastAsia="en-US"/>
        </w:rPr>
        <w:t xml:space="preserve">for the M(II) / M(I) redox couple </w:t>
      </w:r>
      <w:r w:rsidRPr="00A85C5A">
        <w:rPr>
          <w:lang w:val="en-IN" w:eastAsia="en-US"/>
        </w:rPr>
        <w:t>revealing that this</w:t>
      </w:r>
      <w:r w:rsidRPr="00A85C5A">
        <w:rPr>
          <w:lang w:eastAsia="en-US"/>
        </w:rPr>
        <w:t xml:space="preserve"> process</w:t>
      </w:r>
      <w:r w:rsidRPr="00A85C5A">
        <w:rPr>
          <w:lang w:val="en-IN" w:eastAsia="en-US"/>
        </w:rPr>
        <w:t xml:space="preserve"> is the best quasi-reversible </w:t>
      </w:r>
      <w:r w:rsidRPr="00A85C5A">
        <w:rPr>
          <w:lang w:eastAsia="en-US"/>
        </w:rPr>
        <w:t>(</w:t>
      </w:r>
      <w:r w:rsidRPr="00A85C5A">
        <w:rPr>
          <w:lang w:val="rm-CH" w:eastAsia="rm-CH"/>
        </w:rPr>
        <w:t>Fig. S</w:t>
      </w:r>
      <w:r w:rsidR="00BC4A3F" w:rsidRPr="00A85C5A">
        <w:rPr>
          <w:lang w:val="rm-CH" w:eastAsia="rm-CH"/>
        </w:rPr>
        <w:t>7</w:t>
      </w:r>
      <w:r w:rsidRPr="00A85C5A">
        <w:rPr>
          <w:lang w:val="rm-CH" w:eastAsia="rm-CH"/>
        </w:rPr>
        <w:t>)</w:t>
      </w:r>
      <w:r w:rsidRPr="00A85C5A">
        <w:rPr>
          <w:lang w:val="en-IN" w:eastAsia="en-US"/>
        </w:rPr>
        <w:t xml:space="preserve">. </w:t>
      </w:r>
      <w:r w:rsidRPr="00A85C5A">
        <w:rPr>
          <w:lang w:eastAsia="en-US"/>
        </w:rPr>
        <w:t>If the peak current ratio is greater or less than unity (</w:t>
      </w:r>
      <w:r w:rsidRPr="00A85C5A">
        <w:rPr>
          <w:i/>
          <w:iCs/>
          <w:lang w:eastAsia="en-US"/>
        </w:rPr>
        <w:t>i</w:t>
      </w:r>
      <w:r w:rsidRPr="00A85C5A">
        <w:rPr>
          <w:i/>
          <w:iCs/>
          <w:vertAlign w:val="subscript"/>
          <w:lang w:eastAsia="en-US"/>
        </w:rPr>
        <w:t xml:space="preserve">pa </w:t>
      </w:r>
      <w:r w:rsidRPr="00A85C5A">
        <w:rPr>
          <w:i/>
          <w:iCs/>
          <w:lang w:eastAsia="en-US"/>
        </w:rPr>
        <w:t>/ i</w:t>
      </w:r>
      <w:r w:rsidRPr="00A85C5A">
        <w:rPr>
          <w:i/>
          <w:iCs/>
          <w:vertAlign w:val="subscript"/>
          <w:lang w:eastAsia="en-US"/>
        </w:rPr>
        <w:t>pc</w:t>
      </w:r>
      <w:r w:rsidRPr="00A85C5A">
        <w:rPr>
          <w:vertAlign w:val="subscript"/>
          <w:lang w:eastAsia="en-US"/>
        </w:rPr>
        <w:t xml:space="preserve"> </w:t>
      </w:r>
      <w:r w:rsidRPr="00A85C5A">
        <w:rPr>
          <w:lang w:eastAsia="en-US"/>
        </w:rPr>
        <w:t>&gt; or &lt; 1) which depicts quasi-reversible one electron transfer process (</w:t>
      </w:r>
      <w:r w:rsidRPr="00A85C5A">
        <w:rPr>
          <w:bCs/>
          <w:lang w:eastAsia="en-US"/>
        </w:rPr>
        <w:t>Shyamala</w:t>
      </w:r>
      <w:r w:rsidR="00783674" w:rsidRPr="00A85C5A">
        <w:rPr>
          <w:lang w:eastAsia="en-US"/>
        </w:rPr>
        <w:t xml:space="preserve"> </w:t>
      </w:r>
      <w:r w:rsidR="00783674" w:rsidRPr="00A85C5A">
        <w:rPr>
          <w:bCs/>
          <w:lang w:val="en-IN" w:eastAsia="en-US"/>
        </w:rPr>
        <w:t>&amp;</w:t>
      </w:r>
      <w:r w:rsidR="00783674" w:rsidRPr="00A85C5A">
        <w:rPr>
          <w:bCs/>
          <w:lang w:eastAsia="en-US"/>
        </w:rPr>
        <w:t xml:space="preserve"> Chakravarty,</w:t>
      </w:r>
      <w:r w:rsidRPr="00A85C5A">
        <w:rPr>
          <w:lang w:eastAsia="en-US"/>
        </w:rPr>
        <w:t xml:space="preserve">1993). The observed current </w:t>
      </w:r>
      <w:r w:rsidR="00B52233" w:rsidRPr="00A85C5A">
        <w:rPr>
          <w:lang w:eastAsia="en-US"/>
        </w:rPr>
        <w:t>ratio of cathodic to anodic peak height was</w:t>
      </w:r>
      <w:r w:rsidRPr="00A85C5A">
        <w:rPr>
          <w:lang w:eastAsia="en-US"/>
        </w:rPr>
        <w:t xml:space="preserve"> in the range from 0.11 </w:t>
      </w:r>
      <w:r w:rsidRPr="00A85C5A">
        <w:rPr>
          <w:lang w:val="en-IN" w:eastAsia="en-US"/>
        </w:rPr>
        <w:t xml:space="preserve">µA to 0.50 µA and </w:t>
      </w:r>
      <w:r w:rsidRPr="00A85C5A">
        <w:rPr>
          <w:lang w:eastAsia="en-US"/>
        </w:rPr>
        <w:t>less than unity. The observed values of formal electrode potential (</w:t>
      </w:r>
      <w:r w:rsidRPr="00A85C5A">
        <w:rPr>
          <w:i/>
          <w:iCs/>
          <w:lang w:eastAsia="en-US"/>
        </w:rPr>
        <w:t>E</w:t>
      </w:r>
      <w:r w:rsidR="00127E18" w:rsidRPr="00A85C5A">
        <w:rPr>
          <w:rFonts w:ascii="Segoe UI Symbol" w:hAnsi="Segoe UI Symbol"/>
          <w:i/>
          <w:iCs/>
          <w:lang w:val="en-IN" w:eastAsia="en-US"/>
        </w:rPr>
        <w:t>°</w:t>
      </w:r>
      <w:r w:rsidRPr="00A85C5A">
        <w:rPr>
          <w:i/>
          <w:iCs/>
          <w:lang w:val="en-IN" w:eastAsia="en-US"/>
        </w:rPr>
        <w:t xml:space="preserve"> or </w:t>
      </w:r>
      <w:r w:rsidRPr="00A85C5A">
        <w:rPr>
          <w:i/>
          <w:iCs/>
          <w:lang w:val="en-IN" w:eastAsia="en-IN"/>
        </w:rPr>
        <w:t>E</w:t>
      </w:r>
      <w:r w:rsidRPr="00A85C5A">
        <w:rPr>
          <w:i/>
          <w:iCs/>
          <w:vertAlign w:val="subscript"/>
          <w:lang w:val="en-IN" w:eastAsia="en-IN"/>
        </w:rPr>
        <w:t>1/2</w:t>
      </w:r>
      <w:r w:rsidRPr="00A85C5A">
        <w:rPr>
          <w:lang w:eastAsia="en-US"/>
        </w:rPr>
        <w:t>) were in the range from -</w:t>
      </w:r>
      <w:r w:rsidRPr="00A85C5A">
        <w:rPr>
          <w:lang w:eastAsia="en-IN"/>
        </w:rPr>
        <w:t xml:space="preserve">0.56 to </w:t>
      </w:r>
      <w:r w:rsidRPr="00A85C5A">
        <w:rPr>
          <w:lang w:eastAsia="en-US"/>
        </w:rPr>
        <w:t>-0</w:t>
      </w:r>
      <w:r w:rsidRPr="00A85C5A">
        <w:rPr>
          <w:lang w:eastAsia="en-IN"/>
        </w:rPr>
        <w:t xml:space="preserve">.88 </w:t>
      </w:r>
      <w:r w:rsidRPr="00A85C5A">
        <w:rPr>
          <w:lang w:eastAsia="en-US"/>
        </w:rPr>
        <w:t xml:space="preserve">V which indicate that each couple corresponds to one electron transfer process. The observed results are summarized in Table </w:t>
      </w:r>
      <w:r w:rsidR="00BC4A3F" w:rsidRPr="00A85C5A">
        <w:rPr>
          <w:lang w:eastAsia="en-US"/>
        </w:rPr>
        <w:t>S2</w:t>
      </w:r>
      <w:r w:rsidRPr="00A85C5A">
        <w:rPr>
          <w:lang w:eastAsia="en-US"/>
        </w:rPr>
        <w:t>.</w:t>
      </w:r>
      <w:r w:rsidRPr="00A85C5A">
        <w:rPr>
          <w:rFonts w:eastAsia="MS Mincho"/>
          <w:b/>
          <w:i/>
          <w:iCs/>
          <w:kern w:val="24"/>
          <w:lang w:eastAsia="en-US"/>
        </w:rPr>
        <w:t xml:space="preserve"> </w:t>
      </w:r>
    </w:p>
    <w:p w:rsidR="00196C35" w:rsidRPr="00A85C5A" w:rsidRDefault="00196C35" w:rsidP="00196C35">
      <w:pPr>
        <w:overflowPunct w:val="0"/>
        <w:autoSpaceDE w:val="0"/>
        <w:autoSpaceDN w:val="0"/>
        <w:adjustRightInd w:val="0"/>
        <w:spacing w:line="240" w:lineRule="auto"/>
        <w:contextualSpacing/>
        <w:jc w:val="both"/>
        <w:textAlignment w:val="baseline"/>
        <w:rPr>
          <w:lang w:val="en-IN" w:eastAsia="en-US" w:bidi="ta-IN"/>
        </w:rPr>
      </w:pPr>
    </w:p>
    <w:tbl>
      <w:tblPr>
        <w:tblStyle w:val="TableGrid25"/>
        <w:tblW w:w="800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92"/>
        <w:gridCol w:w="1694"/>
        <w:gridCol w:w="929"/>
        <w:gridCol w:w="940"/>
        <w:gridCol w:w="920"/>
        <w:gridCol w:w="955"/>
        <w:gridCol w:w="1073"/>
      </w:tblGrid>
      <w:tr w:rsidR="00196C35" w:rsidRPr="00A85C5A" w:rsidTr="00AA7761">
        <w:trPr>
          <w:trHeight w:val="176"/>
          <w:jc w:val="center"/>
        </w:trPr>
        <w:tc>
          <w:tcPr>
            <w:tcW w:w="8003" w:type="dxa"/>
            <w:gridSpan w:val="7"/>
            <w:tcBorders>
              <w:top w:val="nil"/>
              <w:bottom w:val="single" w:sz="12" w:space="0" w:color="auto"/>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b/>
                <w:bCs/>
                <w:sz w:val="24"/>
                <w:szCs w:val="24"/>
              </w:rPr>
            </w:pPr>
            <w:r w:rsidRPr="00A85C5A">
              <w:rPr>
                <w:rFonts w:ascii="Times New Roman" w:hAnsi="Times New Roman" w:cs="Times New Roman"/>
                <w:b/>
                <w:bCs/>
                <w:sz w:val="24"/>
                <w:szCs w:val="24"/>
              </w:rPr>
              <w:t xml:space="preserve"> </w:t>
            </w:r>
            <w:r w:rsidRPr="00A85C5A">
              <w:rPr>
                <w:rFonts w:ascii="Times New Roman" w:hAnsi="Times New Roman" w:cs="Times New Roman"/>
                <w:b/>
                <w:sz w:val="24"/>
                <w:szCs w:val="24"/>
              </w:rPr>
              <w:t xml:space="preserve">Table </w:t>
            </w:r>
            <w:r w:rsidRPr="00A85C5A">
              <w:rPr>
                <w:rFonts w:ascii="Times New Roman" w:hAnsi="Times New Roman"/>
                <w:b/>
                <w:sz w:val="24"/>
                <w:szCs w:val="24"/>
              </w:rPr>
              <w:t>S2</w:t>
            </w:r>
            <w:r w:rsidRPr="00A85C5A">
              <w:rPr>
                <w:rFonts w:ascii="Times New Roman" w:hAnsi="Times New Roman" w:cs="Times New Roman"/>
                <w:b/>
                <w:bCs/>
                <w:sz w:val="24"/>
                <w:szCs w:val="24"/>
              </w:rPr>
              <w:t xml:space="preserve"> </w:t>
            </w:r>
            <w:r w:rsidRPr="00A85C5A">
              <w:rPr>
                <w:rFonts w:ascii="Times New Roman" w:hAnsi="Times New Roman" w:cs="Times New Roman"/>
                <w:sz w:val="24"/>
                <w:szCs w:val="24"/>
              </w:rPr>
              <w:t>Electrochemical data of complexes (</w:t>
            </w:r>
            <w:r w:rsidRPr="00A85C5A">
              <w:rPr>
                <w:rFonts w:ascii="Times New Roman" w:hAnsi="Times New Roman" w:cs="Times New Roman"/>
                <w:b/>
                <w:bCs/>
                <w:sz w:val="24"/>
                <w:szCs w:val="24"/>
              </w:rPr>
              <w:t>1-5</w:t>
            </w:r>
            <w:r w:rsidRPr="00A85C5A">
              <w:rPr>
                <w:rFonts w:ascii="Times New Roman" w:hAnsi="Times New Roman" w:cs="Times New Roman"/>
                <w:sz w:val="24"/>
                <w:szCs w:val="24"/>
              </w:rPr>
              <w:t>) in methanol medium</w:t>
            </w:r>
          </w:p>
        </w:tc>
      </w:tr>
      <w:tr w:rsidR="00196C35" w:rsidRPr="00A85C5A" w:rsidTr="00AA7761">
        <w:trPr>
          <w:trHeight w:val="351"/>
          <w:jc w:val="center"/>
        </w:trPr>
        <w:tc>
          <w:tcPr>
            <w:tcW w:w="1492" w:type="dxa"/>
            <w:tcBorders>
              <w:top w:val="single" w:sz="12" w:space="0" w:color="auto"/>
              <w:bottom w:val="single" w:sz="12" w:space="0" w:color="auto"/>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b/>
                <w:sz w:val="24"/>
                <w:szCs w:val="24"/>
                <w:lang w:eastAsia="en-IN"/>
              </w:rPr>
            </w:pPr>
            <w:r w:rsidRPr="00A85C5A">
              <w:rPr>
                <w:rFonts w:ascii="Times New Roman" w:hAnsi="Times New Roman" w:cs="Times New Roman"/>
                <w:b/>
                <w:sz w:val="24"/>
                <w:szCs w:val="24"/>
                <w:lang w:eastAsia="en-IN"/>
              </w:rPr>
              <w:t>Complexes</w:t>
            </w:r>
          </w:p>
        </w:tc>
        <w:tc>
          <w:tcPr>
            <w:tcW w:w="1694" w:type="dxa"/>
            <w:tcBorders>
              <w:top w:val="single" w:sz="12" w:space="0" w:color="auto"/>
              <w:bottom w:val="single" w:sz="12" w:space="0" w:color="auto"/>
            </w:tcBorders>
          </w:tcPr>
          <w:p w:rsidR="00196C35" w:rsidRPr="00A85C5A" w:rsidRDefault="00196C35" w:rsidP="00AA7761">
            <w:pPr>
              <w:tabs>
                <w:tab w:val="left" w:pos="6675"/>
              </w:tabs>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85C5A">
              <w:rPr>
                <w:rFonts w:ascii="Times New Roman" w:hAnsi="Times New Roman" w:cs="Times New Roman"/>
                <w:b/>
                <w:sz w:val="24"/>
                <w:szCs w:val="24"/>
              </w:rPr>
              <w:t>Couple</w:t>
            </w:r>
          </w:p>
        </w:tc>
        <w:tc>
          <w:tcPr>
            <w:tcW w:w="929" w:type="dxa"/>
            <w:tcBorders>
              <w:top w:val="single" w:sz="12" w:space="0" w:color="auto"/>
              <w:bottom w:val="single" w:sz="12" w:space="0" w:color="auto"/>
            </w:tcBorders>
          </w:tcPr>
          <w:p w:rsidR="00196C35" w:rsidRPr="00A85C5A" w:rsidRDefault="00196C35" w:rsidP="00AA7761">
            <w:pPr>
              <w:tabs>
                <w:tab w:val="left" w:pos="6675"/>
              </w:tabs>
              <w:overflowPunct w:val="0"/>
              <w:autoSpaceDE w:val="0"/>
              <w:autoSpaceDN w:val="0"/>
              <w:adjustRightInd w:val="0"/>
              <w:spacing w:line="240" w:lineRule="auto"/>
              <w:jc w:val="center"/>
              <w:textAlignment w:val="baseline"/>
              <w:rPr>
                <w:rFonts w:ascii="Times New Roman" w:hAnsi="Times New Roman" w:cs="Times New Roman"/>
                <w:b/>
                <w:i/>
                <w:iCs/>
                <w:sz w:val="24"/>
                <w:szCs w:val="24"/>
                <w:vertAlign w:val="subscript"/>
              </w:rPr>
            </w:pPr>
            <w:r w:rsidRPr="00A85C5A">
              <w:rPr>
                <w:rFonts w:ascii="Times New Roman" w:hAnsi="Times New Roman" w:cs="Times New Roman"/>
                <w:b/>
                <w:i/>
                <w:iCs/>
                <w:sz w:val="24"/>
                <w:szCs w:val="24"/>
              </w:rPr>
              <w:t>E</w:t>
            </w:r>
            <w:r w:rsidRPr="00A85C5A">
              <w:rPr>
                <w:rFonts w:ascii="Times New Roman" w:hAnsi="Times New Roman" w:cs="Times New Roman"/>
                <w:b/>
                <w:i/>
                <w:iCs/>
                <w:sz w:val="24"/>
                <w:szCs w:val="24"/>
                <w:vertAlign w:val="subscript"/>
              </w:rPr>
              <w:t>pa</w:t>
            </w:r>
          </w:p>
          <w:p w:rsidR="00196C35" w:rsidRPr="00A85C5A" w:rsidRDefault="00196C35" w:rsidP="00AA7761">
            <w:pPr>
              <w:tabs>
                <w:tab w:val="left" w:pos="6675"/>
              </w:tabs>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85C5A">
              <w:rPr>
                <w:rFonts w:ascii="Times New Roman" w:hAnsi="Times New Roman" w:cs="Times New Roman"/>
                <w:b/>
                <w:sz w:val="24"/>
                <w:szCs w:val="24"/>
              </w:rPr>
              <w:t>(V)</w:t>
            </w:r>
          </w:p>
        </w:tc>
        <w:tc>
          <w:tcPr>
            <w:tcW w:w="940" w:type="dxa"/>
            <w:tcBorders>
              <w:top w:val="single" w:sz="12" w:space="0" w:color="auto"/>
              <w:bottom w:val="single" w:sz="12" w:space="0" w:color="auto"/>
            </w:tcBorders>
          </w:tcPr>
          <w:p w:rsidR="00196C35" w:rsidRPr="00A85C5A" w:rsidRDefault="00196C35" w:rsidP="00AA7761">
            <w:pPr>
              <w:tabs>
                <w:tab w:val="left" w:pos="6675"/>
              </w:tabs>
              <w:overflowPunct w:val="0"/>
              <w:autoSpaceDE w:val="0"/>
              <w:autoSpaceDN w:val="0"/>
              <w:adjustRightInd w:val="0"/>
              <w:spacing w:line="240" w:lineRule="auto"/>
              <w:jc w:val="center"/>
              <w:textAlignment w:val="baseline"/>
              <w:rPr>
                <w:rFonts w:ascii="Times New Roman" w:hAnsi="Times New Roman" w:cs="Times New Roman"/>
                <w:b/>
                <w:i/>
                <w:iCs/>
                <w:sz w:val="24"/>
                <w:szCs w:val="24"/>
                <w:vertAlign w:val="subscript"/>
              </w:rPr>
            </w:pPr>
            <w:r w:rsidRPr="00A85C5A">
              <w:rPr>
                <w:rFonts w:ascii="Times New Roman" w:hAnsi="Times New Roman" w:cs="Times New Roman"/>
                <w:b/>
                <w:i/>
                <w:iCs/>
                <w:sz w:val="24"/>
                <w:szCs w:val="24"/>
              </w:rPr>
              <w:t>E</w:t>
            </w:r>
            <w:r w:rsidRPr="00A85C5A">
              <w:rPr>
                <w:rFonts w:ascii="Times New Roman" w:hAnsi="Times New Roman" w:cs="Times New Roman"/>
                <w:b/>
                <w:i/>
                <w:iCs/>
                <w:sz w:val="24"/>
                <w:szCs w:val="24"/>
                <w:vertAlign w:val="subscript"/>
              </w:rPr>
              <w:t>pc</w:t>
            </w:r>
          </w:p>
          <w:p w:rsidR="00196C35" w:rsidRPr="00A85C5A" w:rsidRDefault="00196C35" w:rsidP="00AA7761">
            <w:pPr>
              <w:tabs>
                <w:tab w:val="left" w:pos="6675"/>
              </w:tabs>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85C5A">
              <w:rPr>
                <w:rFonts w:ascii="Times New Roman" w:hAnsi="Times New Roman" w:cs="Times New Roman"/>
                <w:b/>
                <w:sz w:val="24"/>
                <w:szCs w:val="24"/>
              </w:rPr>
              <w:t>(V)</w:t>
            </w:r>
          </w:p>
        </w:tc>
        <w:tc>
          <w:tcPr>
            <w:tcW w:w="920" w:type="dxa"/>
            <w:tcBorders>
              <w:top w:val="single" w:sz="12" w:space="0" w:color="auto"/>
              <w:bottom w:val="single" w:sz="12" w:space="0" w:color="auto"/>
            </w:tcBorders>
          </w:tcPr>
          <w:p w:rsidR="00196C35" w:rsidRPr="00A85C5A" w:rsidRDefault="00196C35" w:rsidP="00AA7761">
            <w:pPr>
              <w:tabs>
                <w:tab w:val="left" w:pos="6675"/>
              </w:tabs>
              <w:overflowPunct w:val="0"/>
              <w:autoSpaceDE w:val="0"/>
              <w:autoSpaceDN w:val="0"/>
              <w:adjustRightInd w:val="0"/>
              <w:spacing w:line="240" w:lineRule="auto"/>
              <w:jc w:val="center"/>
              <w:textAlignment w:val="baseline"/>
              <w:rPr>
                <w:rFonts w:ascii="Times New Roman" w:hAnsi="Times New Roman" w:cs="Times New Roman"/>
                <w:b/>
                <w:sz w:val="24"/>
                <w:szCs w:val="24"/>
                <w:vertAlign w:val="subscript"/>
                <w:lang w:eastAsia="en-IN"/>
              </w:rPr>
            </w:pPr>
            <w:r w:rsidRPr="00A85C5A">
              <w:rPr>
                <w:rFonts w:ascii="Times New Roman" w:hAnsi="Times New Roman" w:cs="Times New Roman"/>
                <w:b/>
                <w:sz w:val="24"/>
                <w:szCs w:val="24"/>
                <w:lang w:eastAsia="en-IN"/>
              </w:rPr>
              <w:t>Δ</w:t>
            </w:r>
            <w:r w:rsidRPr="00A85C5A">
              <w:rPr>
                <w:rFonts w:ascii="Times New Roman" w:hAnsi="Times New Roman" w:cs="Times New Roman"/>
                <w:b/>
                <w:i/>
                <w:iCs/>
                <w:sz w:val="24"/>
                <w:szCs w:val="24"/>
                <w:lang w:eastAsia="en-IN"/>
              </w:rPr>
              <w:t>E</w:t>
            </w:r>
            <w:r w:rsidRPr="00A85C5A">
              <w:rPr>
                <w:rFonts w:ascii="Times New Roman" w:hAnsi="Times New Roman" w:cs="Times New Roman"/>
                <w:b/>
                <w:i/>
                <w:iCs/>
                <w:sz w:val="24"/>
                <w:szCs w:val="24"/>
                <w:vertAlign w:val="subscript"/>
                <w:lang w:eastAsia="en-IN"/>
              </w:rPr>
              <w:t>P</w:t>
            </w:r>
            <w:r w:rsidRPr="00A85C5A">
              <w:rPr>
                <w:rFonts w:ascii="Times New Roman" w:hAnsi="Times New Roman" w:cs="Times New Roman"/>
                <w:b/>
                <w:sz w:val="24"/>
                <w:szCs w:val="24"/>
                <w:vertAlign w:val="subscript"/>
                <w:lang w:eastAsia="en-IN"/>
              </w:rPr>
              <w:t xml:space="preserve">    </w:t>
            </w:r>
            <w:r w:rsidRPr="00A85C5A">
              <w:rPr>
                <w:rFonts w:ascii="Times New Roman" w:hAnsi="Times New Roman" w:cs="Times New Roman"/>
                <w:b/>
                <w:sz w:val="24"/>
                <w:szCs w:val="24"/>
              </w:rPr>
              <w:t>(</w:t>
            </w:r>
            <w:r w:rsidRPr="00A85C5A">
              <w:rPr>
                <w:rFonts w:ascii="Times New Roman" w:hAnsi="Times New Roman" w:cs="Times New Roman"/>
                <w:b/>
                <w:sz w:val="24"/>
                <w:szCs w:val="24"/>
                <w:lang w:eastAsia="en-IN"/>
              </w:rPr>
              <w:t>mV)</w:t>
            </w:r>
          </w:p>
        </w:tc>
        <w:tc>
          <w:tcPr>
            <w:tcW w:w="955" w:type="dxa"/>
            <w:tcBorders>
              <w:top w:val="single" w:sz="12" w:space="0" w:color="auto"/>
              <w:bottom w:val="single" w:sz="12" w:space="0" w:color="auto"/>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b/>
                <w:i/>
                <w:iCs/>
                <w:sz w:val="24"/>
                <w:szCs w:val="24"/>
                <w:lang w:val="en-GB"/>
              </w:rPr>
            </w:pPr>
            <w:r w:rsidRPr="00A85C5A">
              <w:rPr>
                <w:rFonts w:ascii="Times New Roman" w:hAnsi="Times New Roman" w:cs="Times New Roman"/>
                <w:b/>
                <w:i/>
                <w:iCs/>
                <w:sz w:val="24"/>
                <w:szCs w:val="24"/>
                <w:lang w:val="en-GB"/>
              </w:rPr>
              <w:t>E</w:t>
            </w:r>
            <w:r w:rsidRPr="00A85C5A">
              <w:rPr>
                <w:rFonts w:ascii="Segoe UI Symbol" w:hAnsi="Segoe UI Symbol"/>
                <w:i/>
                <w:iCs/>
              </w:rPr>
              <w:t>°</w:t>
            </w:r>
          </w:p>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A85C5A">
              <w:rPr>
                <w:rFonts w:ascii="Times New Roman" w:hAnsi="Times New Roman" w:cs="Times New Roman"/>
                <w:b/>
                <w:sz w:val="24"/>
                <w:szCs w:val="24"/>
              </w:rPr>
              <w:t>(V)</w:t>
            </w:r>
          </w:p>
        </w:tc>
        <w:tc>
          <w:tcPr>
            <w:tcW w:w="1073" w:type="dxa"/>
            <w:tcBorders>
              <w:top w:val="single" w:sz="12" w:space="0" w:color="auto"/>
              <w:bottom w:val="single" w:sz="12" w:space="0" w:color="auto"/>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b/>
                <w:sz w:val="24"/>
                <w:szCs w:val="24"/>
                <w:lang w:eastAsia="en-IN"/>
              </w:rPr>
            </w:pPr>
            <w:r w:rsidRPr="00A85C5A">
              <w:rPr>
                <w:rFonts w:ascii="Times New Roman" w:hAnsi="Times New Roman" w:cs="Times New Roman"/>
                <w:b/>
                <w:i/>
                <w:iCs/>
                <w:sz w:val="24"/>
                <w:szCs w:val="24"/>
                <w:lang w:eastAsia="en-IN"/>
              </w:rPr>
              <w:t>i</w:t>
            </w:r>
            <w:r w:rsidRPr="00A85C5A">
              <w:rPr>
                <w:rFonts w:ascii="Times New Roman" w:hAnsi="Times New Roman" w:cs="Times New Roman"/>
                <w:b/>
                <w:i/>
                <w:iCs/>
                <w:sz w:val="24"/>
                <w:szCs w:val="24"/>
                <w:vertAlign w:val="subscript"/>
                <w:lang w:eastAsia="en-IN"/>
              </w:rPr>
              <w:t xml:space="preserve">pa </w:t>
            </w:r>
            <w:r w:rsidRPr="00A85C5A">
              <w:rPr>
                <w:rFonts w:ascii="Times New Roman" w:hAnsi="Times New Roman" w:cs="Times New Roman"/>
                <w:b/>
                <w:i/>
                <w:iCs/>
                <w:sz w:val="24"/>
                <w:szCs w:val="24"/>
                <w:lang w:eastAsia="en-IN"/>
              </w:rPr>
              <w:t>/i</w:t>
            </w:r>
            <w:r w:rsidRPr="00A85C5A">
              <w:rPr>
                <w:rFonts w:ascii="Times New Roman" w:hAnsi="Times New Roman" w:cs="Times New Roman"/>
                <w:b/>
                <w:i/>
                <w:iCs/>
                <w:sz w:val="24"/>
                <w:szCs w:val="24"/>
                <w:vertAlign w:val="subscript"/>
                <w:lang w:eastAsia="en-IN"/>
              </w:rPr>
              <w:t>pc</w:t>
            </w:r>
            <w:r w:rsidRPr="00A85C5A">
              <w:rPr>
                <w:rFonts w:ascii="Times New Roman" w:hAnsi="Times New Roman" w:cs="Times New Roman"/>
                <w:b/>
                <w:sz w:val="24"/>
                <w:szCs w:val="24"/>
                <w:vertAlign w:val="subscript"/>
                <w:lang w:eastAsia="en-IN"/>
              </w:rPr>
              <w:t xml:space="preserve"> </w:t>
            </w:r>
            <w:r w:rsidRPr="00A85C5A">
              <w:rPr>
                <w:rFonts w:ascii="Times New Roman" w:hAnsi="Times New Roman" w:cs="Times New Roman"/>
                <w:b/>
                <w:sz w:val="24"/>
                <w:szCs w:val="24"/>
                <w:lang w:eastAsia="en-IN"/>
              </w:rPr>
              <w:t>µA</w:t>
            </w:r>
          </w:p>
        </w:tc>
      </w:tr>
      <w:tr w:rsidR="00196C35" w:rsidRPr="00A85C5A" w:rsidTr="00AA7761">
        <w:trPr>
          <w:trHeight w:val="227"/>
          <w:jc w:val="center"/>
        </w:trPr>
        <w:tc>
          <w:tcPr>
            <w:tcW w:w="1492" w:type="dxa"/>
            <w:tcBorders>
              <w:top w:val="single" w:sz="12" w:space="0" w:color="auto"/>
              <w:bottom w:val="nil"/>
            </w:tcBorders>
            <w:vAlign w:val="center"/>
          </w:tcPr>
          <w:p w:rsidR="00196C35" w:rsidRPr="00A85C5A" w:rsidRDefault="00196C35" w:rsidP="00AA7761">
            <w:pPr>
              <w:kinsoku w:val="0"/>
              <w:overflowPunct w:val="0"/>
              <w:autoSpaceDE w:val="0"/>
              <w:autoSpaceDN w:val="0"/>
              <w:adjustRightInd w:val="0"/>
              <w:spacing w:line="240" w:lineRule="auto"/>
              <w:jc w:val="center"/>
              <w:textAlignment w:val="baseline"/>
              <w:rPr>
                <w:rFonts w:ascii="Times New Roman" w:hAnsi="Times New Roman" w:cs="Times New Roman"/>
                <w:kern w:val="24"/>
                <w:sz w:val="24"/>
                <w:szCs w:val="24"/>
              </w:rPr>
            </w:pPr>
            <w:r w:rsidRPr="00A85C5A">
              <w:rPr>
                <w:rFonts w:ascii="Times New Roman" w:hAnsi="Times New Roman" w:cs="Times New Roman"/>
                <w:kern w:val="24"/>
                <w:sz w:val="24"/>
                <w:szCs w:val="24"/>
              </w:rPr>
              <w:t>(</w:t>
            </w:r>
            <w:r w:rsidRPr="00A85C5A">
              <w:rPr>
                <w:rFonts w:ascii="Times New Roman" w:hAnsi="Times New Roman" w:cs="Times New Roman"/>
                <w:b/>
                <w:bCs/>
                <w:kern w:val="24"/>
                <w:sz w:val="24"/>
                <w:szCs w:val="24"/>
              </w:rPr>
              <w:t>1</w:t>
            </w:r>
            <w:r w:rsidRPr="00A85C5A">
              <w:rPr>
                <w:rFonts w:ascii="Times New Roman" w:hAnsi="Times New Roman" w:cs="Times New Roman"/>
                <w:kern w:val="24"/>
                <w:sz w:val="24"/>
                <w:szCs w:val="24"/>
              </w:rPr>
              <w:t>)</w:t>
            </w:r>
          </w:p>
        </w:tc>
        <w:tc>
          <w:tcPr>
            <w:tcW w:w="1694" w:type="dxa"/>
            <w:tcBorders>
              <w:top w:val="single" w:sz="12" w:space="0" w:color="auto"/>
              <w:bottom w:val="nil"/>
            </w:tcBorders>
            <w:vAlign w:val="center"/>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Cu(II) / Cu(I)</w:t>
            </w:r>
          </w:p>
        </w:tc>
        <w:tc>
          <w:tcPr>
            <w:tcW w:w="929" w:type="dxa"/>
            <w:tcBorders>
              <w:top w:val="single" w:sz="12" w:space="0" w:color="auto"/>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-0.43</w:t>
            </w:r>
          </w:p>
        </w:tc>
        <w:tc>
          <w:tcPr>
            <w:tcW w:w="940" w:type="dxa"/>
            <w:tcBorders>
              <w:top w:val="single" w:sz="12" w:space="0" w:color="auto"/>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-0.79</w:t>
            </w:r>
          </w:p>
        </w:tc>
        <w:tc>
          <w:tcPr>
            <w:tcW w:w="920" w:type="dxa"/>
            <w:tcBorders>
              <w:top w:val="single" w:sz="12" w:space="0" w:color="auto"/>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360</w:t>
            </w:r>
          </w:p>
        </w:tc>
        <w:tc>
          <w:tcPr>
            <w:tcW w:w="955" w:type="dxa"/>
            <w:tcBorders>
              <w:top w:val="single" w:sz="12" w:space="0" w:color="auto"/>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-0.61</w:t>
            </w:r>
          </w:p>
        </w:tc>
        <w:tc>
          <w:tcPr>
            <w:tcW w:w="1073" w:type="dxa"/>
            <w:tcBorders>
              <w:top w:val="single" w:sz="12" w:space="0" w:color="auto"/>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0.11</w:t>
            </w:r>
          </w:p>
        </w:tc>
      </w:tr>
      <w:tr w:rsidR="00196C35" w:rsidRPr="00A85C5A" w:rsidTr="00AA7761">
        <w:trPr>
          <w:trHeight w:val="133"/>
          <w:jc w:val="center"/>
        </w:trPr>
        <w:tc>
          <w:tcPr>
            <w:tcW w:w="1492" w:type="dxa"/>
            <w:tcBorders>
              <w:top w:val="nil"/>
              <w:bottom w:val="nil"/>
            </w:tcBorders>
            <w:vAlign w:val="center"/>
          </w:tcPr>
          <w:p w:rsidR="00196C35" w:rsidRPr="00A85C5A" w:rsidRDefault="00196C35" w:rsidP="00AA7761">
            <w:pPr>
              <w:kinsoku w:val="0"/>
              <w:overflowPunct w:val="0"/>
              <w:autoSpaceDE w:val="0"/>
              <w:autoSpaceDN w:val="0"/>
              <w:adjustRightInd w:val="0"/>
              <w:spacing w:line="240" w:lineRule="auto"/>
              <w:jc w:val="center"/>
              <w:textAlignment w:val="baseline"/>
              <w:rPr>
                <w:rFonts w:ascii="Times New Roman" w:hAnsi="Times New Roman" w:cs="Times New Roman"/>
                <w:kern w:val="24"/>
                <w:sz w:val="24"/>
                <w:szCs w:val="24"/>
              </w:rPr>
            </w:pPr>
            <w:r w:rsidRPr="00A85C5A">
              <w:rPr>
                <w:rFonts w:ascii="Times New Roman" w:hAnsi="Times New Roman" w:cs="Times New Roman"/>
                <w:kern w:val="24"/>
                <w:sz w:val="24"/>
                <w:szCs w:val="24"/>
              </w:rPr>
              <w:t>(</w:t>
            </w:r>
            <w:r w:rsidRPr="00A85C5A">
              <w:rPr>
                <w:rFonts w:ascii="Times New Roman" w:hAnsi="Times New Roman" w:cs="Times New Roman"/>
                <w:b/>
                <w:bCs/>
                <w:kern w:val="24"/>
                <w:sz w:val="24"/>
                <w:szCs w:val="24"/>
              </w:rPr>
              <w:t>2</w:t>
            </w:r>
            <w:r w:rsidRPr="00A85C5A">
              <w:rPr>
                <w:rFonts w:ascii="Times New Roman" w:hAnsi="Times New Roman" w:cs="Times New Roman"/>
                <w:kern w:val="24"/>
                <w:sz w:val="24"/>
                <w:szCs w:val="24"/>
              </w:rPr>
              <w:t>)</w:t>
            </w:r>
          </w:p>
        </w:tc>
        <w:tc>
          <w:tcPr>
            <w:tcW w:w="1694" w:type="dxa"/>
            <w:tcBorders>
              <w:top w:val="nil"/>
              <w:bottom w:val="nil"/>
            </w:tcBorders>
            <w:vAlign w:val="center"/>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Co(II) / Co(I)</w:t>
            </w:r>
          </w:p>
        </w:tc>
        <w:tc>
          <w:tcPr>
            <w:tcW w:w="929"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-0.39</w:t>
            </w:r>
          </w:p>
        </w:tc>
        <w:tc>
          <w:tcPr>
            <w:tcW w:w="940"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-0.73</w:t>
            </w:r>
          </w:p>
        </w:tc>
        <w:tc>
          <w:tcPr>
            <w:tcW w:w="920"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340</w:t>
            </w:r>
          </w:p>
        </w:tc>
        <w:tc>
          <w:tcPr>
            <w:tcW w:w="955"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-0.56</w:t>
            </w:r>
          </w:p>
        </w:tc>
        <w:tc>
          <w:tcPr>
            <w:tcW w:w="1073"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0.41</w:t>
            </w:r>
          </w:p>
        </w:tc>
      </w:tr>
      <w:tr w:rsidR="00196C35" w:rsidRPr="00A85C5A" w:rsidTr="00AA7761">
        <w:trPr>
          <w:trHeight w:val="207"/>
          <w:jc w:val="center"/>
        </w:trPr>
        <w:tc>
          <w:tcPr>
            <w:tcW w:w="1492" w:type="dxa"/>
            <w:tcBorders>
              <w:top w:val="nil"/>
              <w:bottom w:val="nil"/>
            </w:tcBorders>
            <w:vAlign w:val="center"/>
          </w:tcPr>
          <w:p w:rsidR="00196C35" w:rsidRPr="00A85C5A" w:rsidRDefault="00196C35" w:rsidP="00AA7761">
            <w:pPr>
              <w:overflowPunct w:val="0"/>
              <w:autoSpaceDE w:val="0"/>
              <w:autoSpaceDN w:val="0"/>
              <w:bidi/>
              <w:adjustRightInd w:val="0"/>
              <w:spacing w:line="240" w:lineRule="auto"/>
              <w:jc w:val="center"/>
              <w:textAlignment w:val="baseline"/>
              <w:rPr>
                <w:rFonts w:ascii="Times New Roman" w:hAnsi="Times New Roman" w:cs="Times New Roman"/>
                <w:kern w:val="24"/>
                <w:sz w:val="24"/>
                <w:szCs w:val="24"/>
              </w:rPr>
            </w:pPr>
            <w:r w:rsidRPr="00A85C5A">
              <w:rPr>
                <w:rFonts w:ascii="Times New Roman" w:hAnsi="Times New Roman" w:cs="Times New Roman"/>
                <w:kern w:val="24"/>
                <w:sz w:val="24"/>
                <w:szCs w:val="24"/>
              </w:rPr>
              <w:t>(</w:t>
            </w:r>
            <w:r w:rsidRPr="00A85C5A">
              <w:rPr>
                <w:rFonts w:ascii="Times New Roman" w:hAnsi="Times New Roman" w:cs="Times New Roman"/>
                <w:b/>
                <w:bCs/>
                <w:kern w:val="24"/>
                <w:sz w:val="24"/>
                <w:szCs w:val="24"/>
              </w:rPr>
              <w:t>3</w:t>
            </w:r>
            <w:r w:rsidRPr="00A85C5A">
              <w:rPr>
                <w:rFonts w:ascii="Times New Roman" w:hAnsi="Times New Roman" w:cs="Times New Roman"/>
                <w:kern w:val="24"/>
                <w:sz w:val="24"/>
                <w:szCs w:val="24"/>
              </w:rPr>
              <w:t>)</w:t>
            </w:r>
          </w:p>
        </w:tc>
        <w:tc>
          <w:tcPr>
            <w:tcW w:w="1694" w:type="dxa"/>
            <w:tcBorders>
              <w:top w:val="nil"/>
              <w:bottom w:val="nil"/>
            </w:tcBorders>
            <w:vAlign w:val="center"/>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Mn(II) / Mn(I)</w:t>
            </w:r>
          </w:p>
        </w:tc>
        <w:tc>
          <w:tcPr>
            <w:tcW w:w="929"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-0.42</w:t>
            </w:r>
          </w:p>
        </w:tc>
        <w:tc>
          <w:tcPr>
            <w:tcW w:w="940"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-0.86</w:t>
            </w:r>
          </w:p>
        </w:tc>
        <w:tc>
          <w:tcPr>
            <w:tcW w:w="920"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440</w:t>
            </w:r>
          </w:p>
        </w:tc>
        <w:tc>
          <w:tcPr>
            <w:tcW w:w="955"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-0.64</w:t>
            </w:r>
          </w:p>
        </w:tc>
        <w:tc>
          <w:tcPr>
            <w:tcW w:w="1073"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0.50</w:t>
            </w:r>
          </w:p>
        </w:tc>
      </w:tr>
      <w:tr w:rsidR="00196C35" w:rsidRPr="00A85C5A" w:rsidTr="00AA7761">
        <w:trPr>
          <w:trHeight w:val="247"/>
          <w:jc w:val="center"/>
        </w:trPr>
        <w:tc>
          <w:tcPr>
            <w:tcW w:w="1492" w:type="dxa"/>
            <w:tcBorders>
              <w:top w:val="nil"/>
              <w:bottom w:val="nil"/>
            </w:tcBorders>
            <w:vAlign w:val="center"/>
          </w:tcPr>
          <w:p w:rsidR="00196C35" w:rsidRPr="00A85C5A" w:rsidRDefault="00196C35" w:rsidP="00AA7761">
            <w:pPr>
              <w:kinsoku w:val="0"/>
              <w:overflowPunct w:val="0"/>
              <w:autoSpaceDE w:val="0"/>
              <w:autoSpaceDN w:val="0"/>
              <w:adjustRightInd w:val="0"/>
              <w:spacing w:line="240" w:lineRule="auto"/>
              <w:jc w:val="center"/>
              <w:textAlignment w:val="baseline"/>
              <w:rPr>
                <w:rFonts w:ascii="Times New Roman" w:hAnsi="Times New Roman" w:cs="Times New Roman"/>
                <w:kern w:val="24"/>
                <w:sz w:val="24"/>
                <w:szCs w:val="24"/>
              </w:rPr>
            </w:pPr>
            <w:r w:rsidRPr="00A85C5A">
              <w:rPr>
                <w:rFonts w:ascii="Times New Roman" w:hAnsi="Times New Roman" w:cs="Times New Roman"/>
                <w:kern w:val="24"/>
                <w:sz w:val="24"/>
                <w:szCs w:val="24"/>
              </w:rPr>
              <w:t>(</w:t>
            </w:r>
            <w:r w:rsidRPr="00A85C5A">
              <w:rPr>
                <w:rFonts w:ascii="Times New Roman" w:hAnsi="Times New Roman" w:cs="Times New Roman"/>
                <w:b/>
                <w:bCs/>
                <w:kern w:val="24"/>
                <w:sz w:val="24"/>
                <w:szCs w:val="24"/>
              </w:rPr>
              <w:t>4</w:t>
            </w:r>
            <w:r w:rsidRPr="00A85C5A">
              <w:rPr>
                <w:rFonts w:ascii="Times New Roman" w:hAnsi="Times New Roman" w:cs="Times New Roman"/>
                <w:kern w:val="24"/>
                <w:sz w:val="24"/>
                <w:szCs w:val="24"/>
              </w:rPr>
              <w:t>)</w:t>
            </w:r>
          </w:p>
        </w:tc>
        <w:tc>
          <w:tcPr>
            <w:tcW w:w="1694" w:type="dxa"/>
            <w:tcBorders>
              <w:top w:val="nil"/>
              <w:bottom w:val="nil"/>
            </w:tcBorders>
            <w:vAlign w:val="center"/>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Ni(II) / Ni(I)</w:t>
            </w:r>
          </w:p>
        </w:tc>
        <w:tc>
          <w:tcPr>
            <w:tcW w:w="929"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-0.66</w:t>
            </w:r>
          </w:p>
        </w:tc>
        <w:tc>
          <w:tcPr>
            <w:tcW w:w="940"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-1.11</w:t>
            </w:r>
          </w:p>
        </w:tc>
        <w:tc>
          <w:tcPr>
            <w:tcW w:w="920"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450</w:t>
            </w:r>
          </w:p>
        </w:tc>
        <w:tc>
          <w:tcPr>
            <w:tcW w:w="955"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-0.88</w:t>
            </w:r>
          </w:p>
        </w:tc>
        <w:tc>
          <w:tcPr>
            <w:tcW w:w="1073"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0.16</w:t>
            </w:r>
          </w:p>
        </w:tc>
      </w:tr>
      <w:tr w:rsidR="00196C35" w:rsidRPr="00A85C5A" w:rsidTr="00AA7761">
        <w:trPr>
          <w:trHeight w:val="240"/>
          <w:jc w:val="center"/>
        </w:trPr>
        <w:tc>
          <w:tcPr>
            <w:tcW w:w="1492" w:type="dxa"/>
            <w:tcBorders>
              <w:top w:val="nil"/>
              <w:bottom w:val="nil"/>
            </w:tcBorders>
            <w:vAlign w:val="center"/>
          </w:tcPr>
          <w:p w:rsidR="00196C35" w:rsidRPr="00A85C5A" w:rsidRDefault="00196C35" w:rsidP="00AA7761">
            <w:pPr>
              <w:kinsoku w:val="0"/>
              <w:overflowPunct w:val="0"/>
              <w:autoSpaceDE w:val="0"/>
              <w:autoSpaceDN w:val="0"/>
              <w:adjustRightInd w:val="0"/>
              <w:spacing w:line="240" w:lineRule="auto"/>
              <w:jc w:val="center"/>
              <w:textAlignment w:val="baseline"/>
              <w:rPr>
                <w:rFonts w:ascii="Times New Roman" w:hAnsi="Times New Roman" w:cs="Times New Roman"/>
                <w:kern w:val="24"/>
                <w:sz w:val="24"/>
                <w:szCs w:val="24"/>
              </w:rPr>
            </w:pPr>
            <w:r w:rsidRPr="00A85C5A">
              <w:rPr>
                <w:rFonts w:ascii="Times New Roman" w:hAnsi="Times New Roman" w:cs="Times New Roman"/>
                <w:kern w:val="24"/>
                <w:sz w:val="24"/>
                <w:szCs w:val="24"/>
              </w:rPr>
              <w:t>(</w:t>
            </w:r>
            <w:r w:rsidRPr="00A85C5A">
              <w:rPr>
                <w:rFonts w:ascii="Times New Roman" w:hAnsi="Times New Roman" w:cs="Times New Roman"/>
                <w:b/>
                <w:bCs/>
                <w:kern w:val="24"/>
                <w:sz w:val="24"/>
                <w:szCs w:val="24"/>
              </w:rPr>
              <w:t>5</w:t>
            </w:r>
            <w:r w:rsidRPr="00A85C5A">
              <w:rPr>
                <w:rFonts w:ascii="Times New Roman" w:hAnsi="Times New Roman" w:cs="Times New Roman"/>
                <w:kern w:val="24"/>
                <w:sz w:val="24"/>
                <w:szCs w:val="24"/>
              </w:rPr>
              <w:t>)</w:t>
            </w:r>
          </w:p>
        </w:tc>
        <w:tc>
          <w:tcPr>
            <w:tcW w:w="1694" w:type="dxa"/>
            <w:tcBorders>
              <w:top w:val="nil"/>
              <w:bottom w:val="nil"/>
            </w:tcBorders>
            <w:vAlign w:val="center"/>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Zn(II) / Zn(I)</w:t>
            </w:r>
          </w:p>
        </w:tc>
        <w:tc>
          <w:tcPr>
            <w:tcW w:w="929"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-0.55</w:t>
            </w:r>
          </w:p>
        </w:tc>
        <w:tc>
          <w:tcPr>
            <w:tcW w:w="940"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-1.08</w:t>
            </w:r>
          </w:p>
        </w:tc>
        <w:tc>
          <w:tcPr>
            <w:tcW w:w="920"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530</w:t>
            </w:r>
          </w:p>
        </w:tc>
        <w:tc>
          <w:tcPr>
            <w:tcW w:w="955"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-0.81</w:t>
            </w:r>
          </w:p>
        </w:tc>
        <w:tc>
          <w:tcPr>
            <w:tcW w:w="1073" w:type="dxa"/>
            <w:tcBorders>
              <w:top w:val="nil"/>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4"/>
                <w:szCs w:val="24"/>
                <w:lang w:eastAsia="en-IN"/>
              </w:rPr>
            </w:pPr>
            <w:r w:rsidRPr="00A85C5A">
              <w:rPr>
                <w:rFonts w:ascii="Times New Roman" w:hAnsi="Times New Roman" w:cs="Times New Roman"/>
                <w:sz w:val="24"/>
                <w:szCs w:val="24"/>
                <w:lang w:eastAsia="en-IN"/>
              </w:rPr>
              <w:t>0.11</w:t>
            </w:r>
          </w:p>
        </w:tc>
      </w:tr>
      <w:tr w:rsidR="00196C35" w:rsidRPr="00A85C5A" w:rsidTr="00AA7761">
        <w:trPr>
          <w:trHeight w:val="177"/>
          <w:jc w:val="center"/>
        </w:trPr>
        <w:tc>
          <w:tcPr>
            <w:tcW w:w="8003" w:type="dxa"/>
            <w:gridSpan w:val="7"/>
            <w:tcBorders>
              <w:top w:val="single" w:sz="12" w:space="0" w:color="auto"/>
              <w:bottom w:val="nil"/>
            </w:tcBorders>
          </w:tcPr>
          <w:p w:rsidR="00196C35" w:rsidRPr="00A85C5A" w:rsidRDefault="00196C35" w:rsidP="00AA7761">
            <w:pPr>
              <w:overflowPunct w:val="0"/>
              <w:autoSpaceDE w:val="0"/>
              <w:autoSpaceDN w:val="0"/>
              <w:adjustRightInd w:val="0"/>
              <w:spacing w:line="240" w:lineRule="auto"/>
              <w:jc w:val="center"/>
              <w:textAlignment w:val="baseline"/>
              <w:rPr>
                <w:rFonts w:ascii="Times New Roman" w:hAnsi="Times New Roman" w:cs="Times New Roman"/>
                <w:sz w:val="20"/>
                <w:szCs w:val="20"/>
              </w:rPr>
            </w:pPr>
            <w:r w:rsidRPr="00A85C5A">
              <w:rPr>
                <w:rFonts w:ascii="Times New Roman" w:hAnsi="Times New Roman" w:cs="Times New Roman"/>
                <w:sz w:val="20"/>
                <w:szCs w:val="20"/>
              </w:rPr>
              <w:t xml:space="preserve">Formal electrode potential </w:t>
            </w:r>
            <w:r w:rsidRPr="00A85C5A">
              <w:rPr>
                <w:rFonts w:ascii="Times New Roman" w:hAnsi="Times New Roman" w:cs="Times New Roman"/>
                <w:i/>
                <w:iCs/>
                <w:sz w:val="20"/>
                <w:szCs w:val="20"/>
              </w:rPr>
              <w:t>E°</w:t>
            </w:r>
            <w:r w:rsidRPr="00A85C5A">
              <w:rPr>
                <w:rFonts w:ascii="Times New Roman" w:hAnsi="Times New Roman" w:cs="Times New Roman"/>
                <w:bCs/>
                <w:sz w:val="20"/>
                <w:szCs w:val="20"/>
                <w:vertAlign w:val="superscript"/>
              </w:rPr>
              <w:t xml:space="preserve"> </w:t>
            </w:r>
            <w:r w:rsidRPr="00A85C5A">
              <w:rPr>
                <w:rFonts w:ascii="Times New Roman" w:hAnsi="Times New Roman" w:cs="Times New Roman"/>
                <w:sz w:val="20"/>
                <w:szCs w:val="20"/>
                <w:lang w:eastAsia="en-IN"/>
              </w:rPr>
              <w:t xml:space="preserve">(or) </w:t>
            </w:r>
            <w:r w:rsidRPr="00A85C5A">
              <w:rPr>
                <w:rFonts w:ascii="Times New Roman" w:hAnsi="Times New Roman" w:cs="Times New Roman"/>
                <w:i/>
                <w:iCs/>
                <w:sz w:val="20"/>
                <w:szCs w:val="20"/>
                <w:lang w:eastAsia="en-IN"/>
              </w:rPr>
              <w:t>E</w:t>
            </w:r>
            <w:r w:rsidRPr="00A85C5A">
              <w:rPr>
                <w:rFonts w:ascii="Times New Roman" w:hAnsi="Times New Roman" w:cs="Times New Roman"/>
                <w:i/>
                <w:iCs/>
                <w:sz w:val="20"/>
                <w:szCs w:val="20"/>
                <w:vertAlign w:val="subscript"/>
                <w:lang w:eastAsia="en-IN"/>
              </w:rPr>
              <w:t>1/2</w:t>
            </w:r>
            <w:r w:rsidRPr="00A85C5A">
              <w:rPr>
                <w:rFonts w:ascii="Times New Roman" w:hAnsi="Times New Roman" w:cs="Times New Roman"/>
                <w:i/>
                <w:iCs/>
                <w:sz w:val="20"/>
                <w:szCs w:val="20"/>
                <w:lang w:eastAsia="en-IN"/>
              </w:rPr>
              <w:t xml:space="preserve"> =  ½ (E</w:t>
            </w:r>
            <w:r w:rsidRPr="00A85C5A">
              <w:rPr>
                <w:rFonts w:ascii="Times New Roman" w:hAnsi="Times New Roman" w:cs="Times New Roman"/>
                <w:i/>
                <w:iCs/>
                <w:sz w:val="20"/>
                <w:szCs w:val="20"/>
                <w:vertAlign w:val="subscript"/>
                <w:lang w:eastAsia="en-IN"/>
              </w:rPr>
              <w:t>Pa</w:t>
            </w:r>
            <w:r w:rsidRPr="00A85C5A">
              <w:rPr>
                <w:rFonts w:ascii="Times New Roman" w:hAnsi="Times New Roman" w:cs="Times New Roman"/>
                <w:i/>
                <w:iCs/>
                <w:sz w:val="20"/>
                <w:szCs w:val="20"/>
                <w:lang w:eastAsia="en-IN"/>
              </w:rPr>
              <w:t xml:space="preserve"> + E</w:t>
            </w:r>
            <w:r w:rsidRPr="00A85C5A">
              <w:rPr>
                <w:rFonts w:ascii="Times New Roman" w:hAnsi="Times New Roman" w:cs="Times New Roman"/>
                <w:i/>
                <w:iCs/>
                <w:sz w:val="20"/>
                <w:szCs w:val="20"/>
                <w:vertAlign w:val="subscript"/>
                <w:lang w:eastAsia="en-IN"/>
              </w:rPr>
              <w:t>Pc</w:t>
            </w:r>
            <w:r w:rsidRPr="00A85C5A">
              <w:rPr>
                <w:rFonts w:ascii="Times New Roman" w:hAnsi="Times New Roman" w:cs="Times New Roman"/>
                <w:i/>
                <w:iCs/>
                <w:sz w:val="20"/>
                <w:szCs w:val="20"/>
                <w:lang w:eastAsia="en-IN"/>
              </w:rPr>
              <w:t>),</w:t>
            </w:r>
            <w:r w:rsidRPr="00A85C5A">
              <w:rPr>
                <w:rFonts w:ascii="Times New Roman" w:hAnsi="Times New Roman" w:cs="Times New Roman"/>
                <w:sz w:val="20"/>
                <w:szCs w:val="20"/>
                <w:lang w:eastAsia="en-IN"/>
              </w:rPr>
              <w:t xml:space="preserve"> Δ</w:t>
            </w:r>
            <w:r w:rsidRPr="00A85C5A">
              <w:rPr>
                <w:rFonts w:ascii="Times New Roman" w:hAnsi="Times New Roman" w:cs="Times New Roman"/>
                <w:i/>
                <w:iCs/>
                <w:sz w:val="20"/>
                <w:szCs w:val="20"/>
                <w:lang w:eastAsia="en-IN"/>
              </w:rPr>
              <w:t>E</w:t>
            </w:r>
            <w:r w:rsidRPr="00A85C5A">
              <w:rPr>
                <w:rFonts w:ascii="Times New Roman" w:hAnsi="Times New Roman" w:cs="Times New Roman"/>
                <w:i/>
                <w:iCs/>
                <w:sz w:val="20"/>
                <w:szCs w:val="20"/>
                <w:vertAlign w:val="subscript"/>
                <w:lang w:eastAsia="en-IN"/>
              </w:rPr>
              <w:t>P</w:t>
            </w:r>
            <w:r w:rsidRPr="00A85C5A">
              <w:rPr>
                <w:rFonts w:ascii="Times New Roman" w:hAnsi="Times New Roman" w:cs="Times New Roman"/>
                <w:sz w:val="20"/>
                <w:szCs w:val="20"/>
                <w:lang w:eastAsia="en-IN"/>
              </w:rPr>
              <w:t xml:space="preserve"> </w:t>
            </w:r>
            <w:r w:rsidRPr="00A85C5A">
              <w:rPr>
                <w:rFonts w:ascii="Times New Roman" w:hAnsi="Times New Roman" w:cs="Times New Roman"/>
                <w:sz w:val="20"/>
                <w:szCs w:val="20"/>
              </w:rPr>
              <w:t xml:space="preserve">= </w:t>
            </w:r>
            <w:r w:rsidRPr="00A85C5A">
              <w:rPr>
                <w:rFonts w:ascii="Times New Roman" w:hAnsi="Times New Roman" w:cs="Times New Roman"/>
                <w:sz w:val="20"/>
                <w:szCs w:val="20"/>
                <w:lang w:eastAsia="en-IN"/>
              </w:rPr>
              <w:t>(</w:t>
            </w:r>
            <w:r w:rsidRPr="00A85C5A">
              <w:rPr>
                <w:rFonts w:ascii="Times New Roman" w:hAnsi="Times New Roman" w:cs="Times New Roman"/>
                <w:i/>
                <w:iCs/>
                <w:sz w:val="20"/>
                <w:szCs w:val="20"/>
                <w:lang w:eastAsia="en-IN"/>
              </w:rPr>
              <w:t>E</w:t>
            </w:r>
            <w:r w:rsidRPr="00A85C5A">
              <w:rPr>
                <w:rFonts w:ascii="Times New Roman" w:hAnsi="Times New Roman" w:cs="Times New Roman"/>
                <w:i/>
                <w:iCs/>
                <w:sz w:val="20"/>
                <w:szCs w:val="20"/>
                <w:vertAlign w:val="subscript"/>
                <w:lang w:eastAsia="en-IN"/>
              </w:rPr>
              <w:t>Pa</w:t>
            </w:r>
            <w:r w:rsidRPr="00A85C5A">
              <w:rPr>
                <w:rFonts w:ascii="Times New Roman" w:hAnsi="Times New Roman" w:cs="Times New Roman"/>
                <w:i/>
                <w:iCs/>
                <w:sz w:val="20"/>
                <w:szCs w:val="20"/>
              </w:rPr>
              <w:t>–</w:t>
            </w:r>
            <w:r w:rsidRPr="00A85C5A">
              <w:rPr>
                <w:rFonts w:ascii="Times New Roman" w:hAnsi="Times New Roman" w:cs="Times New Roman"/>
                <w:i/>
                <w:iCs/>
                <w:sz w:val="20"/>
                <w:szCs w:val="20"/>
                <w:lang w:eastAsia="en-IN"/>
              </w:rPr>
              <w:t>E</w:t>
            </w:r>
            <w:r w:rsidRPr="00A85C5A">
              <w:rPr>
                <w:rFonts w:ascii="Times New Roman" w:hAnsi="Times New Roman" w:cs="Times New Roman"/>
                <w:i/>
                <w:iCs/>
                <w:sz w:val="20"/>
                <w:szCs w:val="20"/>
                <w:vertAlign w:val="subscript"/>
                <w:lang w:eastAsia="en-IN"/>
              </w:rPr>
              <w:t>Pc</w:t>
            </w:r>
            <w:r w:rsidRPr="00A85C5A">
              <w:rPr>
                <w:rFonts w:ascii="Times New Roman" w:hAnsi="Times New Roman" w:cs="Times New Roman"/>
                <w:sz w:val="20"/>
                <w:szCs w:val="20"/>
                <w:lang w:eastAsia="en-IN"/>
              </w:rPr>
              <w:t xml:space="preserve">) Scan rate </w:t>
            </w:r>
            <w:r w:rsidRPr="00A85C5A">
              <w:rPr>
                <w:rFonts w:ascii="Times New Roman" w:hAnsi="Times New Roman" w:cs="Times New Roman"/>
                <w:sz w:val="20"/>
                <w:szCs w:val="20"/>
                <w:lang w:eastAsia="en-IN"/>
              </w:rPr>
              <w:sym w:font="Wingdings" w:char="F0E0"/>
            </w:r>
            <w:r w:rsidRPr="00A85C5A">
              <w:rPr>
                <w:rFonts w:ascii="Times New Roman" w:hAnsi="Times New Roman" w:cs="Times New Roman"/>
                <w:sz w:val="20"/>
                <w:szCs w:val="20"/>
                <w:lang w:eastAsia="en-IN"/>
              </w:rPr>
              <w:t xml:space="preserve">100 </w:t>
            </w:r>
            <w:r w:rsidRPr="00A85C5A">
              <w:rPr>
                <w:rFonts w:ascii="Times New Roman" w:hAnsi="Times New Roman" w:cs="Times New Roman"/>
                <w:sz w:val="20"/>
                <w:szCs w:val="20"/>
              </w:rPr>
              <w:t>mV s</w:t>
            </w:r>
            <w:r w:rsidRPr="00A85C5A">
              <w:rPr>
                <w:rFonts w:ascii="Times New Roman" w:hAnsi="Times New Roman" w:cs="Times New Roman"/>
                <w:sz w:val="20"/>
                <w:szCs w:val="20"/>
                <w:vertAlign w:val="superscript"/>
              </w:rPr>
              <w:t>-1</w:t>
            </w:r>
            <w:r w:rsidRPr="00A85C5A">
              <w:rPr>
                <w:rFonts w:ascii="Times New Roman" w:hAnsi="Times New Roman" w:cs="Times New Roman"/>
                <w:sz w:val="20"/>
                <w:szCs w:val="20"/>
              </w:rPr>
              <w:t>.</w:t>
            </w:r>
          </w:p>
        </w:tc>
      </w:tr>
    </w:tbl>
    <w:p w:rsidR="00196C35" w:rsidRPr="00A85C5A" w:rsidRDefault="00196C35" w:rsidP="00196C35">
      <w:pPr>
        <w:overflowPunct w:val="0"/>
        <w:autoSpaceDE w:val="0"/>
        <w:autoSpaceDN w:val="0"/>
        <w:adjustRightInd w:val="0"/>
        <w:spacing w:line="240" w:lineRule="auto"/>
        <w:contextualSpacing/>
        <w:jc w:val="both"/>
        <w:textAlignment w:val="baseline"/>
        <w:rPr>
          <w:lang w:eastAsia="en-US"/>
        </w:rPr>
      </w:pPr>
    </w:p>
    <w:p w:rsidR="00196C35" w:rsidRPr="00A85C5A" w:rsidRDefault="00196C35" w:rsidP="00196C35">
      <w:pPr>
        <w:overflowPunct w:val="0"/>
        <w:autoSpaceDE w:val="0"/>
        <w:autoSpaceDN w:val="0"/>
        <w:adjustRightInd w:val="0"/>
        <w:spacing w:line="240" w:lineRule="auto"/>
        <w:jc w:val="both"/>
        <w:textAlignment w:val="baseline"/>
        <w:rPr>
          <w:b/>
          <w:lang w:val="en-IN" w:eastAsia="en-US"/>
        </w:rPr>
      </w:pPr>
    </w:p>
    <w:p w:rsidR="00171A26" w:rsidRPr="00A85C5A" w:rsidRDefault="00171A26" w:rsidP="00E67BDE">
      <w:pPr>
        <w:overflowPunct w:val="0"/>
        <w:autoSpaceDE w:val="0"/>
        <w:autoSpaceDN w:val="0"/>
        <w:adjustRightInd w:val="0"/>
        <w:spacing w:line="240" w:lineRule="auto"/>
        <w:jc w:val="center"/>
        <w:textAlignment w:val="baseline"/>
        <w:rPr>
          <w:lang w:eastAsia="en-US"/>
        </w:rPr>
      </w:pPr>
    </w:p>
    <w:p w:rsidR="00196C35" w:rsidRPr="00A85C5A" w:rsidRDefault="00196C35" w:rsidP="00E67BDE">
      <w:pPr>
        <w:overflowPunct w:val="0"/>
        <w:autoSpaceDE w:val="0"/>
        <w:autoSpaceDN w:val="0"/>
        <w:adjustRightInd w:val="0"/>
        <w:spacing w:line="240" w:lineRule="auto"/>
        <w:jc w:val="center"/>
        <w:textAlignment w:val="baseline"/>
        <w:rPr>
          <w:lang w:eastAsia="en-US"/>
        </w:rPr>
      </w:pPr>
    </w:p>
    <w:tbl>
      <w:tblPr>
        <w:tblStyle w:val="TableGrid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tblGrid>
      <w:tr w:rsidR="00E67BDE" w:rsidRPr="00A85C5A" w:rsidTr="00867F16">
        <w:trPr>
          <w:jc w:val="center"/>
        </w:trPr>
        <w:tc>
          <w:tcPr>
            <w:tcW w:w="5798" w:type="dxa"/>
          </w:tcPr>
          <w:p w:rsidR="00E67BDE" w:rsidRPr="00A85C5A" w:rsidRDefault="00E67BDE" w:rsidP="00867F16">
            <w:pPr>
              <w:overflowPunct w:val="0"/>
              <w:autoSpaceDE w:val="0"/>
              <w:autoSpaceDN w:val="0"/>
              <w:adjustRightInd w:val="0"/>
              <w:spacing w:line="240" w:lineRule="auto"/>
              <w:jc w:val="both"/>
              <w:textAlignment w:val="baseline"/>
              <w:rPr>
                <w:lang w:eastAsia="en-US"/>
              </w:rPr>
            </w:pPr>
            <w:r w:rsidRPr="00A85C5A">
              <w:rPr>
                <w:noProof/>
                <w:lang w:val="en-US" w:eastAsia="en-US"/>
              </w:rPr>
              <w:drawing>
                <wp:inline distT="0" distB="0" distL="0" distR="0">
                  <wp:extent cx="3435970" cy="3522840"/>
                  <wp:effectExtent l="38100" t="57150" r="107330" b="96660"/>
                  <wp:docPr id="6" name="Picture 2" descr="C:\Users\elcot\Desktop\very final cv final phen 1-scheme cv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cot\Desktop\very final cv final phen 1-scheme cv - Copy.jpg"/>
                          <pic:cNvPicPr>
                            <a:picLocks noChangeAspect="1" noChangeArrowheads="1"/>
                          </pic:cNvPicPr>
                        </pic:nvPicPr>
                        <pic:blipFill>
                          <a:blip r:embed="rId17" cstate="print"/>
                          <a:srcRect/>
                          <a:stretch>
                            <a:fillRect/>
                          </a:stretch>
                        </pic:blipFill>
                        <pic:spPr bwMode="auto">
                          <a:xfrm>
                            <a:off x="0" y="0"/>
                            <a:ext cx="3437301" cy="35242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67BDE" w:rsidRPr="00A85C5A" w:rsidRDefault="00E67BDE" w:rsidP="00867F16">
            <w:pPr>
              <w:overflowPunct w:val="0"/>
              <w:autoSpaceDE w:val="0"/>
              <w:autoSpaceDN w:val="0"/>
              <w:adjustRightInd w:val="0"/>
              <w:spacing w:line="240" w:lineRule="auto"/>
              <w:jc w:val="both"/>
              <w:textAlignment w:val="baseline"/>
              <w:rPr>
                <w:rFonts w:ascii="Times New Roman" w:hAnsi="Times New Roman"/>
                <w:lang w:eastAsia="en-US"/>
              </w:rPr>
            </w:pPr>
            <w:r w:rsidRPr="00A85C5A">
              <w:rPr>
                <w:rFonts w:ascii="Times New Roman" w:hAnsi="Times New Roman"/>
                <w:b/>
                <w:bCs/>
                <w:lang w:eastAsia="en-US"/>
              </w:rPr>
              <w:t xml:space="preserve">Fig. S7  </w:t>
            </w:r>
            <w:r w:rsidRPr="00A85C5A">
              <w:rPr>
                <w:rFonts w:ascii="Times New Roman" w:hAnsi="Times New Roman"/>
                <w:lang w:eastAsia="en-US"/>
              </w:rPr>
              <w:t>Cyclic voltammograms of the complexes (</w:t>
            </w:r>
            <w:r w:rsidRPr="00A85C5A">
              <w:rPr>
                <w:rFonts w:ascii="Times New Roman" w:hAnsi="Times New Roman"/>
                <w:b/>
                <w:bCs/>
                <w:lang w:eastAsia="en-US"/>
              </w:rPr>
              <w:t>1-5</w:t>
            </w:r>
            <w:r w:rsidRPr="00A85C5A">
              <w:rPr>
                <w:rFonts w:ascii="Times New Roman" w:hAnsi="Times New Roman"/>
                <w:lang w:eastAsia="en-US"/>
              </w:rPr>
              <w:t>)</w:t>
            </w:r>
          </w:p>
          <w:p w:rsidR="00E67BDE" w:rsidRPr="00A85C5A" w:rsidRDefault="00E67BDE" w:rsidP="00867F16">
            <w:pPr>
              <w:overflowPunct w:val="0"/>
              <w:autoSpaceDE w:val="0"/>
              <w:autoSpaceDN w:val="0"/>
              <w:adjustRightInd w:val="0"/>
              <w:spacing w:line="240" w:lineRule="auto"/>
              <w:jc w:val="both"/>
              <w:textAlignment w:val="baseline"/>
              <w:rPr>
                <w:bCs/>
                <w:lang w:eastAsia="en-US"/>
              </w:rPr>
            </w:pPr>
            <w:r w:rsidRPr="00A85C5A">
              <w:rPr>
                <w:rFonts w:ascii="Times New Roman" w:hAnsi="Times New Roman"/>
                <w:lang w:eastAsia="en-US"/>
              </w:rPr>
              <w:t xml:space="preserve"> (10</w:t>
            </w:r>
            <w:r w:rsidRPr="00A85C5A">
              <w:rPr>
                <w:rFonts w:ascii="Times New Roman" w:hAnsi="Times New Roman"/>
                <w:vertAlign w:val="superscript"/>
                <w:lang w:eastAsia="en-US"/>
              </w:rPr>
              <w:t>-3</w:t>
            </w:r>
            <w:r w:rsidRPr="00A85C5A">
              <w:rPr>
                <w:rFonts w:ascii="Times New Roman" w:hAnsi="Times New Roman"/>
                <w:lang w:eastAsia="en-US"/>
              </w:rPr>
              <w:t>M) at scan rate 100 mvs</w:t>
            </w:r>
            <w:r w:rsidRPr="00A85C5A">
              <w:rPr>
                <w:rFonts w:ascii="Times New Roman" w:hAnsi="Times New Roman"/>
                <w:vertAlign w:val="superscript"/>
                <w:lang w:eastAsia="en-US"/>
              </w:rPr>
              <w:t>-1</w:t>
            </w:r>
          </w:p>
        </w:tc>
      </w:tr>
    </w:tbl>
    <w:p w:rsidR="00E67BDE" w:rsidRPr="00A85C5A" w:rsidRDefault="00E67BDE" w:rsidP="00E67BDE">
      <w:pPr>
        <w:overflowPunct w:val="0"/>
        <w:autoSpaceDE w:val="0"/>
        <w:autoSpaceDN w:val="0"/>
        <w:adjustRightInd w:val="0"/>
        <w:spacing w:line="240" w:lineRule="auto"/>
        <w:jc w:val="center"/>
        <w:textAlignment w:val="baseline"/>
        <w:rPr>
          <w:shd w:val="clear" w:color="auto" w:fill="FFFFFF"/>
          <w:lang w:eastAsia="en-US"/>
        </w:rPr>
      </w:pPr>
    </w:p>
    <w:p w:rsidR="00196C35" w:rsidRPr="00A85C5A" w:rsidRDefault="00196C35" w:rsidP="00B52233">
      <w:pPr>
        <w:overflowPunct w:val="0"/>
        <w:autoSpaceDE w:val="0"/>
        <w:autoSpaceDN w:val="0"/>
        <w:adjustRightInd w:val="0"/>
        <w:spacing w:line="240" w:lineRule="auto"/>
        <w:jc w:val="both"/>
        <w:textAlignment w:val="baseline"/>
        <w:rPr>
          <w:b/>
          <w:lang w:val="en-IN" w:eastAsia="en-US"/>
        </w:rPr>
      </w:pPr>
    </w:p>
    <w:p w:rsidR="00B52233" w:rsidRPr="00A85C5A" w:rsidRDefault="00B52233" w:rsidP="00B52233">
      <w:pPr>
        <w:overflowPunct w:val="0"/>
        <w:autoSpaceDE w:val="0"/>
        <w:autoSpaceDN w:val="0"/>
        <w:adjustRightInd w:val="0"/>
        <w:spacing w:line="240" w:lineRule="auto"/>
        <w:jc w:val="both"/>
        <w:textAlignment w:val="baseline"/>
        <w:rPr>
          <w:b/>
          <w:lang w:val="en-IN" w:eastAsia="en-US"/>
        </w:rPr>
      </w:pPr>
      <w:r w:rsidRPr="00A85C5A">
        <w:rPr>
          <w:b/>
          <w:lang w:val="en-IN" w:eastAsia="en-US"/>
        </w:rPr>
        <w:t>References</w:t>
      </w:r>
    </w:p>
    <w:p w:rsidR="000D6F59" w:rsidRPr="00A85C5A" w:rsidRDefault="000D6F59" w:rsidP="00031728">
      <w:pPr>
        <w:overflowPunct w:val="0"/>
        <w:autoSpaceDE w:val="0"/>
        <w:autoSpaceDN w:val="0"/>
        <w:adjustRightInd w:val="0"/>
        <w:jc w:val="both"/>
        <w:textAlignment w:val="baseline"/>
        <w:rPr>
          <w:bCs/>
          <w:lang w:eastAsia="en-US"/>
        </w:rPr>
      </w:pPr>
    </w:p>
    <w:p w:rsidR="00B52233" w:rsidRPr="00A85C5A" w:rsidRDefault="00B52233" w:rsidP="00B52233">
      <w:pPr>
        <w:overflowPunct w:val="0"/>
        <w:autoSpaceDE w:val="0"/>
        <w:autoSpaceDN w:val="0"/>
        <w:adjustRightInd w:val="0"/>
        <w:jc w:val="both"/>
        <w:textAlignment w:val="baseline"/>
        <w:rPr>
          <w:rFonts w:eastAsia="AdvTimes"/>
          <w:bCs/>
          <w:lang w:eastAsia="en-US"/>
        </w:rPr>
      </w:pPr>
      <w:r w:rsidRPr="00A85C5A">
        <w:rPr>
          <w:rFonts w:eastAsia="AdvTimes"/>
          <w:bCs/>
          <w:lang w:eastAsia="en-US"/>
        </w:rPr>
        <w:t xml:space="preserve">Aazam, E. S., EL Husseiny, A. F., </w:t>
      </w:r>
      <w:r w:rsidRPr="00A85C5A">
        <w:rPr>
          <w:bCs/>
          <w:lang w:val="en-IN" w:eastAsia="en-US"/>
        </w:rPr>
        <w:t>&amp;</w:t>
      </w:r>
      <w:r w:rsidRPr="00A85C5A">
        <w:rPr>
          <w:rFonts w:eastAsia="AdvTimes"/>
          <w:bCs/>
          <w:lang w:eastAsia="en-US"/>
        </w:rPr>
        <w:t xml:space="preserve"> Al-Amri, H. M. </w:t>
      </w:r>
      <w:r w:rsidRPr="00A85C5A">
        <w:rPr>
          <w:bCs/>
          <w:lang w:eastAsia="en-US"/>
        </w:rPr>
        <w:t>(</w:t>
      </w:r>
      <w:r w:rsidRPr="00A85C5A">
        <w:rPr>
          <w:rFonts w:eastAsia="AdvTimes"/>
          <w:bCs/>
          <w:lang w:eastAsia="en-US"/>
        </w:rPr>
        <w:t xml:space="preserve">2012). Synthesis and </w:t>
      </w:r>
    </w:p>
    <w:p w:rsidR="00B52233" w:rsidRPr="00A85C5A" w:rsidRDefault="00B52233" w:rsidP="00B52233">
      <w:pPr>
        <w:overflowPunct w:val="0"/>
        <w:autoSpaceDE w:val="0"/>
        <w:autoSpaceDN w:val="0"/>
        <w:adjustRightInd w:val="0"/>
        <w:ind w:left="720"/>
        <w:jc w:val="both"/>
        <w:textAlignment w:val="baseline"/>
        <w:rPr>
          <w:rFonts w:eastAsia="AdvTimes"/>
          <w:bCs/>
          <w:lang w:eastAsia="en-US"/>
        </w:rPr>
      </w:pPr>
      <w:r w:rsidRPr="00A85C5A">
        <w:rPr>
          <w:rFonts w:eastAsia="AdvTimes"/>
          <w:bCs/>
          <w:lang w:eastAsia="en-US"/>
        </w:rPr>
        <w:t xml:space="preserve">photoluminescent   properties of a Schiff-base ligand and its mononuclear Zn(II), Cd(II), Cu(II), Ni(II) and Pd(II) metal complexes. </w:t>
      </w:r>
      <w:r w:rsidRPr="00A85C5A">
        <w:rPr>
          <w:rFonts w:eastAsia="AdvTimes"/>
          <w:bCs/>
          <w:i/>
          <w:iCs/>
          <w:lang w:eastAsia="en-US"/>
        </w:rPr>
        <w:t>Arabian Journal of Chemistry</w:t>
      </w:r>
      <w:r w:rsidRPr="00A85C5A">
        <w:rPr>
          <w:rFonts w:eastAsia="AdvTimes"/>
          <w:bCs/>
          <w:lang w:eastAsia="en-US"/>
        </w:rPr>
        <w:t xml:space="preserve">, </w:t>
      </w:r>
      <w:r w:rsidRPr="00A85C5A">
        <w:rPr>
          <w:rFonts w:eastAsia="AdvTimes"/>
          <w:bCs/>
          <w:i/>
          <w:iCs/>
          <w:lang w:eastAsia="en-US"/>
        </w:rPr>
        <w:t>5</w:t>
      </w:r>
      <w:r w:rsidRPr="00A85C5A">
        <w:rPr>
          <w:rFonts w:eastAsia="AdvTimes"/>
          <w:bCs/>
          <w:lang w:eastAsia="en-US"/>
        </w:rPr>
        <w:t>(1), 45</w:t>
      </w:r>
      <w:r w:rsidRPr="00A85C5A">
        <w:rPr>
          <w:bCs/>
          <w:lang w:eastAsia="en-US"/>
        </w:rPr>
        <w:t>–53</w:t>
      </w:r>
      <w:r w:rsidRPr="00A85C5A">
        <w:rPr>
          <w:rFonts w:eastAsia="AdvTimes"/>
          <w:bCs/>
          <w:lang w:eastAsia="en-US"/>
        </w:rPr>
        <w:t>.</w:t>
      </w:r>
      <w:r w:rsidRPr="00A85C5A">
        <w:rPr>
          <w:bCs/>
          <w:lang w:eastAsia="en-US"/>
        </w:rPr>
        <w:t xml:space="preserve"> </w:t>
      </w:r>
      <w:r w:rsidRPr="00A85C5A">
        <w:rPr>
          <w:rFonts w:eastAsia="AdvTimes"/>
          <w:bCs/>
          <w:lang w:eastAsia="en-US"/>
        </w:rPr>
        <w:t>doi:10.1016/j.arabjc.2010.07.022</w:t>
      </w:r>
    </w:p>
    <w:p w:rsidR="00B52233" w:rsidRPr="00A85C5A" w:rsidRDefault="00B52233" w:rsidP="00B52233">
      <w:pPr>
        <w:overflowPunct w:val="0"/>
        <w:autoSpaceDE w:val="0"/>
        <w:autoSpaceDN w:val="0"/>
        <w:adjustRightInd w:val="0"/>
        <w:jc w:val="both"/>
        <w:textAlignment w:val="baseline"/>
        <w:rPr>
          <w:bCs/>
          <w:lang w:eastAsia="en-US"/>
        </w:rPr>
      </w:pPr>
      <w:r w:rsidRPr="00A85C5A">
        <w:rPr>
          <w:bCs/>
          <w:lang w:eastAsia="en-US"/>
        </w:rPr>
        <w:t xml:space="preserve">Chandra, S., </w:t>
      </w:r>
      <w:r w:rsidRPr="00A85C5A">
        <w:rPr>
          <w:bCs/>
          <w:lang w:val="en-IN" w:eastAsia="en-US"/>
        </w:rPr>
        <w:t xml:space="preserve">&amp; </w:t>
      </w:r>
      <w:r w:rsidRPr="00A85C5A">
        <w:rPr>
          <w:bCs/>
          <w:lang w:eastAsia="en-US"/>
        </w:rPr>
        <w:t xml:space="preserve">Kumar, U. (2005). Spectral and magnetic studies on manganese(II), </w:t>
      </w:r>
    </w:p>
    <w:p w:rsidR="00B52233" w:rsidRPr="00A85C5A" w:rsidRDefault="00B52233" w:rsidP="00B52233">
      <w:pPr>
        <w:overflowPunct w:val="0"/>
        <w:autoSpaceDE w:val="0"/>
        <w:autoSpaceDN w:val="0"/>
        <w:adjustRightInd w:val="0"/>
        <w:ind w:left="720"/>
        <w:jc w:val="both"/>
        <w:textAlignment w:val="baseline"/>
        <w:rPr>
          <w:bCs/>
          <w:lang w:eastAsia="en-US"/>
        </w:rPr>
      </w:pPr>
      <w:r w:rsidRPr="00A85C5A">
        <w:rPr>
          <w:bCs/>
          <w:lang w:eastAsia="en-US"/>
        </w:rPr>
        <w:t xml:space="preserve">cobalt(II) and nickel(II) complexes with Schiff bases. </w:t>
      </w:r>
      <w:r w:rsidRPr="00A85C5A">
        <w:rPr>
          <w:bCs/>
          <w:i/>
          <w:iCs/>
          <w:lang w:eastAsia="en-US"/>
        </w:rPr>
        <w:t>Spectrochimica Acta Part A: Molecular and Biomolecular Spectroscopy,</w:t>
      </w:r>
      <w:r w:rsidRPr="00A85C5A">
        <w:rPr>
          <w:bCs/>
          <w:lang w:eastAsia="en-US"/>
        </w:rPr>
        <w:t xml:space="preserve"> </w:t>
      </w:r>
      <w:r w:rsidRPr="00A85C5A">
        <w:rPr>
          <w:bCs/>
          <w:i/>
          <w:iCs/>
          <w:lang w:eastAsia="en-US"/>
        </w:rPr>
        <w:t>61</w:t>
      </w:r>
      <w:r w:rsidRPr="00A85C5A">
        <w:rPr>
          <w:bCs/>
          <w:lang w:eastAsia="en-US"/>
        </w:rPr>
        <w:t>(1–2), 219–224. doi:10.1016/j.saa.2004.03.036</w:t>
      </w:r>
    </w:p>
    <w:p w:rsidR="00473666" w:rsidRPr="00A85C5A" w:rsidRDefault="00473666" w:rsidP="00473666">
      <w:pPr>
        <w:overflowPunct w:val="0"/>
        <w:autoSpaceDE w:val="0"/>
        <w:autoSpaceDN w:val="0"/>
        <w:adjustRightInd w:val="0"/>
        <w:jc w:val="both"/>
        <w:textAlignment w:val="baseline"/>
        <w:rPr>
          <w:bCs/>
          <w:lang w:eastAsia="en-US"/>
        </w:rPr>
      </w:pPr>
      <w:r w:rsidRPr="00A85C5A">
        <w:rPr>
          <w:bCs/>
          <w:lang w:eastAsia="en-US"/>
        </w:rPr>
        <w:t xml:space="preserve">Dede, B., Karipcin, F., Arabalı, F., </w:t>
      </w:r>
      <w:r w:rsidRPr="00A85C5A">
        <w:rPr>
          <w:bCs/>
          <w:lang w:val="en-IN" w:eastAsia="en-US"/>
        </w:rPr>
        <w:t xml:space="preserve">&amp; </w:t>
      </w:r>
      <w:r w:rsidRPr="00A85C5A">
        <w:rPr>
          <w:bCs/>
          <w:lang w:eastAsia="en-US"/>
        </w:rPr>
        <w:t xml:space="preserve">Cengiz, M. (2010). Synthesis, structure and </w:t>
      </w:r>
    </w:p>
    <w:p w:rsidR="00473666" w:rsidRPr="00A85C5A" w:rsidRDefault="00473666" w:rsidP="00473666">
      <w:pPr>
        <w:overflowPunct w:val="0"/>
        <w:autoSpaceDE w:val="0"/>
        <w:autoSpaceDN w:val="0"/>
        <w:adjustRightInd w:val="0"/>
        <w:ind w:left="720"/>
        <w:jc w:val="both"/>
        <w:textAlignment w:val="baseline"/>
        <w:rPr>
          <w:bCs/>
          <w:lang w:eastAsia="en-US"/>
        </w:rPr>
      </w:pPr>
      <w:r w:rsidRPr="00A85C5A">
        <w:rPr>
          <w:bCs/>
          <w:lang w:eastAsia="en-US"/>
        </w:rPr>
        <w:lastRenderedPageBreak/>
        <w:t>solvent-extraction properties of tridentate oxime ligands and their cobalt(II), nickel(II), copper(II), zinc(II) complexes</w:t>
      </w:r>
      <w:r w:rsidR="0089429C" w:rsidRPr="00A85C5A">
        <w:rPr>
          <w:bCs/>
          <w:lang w:eastAsia="en-US"/>
        </w:rPr>
        <w:t>.</w:t>
      </w:r>
      <w:r w:rsidRPr="00A85C5A">
        <w:rPr>
          <w:bCs/>
          <w:lang w:eastAsia="en-US"/>
        </w:rPr>
        <w:t xml:space="preserve"> </w:t>
      </w:r>
      <w:r w:rsidRPr="00A85C5A">
        <w:rPr>
          <w:bCs/>
          <w:i/>
          <w:iCs/>
          <w:lang w:eastAsia="en-US"/>
        </w:rPr>
        <w:t>Chemical Papers</w:t>
      </w:r>
      <w:r w:rsidRPr="00A85C5A">
        <w:rPr>
          <w:bCs/>
          <w:lang w:eastAsia="en-US"/>
        </w:rPr>
        <w:t xml:space="preserve">, </w:t>
      </w:r>
      <w:r w:rsidRPr="00A85C5A">
        <w:rPr>
          <w:bCs/>
          <w:i/>
          <w:iCs/>
          <w:lang w:eastAsia="en-US"/>
        </w:rPr>
        <w:t>64</w:t>
      </w:r>
      <w:r w:rsidRPr="00A85C5A">
        <w:rPr>
          <w:bCs/>
          <w:lang w:eastAsia="en-US"/>
        </w:rPr>
        <w:t>(1), 25–33. doi: 10.2478/s11696-009-0095-6</w:t>
      </w:r>
    </w:p>
    <w:p w:rsidR="00605623" w:rsidRPr="00A85C5A" w:rsidRDefault="00605623" w:rsidP="00605623">
      <w:pPr>
        <w:overflowPunct w:val="0"/>
        <w:autoSpaceDE w:val="0"/>
        <w:autoSpaceDN w:val="0"/>
        <w:adjustRightInd w:val="0"/>
        <w:jc w:val="both"/>
        <w:textAlignment w:val="baseline"/>
        <w:rPr>
          <w:bCs/>
          <w:lang w:eastAsia="en-US"/>
        </w:rPr>
      </w:pPr>
      <w:r w:rsidRPr="00A85C5A">
        <w:rPr>
          <w:bCs/>
          <w:lang w:eastAsia="en-US"/>
        </w:rPr>
        <w:t xml:space="preserve">Dimitrov, G. D., &amp; Atanassova, M. S. (2003). Synthesis and spectroscopic </w:t>
      </w:r>
    </w:p>
    <w:p w:rsidR="00605623" w:rsidRPr="00A85C5A" w:rsidRDefault="00605623" w:rsidP="00605623">
      <w:pPr>
        <w:overflowPunct w:val="0"/>
        <w:autoSpaceDE w:val="0"/>
        <w:autoSpaceDN w:val="0"/>
        <w:adjustRightInd w:val="0"/>
        <w:ind w:left="720"/>
        <w:jc w:val="both"/>
        <w:textAlignment w:val="baseline"/>
        <w:rPr>
          <w:bCs/>
          <w:lang w:eastAsia="en-US"/>
        </w:rPr>
      </w:pPr>
      <w:r w:rsidRPr="00A85C5A">
        <w:rPr>
          <w:bCs/>
          <w:lang w:eastAsia="en-US"/>
        </w:rPr>
        <w:t xml:space="preserve">characterization of a complex of 1, 10-Phenanthroline with magnesium. </w:t>
      </w:r>
      <w:r w:rsidRPr="00A85C5A">
        <w:rPr>
          <w:bCs/>
          <w:i/>
          <w:iCs/>
          <w:lang w:eastAsia="en-US"/>
        </w:rPr>
        <w:t>Zeitschrift Für Anorganische Und Allgemeine Chemie, 629</w:t>
      </w:r>
      <w:r w:rsidRPr="00A85C5A">
        <w:rPr>
          <w:bCs/>
          <w:lang w:eastAsia="en-US"/>
        </w:rPr>
        <w:t>(1), 12–14. doi:10.1002/zaac.200390005</w:t>
      </w:r>
    </w:p>
    <w:p w:rsidR="00473666" w:rsidRPr="00A85C5A" w:rsidRDefault="00473666" w:rsidP="00473666">
      <w:pPr>
        <w:overflowPunct w:val="0"/>
        <w:autoSpaceDE w:val="0"/>
        <w:autoSpaceDN w:val="0"/>
        <w:adjustRightInd w:val="0"/>
        <w:jc w:val="both"/>
        <w:textAlignment w:val="baseline"/>
        <w:rPr>
          <w:bCs/>
          <w:lang w:eastAsia="en-US"/>
        </w:rPr>
      </w:pPr>
      <w:r w:rsidRPr="00A85C5A">
        <w:rPr>
          <w:bCs/>
          <w:lang w:eastAsia="en-US"/>
        </w:rPr>
        <w:t xml:space="preserve">Farag, M. A., Altalbawy., Gehad, G., El-Ela Sayed, M. A., </w:t>
      </w:r>
      <w:r w:rsidRPr="00A85C5A">
        <w:rPr>
          <w:bCs/>
          <w:lang w:val="en-IN" w:eastAsia="en-US"/>
        </w:rPr>
        <w:t xml:space="preserve">&amp; </w:t>
      </w:r>
      <w:r w:rsidRPr="00A85C5A">
        <w:rPr>
          <w:bCs/>
          <w:lang w:eastAsia="en-US"/>
        </w:rPr>
        <w:t>Mohamed, M. I. A. (2011)</w:t>
      </w:r>
      <w:r w:rsidR="006028C8" w:rsidRPr="00A85C5A">
        <w:rPr>
          <w:bCs/>
          <w:lang w:eastAsia="en-US"/>
        </w:rPr>
        <w:t>.</w:t>
      </w:r>
      <w:r w:rsidRPr="00A85C5A">
        <w:rPr>
          <w:bCs/>
          <w:lang w:eastAsia="en-US"/>
        </w:rPr>
        <w:t xml:space="preserve"> </w:t>
      </w:r>
    </w:p>
    <w:p w:rsidR="00473666" w:rsidRPr="00A85C5A" w:rsidRDefault="00473666" w:rsidP="00473666">
      <w:pPr>
        <w:overflowPunct w:val="0"/>
        <w:autoSpaceDE w:val="0"/>
        <w:autoSpaceDN w:val="0"/>
        <w:adjustRightInd w:val="0"/>
        <w:ind w:left="720"/>
        <w:jc w:val="both"/>
        <w:textAlignment w:val="baseline"/>
        <w:rPr>
          <w:bCs/>
          <w:lang w:eastAsia="en-US"/>
        </w:rPr>
      </w:pPr>
      <w:r w:rsidRPr="00A85C5A">
        <w:rPr>
          <w:bCs/>
          <w:lang w:eastAsia="en-US"/>
        </w:rPr>
        <w:t xml:space="preserve">Synthesis, characterization and biological activity of some transition metal complexes with Schiff base ligands derived from 4-amino-5-phenyl-4H-1,2,4-triazole-3-thiol and salicaldehyde. </w:t>
      </w:r>
      <w:r w:rsidRPr="00A85C5A">
        <w:rPr>
          <w:bCs/>
          <w:i/>
          <w:iCs/>
          <w:lang w:eastAsia="en-US"/>
        </w:rPr>
        <w:t xml:space="preserve">Monatshefte für Chemie </w:t>
      </w:r>
      <w:r w:rsidRPr="00A85C5A">
        <w:rPr>
          <w:bCs/>
          <w:lang w:eastAsia="en-US"/>
        </w:rPr>
        <w:t>–</w:t>
      </w:r>
      <w:r w:rsidRPr="00A85C5A">
        <w:rPr>
          <w:bCs/>
          <w:i/>
          <w:iCs/>
          <w:lang w:eastAsia="en-US"/>
        </w:rPr>
        <w:t xml:space="preserve"> Chemical Monthly</w:t>
      </w:r>
      <w:r w:rsidRPr="00A85C5A">
        <w:rPr>
          <w:bCs/>
          <w:lang w:eastAsia="en-US"/>
        </w:rPr>
        <w:t xml:space="preserve">, </w:t>
      </w:r>
      <w:r w:rsidRPr="00A85C5A">
        <w:rPr>
          <w:bCs/>
          <w:i/>
          <w:iCs/>
          <w:lang w:eastAsia="en-US"/>
        </w:rPr>
        <w:t>143</w:t>
      </w:r>
      <w:r w:rsidRPr="00A85C5A">
        <w:rPr>
          <w:bCs/>
          <w:lang w:eastAsia="en-US"/>
        </w:rPr>
        <w:t>(1), 79–89. doi:10.1007/s00706-011-0626-z</w:t>
      </w:r>
    </w:p>
    <w:p w:rsidR="00B52233" w:rsidRPr="00A85C5A" w:rsidRDefault="00B52233" w:rsidP="00B52233">
      <w:pPr>
        <w:overflowPunct w:val="0"/>
        <w:autoSpaceDE w:val="0"/>
        <w:autoSpaceDN w:val="0"/>
        <w:adjustRightInd w:val="0"/>
        <w:jc w:val="both"/>
        <w:textAlignment w:val="baseline"/>
        <w:rPr>
          <w:bCs/>
          <w:lang w:eastAsia="en-US"/>
        </w:rPr>
      </w:pPr>
      <w:r w:rsidRPr="00A85C5A">
        <w:rPr>
          <w:bCs/>
          <w:lang w:eastAsia="en-US"/>
        </w:rPr>
        <w:t>Gupta, L. K., Bansal, U.,</w:t>
      </w:r>
      <w:r w:rsidRPr="00A85C5A">
        <w:rPr>
          <w:bCs/>
          <w:lang w:val="en-IN" w:eastAsia="en-US"/>
        </w:rPr>
        <w:t xml:space="preserve"> &amp;</w:t>
      </w:r>
      <w:r w:rsidRPr="00A85C5A">
        <w:rPr>
          <w:bCs/>
          <w:lang w:eastAsia="en-US"/>
        </w:rPr>
        <w:t xml:space="preserve"> Chandra, S, (2007). Spectroscopic and physicochemical </w:t>
      </w:r>
    </w:p>
    <w:p w:rsidR="00B52233" w:rsidRPr="00A85C5A" w:rsidRDefault="00B52233" w:rsidP="00B52233">
      <w:pPr>
        <w:overflowPunct w:val="0"/>
        <w:autoSpaceDE w:val="0"/>
        <w:autoSpaceDN w:val="0"/>
        <w:adjustRightInd w:val="0"/>
        <w:ind w:left="720"/>
        <w:jc w:val="both"/>
        <w:textAlignment w:val="baseline"/>
        <w:rPr>
          <w:bCs/>
          <w:lang w:eastAsia="en-US"/>
        </w:rPr>
      </w:pPr>
      <w:r w:rsidRPr="00A85C5A">
        <w:rPr>
          <w:bCs/>
          <w:lang w:eastAsia="en-US"/>
        </w:rPr>
        <w:t xml:space="preserve">studies on nickel(II) complexes of isatin-3,2′-quinolyl-hydrazones and their adducts. </w:t>
      </w:r>
      <w:r w:rsidRPr="00A85C5A">
        <w:rPr>
          <w:bCs/>
          <w:i/>
          <w:iCs/>
          <w:lang w:eastAsia="en-US"/>
        </w:rPr>
        <w:t>Spectrochimica Acta Part A: Molecular and Biomolecular Spectroscopy, 66</w:t>
      </w:r>
      <w:r w:rsidRPr="00A85C5A">
        <w:rPr>
          <w:bCs/>
          <w:lang w:eastAsia="en-US"/>
        </w:rPr>
        <w:t>(4–5), 972–975. doi:10.1016/j.saa.2006.04.035</w:t>
      </w:r>
    </w:p>
    <w:p w:rsidR="00A655DD" w:rsidRPr="00A85C5A" w:rsidRDefault="00A655DD" w:rsidP="00A655DD">
      <w:pPr>
        <w:overflowPunct w:val="0"/>
        <w:autoSpaceDE w:val="0"/>
        <w:autoSpaceDN w:val="0"/>
        <w:adjustRightInd w:val="0"/>
        <w:jc w:val="both"/>
        <w:textAlignment w:val="baseline"/>
        <w:rPr>
          <w:bCs/>
          <w:lang w:eastAsia="en-US"/>
        </w:rPr>
      </w:pPr>
      <w:r w:rsidRPr="00A85C5A">
        <w:rPr>
          <w:bCs/>
          <w:lang w:eastAsia="en-US"/>
        </w:rPr>
        <w:t xml:space="preserve">Halli, M. B., Sumathi, R. B., </w:t>
      </w:r>
      <w:r w:rsidRPr="00A85C5A">
        <w:rPr>
          <w:bCs/>
          <w:lang w:val="en-IN" w:eastAsia="en-US"/>
        </w:rPr>
        <w:t xml:space="preserve">&amp; </w:t>
      </w:r>
      <w:r w:rsidRPr="00A85C5A">
        <w:rPr>
          <w:bCs/>
          <w:lang w:eastAsia="en-US"/>
        </w:rPr>
        <w:t xml:space="preserve">Kinni, M. (2012). Synthesis, Spectroscopic </w:t>
      </w:r>
    </w:p>
    <w:p w:rsidR="00A655DD" w:rsidRPr="00A85C5A" w:rsidRDefault="00A655DD" w:rsidP="00A655DD">
      <w:pPr>
        <w:overflowPunct w:val="0"/>
        <w:autoSpaceDE w:val="0"/>
        <w:autoSpaceDN w:val="0"/>
        <w:adjustRightInd w:val="0"/>
        <w:ind w:left="720"/>
        <w:jc w:val="both"/>
        <w:textAlignment w:val="baseline"/>
        <w:rPr>
          <w:bCs/>
          <w:lang w:eastAsia="en-US"/>
        </w:rPr>
      </w:pPr>
      <w:r w:rsidRPr="00A85C5A">
        <w:rPr>
          <w:bCs/>
          <w:lang w:eastAsia="en-US"/>
        </w:rPr>
        <w:t xml:space="preserve">characterization and biological evaluation studies of Schiff’s base derived from naphthofuran-2-carbohydrazide with 8-formyl-7-hydroxy-4-methyl coumarin and its metal complexes. </w:t>
      </w:r>
      <w:r w:rsidRPr="00A85C5A">
        <w:rPr>
          <w:bCs/>
          <w:i/>
          <w:iCs/>
          <w:lang w:eastAsia="en-US"/>
        </w:rPr>
        <w:t>Spectrochimica Acta Part A: Molecular and Biomolecular Spectroscopy</w:t>
      </w:r>
      <w:r w:rsidRPr="00A85C5A">
        <w:rPr>
          <w:bCs/>
          <w:lang w:eastAsia="en-US"/>
        </w:rPr>
        <w:t xml:space="preserve">, </w:t>
      </w:r>
      <w:r w:rsidRPr="00A85C5A">
        <w:rPr>
          <w:bCs/>
          <w:i/>
          <w:iCs/>
          <w:lang w:eastAsia="en-US"/>
        </w:rPr>
        <w:t>99</w:t>
      </w:r>
      <w:r w:rsidRPr="00A85C5A">
        <w:rPr>
          <w:bCs/>
          <w:lang w:eastAsia="en-US"/>
        </w:rPr>
        <w:t>, 46–56. doi:10.1016/j.saa.2012.08.089</w:t>
      </w:r>
    </w:p>
    <w:p w:rsidR="00473666" w:rsidRPr="00A85C5A" w:rsidRDefault="00473666" w:rsidP="00473666">
      <w:pPr>
        <w:overflowPunct w:val="0"/>
        <w:autoSpaceDE w:val="0"/>
        <w:autoSpaceDN w:val="0"/>
        <w:adjustRightInd w:val="0"/>
        <w:jc w:val="both"/>
        <w:textAlignment w:val="baseline"/>
        <w:rPr>
          <w:bCs/>
          <w:lang w:eastAsia="en-US"/>
        </w:rPr>
      </w:pPr>
      <w:r w:rsidRPr="00A85C5A">
        <w:rPr>
          <w:bCs/>
          <w:lang w:eastAsia="en-US"/>
        </w:rPr>
        <w:t xml:space="preserve">Kalbende, P. P., Tarase, M. V., </w:t>
      </w:r>
      <w:r w:rsidRPr="00A85C5A">
        <w:rPr>
          <w:bCs/>
          <w:lang w:val="en-IN" w:eastAsia="en-US"/>
        </w:rPr>
        <w:t>&amp;</w:t>
      </w:r>
      <w:r w:rsidRPr="00A85C5A">
        <w:rPr>
          <w:bCs/>
          <w:lang w:eastAsia="en-US"/>
        </w:rPr>
        <w:t xml:space="preserve"> Zade, A. B. (2013). Preparation, </w:t>
      </w:r>
      <w:r w:rsidR="000F1FA1" w:rsidRPr="00A85C5A">
        <w:rPr>
          <w:bCs/>
          <w:lang w:eastAsia="en-US"/>
        </w:rPr>
        <w:t xml:space="preserve">characterization </w:t>
      </w:r>
      <w:r w:rsidRPr="00A85C5A">
        <w:rPr>
          <w:bCs/>
          <w:lang w:eastAsia="en-US"/>
        </w:rPr>
        <w:t xml:space="preserve">and </w:t>
      </w:r>
    </w:p>
    <w:p w:rsidR="00473666" w:rsidRPr="00A85C5A" w:rsidRDefault="000F1FA1" w:rsidP="00473666">
      <w:pPr>
        <w:overflowPunct w:val="0"/>
        <w:autoSpaceDE w:val="0"/>
        <w:autoSpaceDN w:val="0"/>
        <w:adjustRightInd w:val="0"/>
        <w:ind w:left="720"/>
        <w:jc w:val="both"/>
        <w:textAlignment w:val="baseline"/>
        <w:rPr>
          <w:bCs/>
          <w:lang w:eastAsia="en-US"/>
        </w:rPr>
      </w:pPr>
      <w:r w:rsidRPr="00A85C5A">
        <w:rPr>
          <w:bCs/>
          <w:lang w:eastAsia="en-US"/>
        </w:rPr>
        <w:t xml:space="preserve">thermal </w:t>
      </w:r>
      <w:r w:rsidR="00473666" w:rsidRPr="00A85C5A">
        <w:rPr>
          <w:bCs/>
          <w:lang w:eastAsia="en-US"/>
        </w:rPr>
        <w:t>degradation studies</w:t>
      </w:r>
      <w:r w:rsidRPr="00A85C5A">
        <w:rPr>
          <w:bCs/>
          <w:lang w:eastAsia="en-US"/>
        </w:rPr>
        <w:t xml:space="preserve"> </w:t>
      </w:r>
      <w:r w:rsidR="00473666" w:rsidRPr="00A85C5A">
        <w:rPr>
          <w:bCs/>
          <w:lang w:eastAsia="en-US"/>
        </w:rPr>
        <w:t xml:space="preserve">of p-nitrophenol-based copolymer. </w:t>
      </w:r>
      <w:r w:rsidR="00473666" w:rsidRPr="00A85C5A">
        <w:rPr>
          <w:bCs/>
          <w:i/>
          <w:iCs/>
          <w:lang w:eastAsia="en-US"/>
        </w:rPr>
        <w:t>Journal of Chemistry</w:t>
      </w:r>
      <w:r w:rsidR="00473666" w:rsidRPr="00A85C5A">
        <w:rPr>
          <w:bCs/>
          <w:lang w:eastAsia="en-US"/>
        </w:rPr>
        <w:t xml:space="preserve">, </w:t>
      </w:r>
      <w:r w:rsidR="00473666" w:rsidRPr="00A85C5A">
        <w:rPr>
          <w:bCs/>
          <w:i/>
          <w:iCs/>
          <w:lang w:eastAsia="en-US"/>
        </w:rPr>
        <w:t>2013</w:t>
      </w:r>
      <w:r w:rsidR="00473666" w:rsidRPr="00A85C5A">
        <w:rPr>
          <w:bCs/>
          <w:lang w:eastAsia="en-US"/>
        </w:rPr>
        <w:t>, 1–9. Article ID 846327. doi:10.1155/2013/846327</w:t>
      </w:r>
    </w:p>
    <w:p w:rsidR="00A655DD" w:rsidRPr="00A85C5A" w:rsidRDefault="00A655DD" w:rsidP="00A655DD">
      <w:pPr>
        <w:overflowPunct w:val="0"/>
        <w:autoSpaceDE w:val="0"/>
        <w:autoSpaceDN w:val="0"/>
        <w:adjustRightInd w:val="0"/>
        <w:jc w:val="both"/>
        <w:textAlignment w:val="baseline"/>
        <w:rPr>
          <w:bCs/>
          <w:lang w:eastAsia="en-US"/>
        </w:rPr>
      </w:pPr>
      <w:r w:rsidRPr="00A85C5A">
        <w:rPr>
          <w:bCs/>
          <w:lang w:eastAsia="en-US"/>
        </w:rPr>
        <w:t xml:space="preserve">Kivelson, D., </w:t>
      </w:r>
      <w:r w:rsidRPr="00A85C5A">
        <w:rPr>
          <w:bCs/>
          <w:lang w:val="en-IN" w:eastAsia="en-US"/>
        </w:rPr>
        <w:t xml:space="preserve">&amp; </w:t>
      </w:r>
      <w:r w:rsidRPr="00A85C5A">
        <w:rPr>
          <w:bCs/>
          <w:lang w:eastAsia="en-US"/>
        </w:rPr>
        <w:t xml:space="preserve">Neeman, R. (1961). ESR Studies on the bonding in copper complexes. </w:t>
      </w:r>
    </w:p>
    <w:p w:rsidR="00A655DD" w:rsidRPr="00A85C5A" w:rsidRDefault="00A655DD" w:rsidP="00A655DD">
      <w:pPr>
        <w:overflowPunct w:val="0"/>
        <w:autoSpaceDE w:val="0"/>
        <w:autoSpaceDN w:val="0"/>
        <w:adjustRightInd w:val="0"/>
        <w:ind w:firstLine="720"/>
        <w:jc w:val="both"/>
        <w:textAlignment w:val="baseline"/>
        <w:rPr>
          <w:bCs/>
          <w:lang w:eastAsia="en-US"/>
        </w:rPr>
      </w:pPr>
      <w:r w:rsidRPr="00A85C5A">
        <w:rPr>
          <w:bCs/>
          <w:i/>
          <w:iCs/>
          <w:lang w:eastAsia="en-US"/>
        </w:rPr>
        <w:lastRenderedPageBreak/>
        <w:t>The Journal of Chemical Physics, 35</w:t>
      </w:r>
      <w:r w:rsidRPr="00A85C5A">
        <w:rPr>
          <w:bCs/>
          <w:lang w:eastAsia="en-US"/>
        </w:rPr>
        <w:t>(1), 149–155. doi:10.1063/1.1731880</w:t>
      </w:r>
    </w:p>
    <w:p w:rsidR="00473666" w:rsidRPr="00A85C5A" w:rsidRDefault="00473666" w:rsidP="00473666">
      <w:pPr>
        <w:overflowPunct w:val="0"/>
        <w:autoSpaceDE w:val="0"/>
        <w:autoSpaceDN w:val="0"/>
        <w:adjustRightInd w:val="0"/>
        <w:jc w:val="both"/>
        <w:textAlignment w:val="baseline"/>
        <w:rPr>
          <w:bCs/>
          <w:lang w:eastAsia="en-US"/>
        </w:rPr>
      </w:pPr>
      <w:r w:rsidRPr="00A85C5A">
        <w:rPr>
          <w:bCs/>
          <w:lang w:eastAsia="en-US"/>
        </w:rPr>
        <w:t xml:space="preserve">Lever, A. B. P. (1968). Electronic spectra of some transition metal complexes: Derivation </w:t>
      </w:r>
    </w:p>
    <w:p w:rsidR="00473666" w:rsidRPr="00A85C5A" w:rsidRDefault="00473666" w:rsidP="00473666">
      <w:pPr>
        <w:overflowPunct w:val="0"/>
        <w:autoSpaceDE w:val="0"/>
        <w:autoSpaceDN w:val="0"/>
        <w:adjustRightInd w:val="0"/>
        <w:ind w:left="720"/>
        <w:jc w:val="both"/>
        <w:textAlignment w:val="baseline"/>
        <w:rPr>
          <w:bCs/>
          <w:lang w:eastAsia="en-US"/>
        </w:rPr>
      </w:pPr>
      <w:r w:rsidRPr="00A85C5A">
        <w:rPr>
          <w:bCs/>
          <w:lang w:eastAsia="en-US"/>
        </w:rPr>
        <w:t xml:space="preserve">of Dq and B. </w:t>
      </w:r>
      <w:r w:rsidRPr="00A85C5A">
        <w:rPr>
          <w:bCs/>
          <w:i/>
          <w:iCs/>
          <w:lang w:eastAsia="en-US"/>
        </w:rPr>
        <w:t>Journal of Chemical Education,</w:t>
      </w:r>
      <w:r w:rsidRPr="00A85C5A">
        <w:rPr>
          <w:bCs/>
          <w:lang w:eastAsia="en-US"/>
        </w:rPr>
        <w:t xml:space="preserve"> </w:t>
      </w:r>
      <w:r w:rsidRPr="00A85C5A">
        <w:rPr>
          <w:bCs/>
          <w:i/>
          <w:iCs/>
          <w:lang w:eastAsia="en-US"/>
        </w:rPr>
        <w:t>45</w:t>
      </w:r>
      <w:r w:rsidRPr="00A85C5A">
        <w:rPr>
          <w:bCs/>
          <w:lang w:eastAsia="en-US"/>
        </w:rPr>
        <w:t>(11), 711–712. doi:10.1021/ed045p711</w:t>
      </w:r>
    </w:p>
    <w:p w:rsidR="00473666" w:rsidRPr="00A85C5A" w:rsidRDefault="00473666" w:rsidP="00473666">
      <w:pPr>
        <w:overflowPunct w:val="0"/>
        <w:autoSpaceDE w:val="0"/>
        <w:autoSpaceDN w:val="0"/>
        <w:adjustRightInd w:val="0"/>
        <w:jc w:val="both"/>
        <w:textAlignment w:val="baseline"/>
        <w:rPr>
          <w:bCs/>
          <w:lang w:eastAsia="en-US"/>
        </w:rPr>
      </w:pPr>
      <w:r w:rsidRPr="00A85C5A">
        <w:rPr>
          <w:bCs/>
          <w:lang w:eastAsia="en-US"/>
        </w:rPr>
        <w:t xml:space="preserve">Nickless, D. E., Power, M. J., </w:t>
      </w:r>
      <w:r w:rsidRPr="00A85C5A">
        <w:rPr>
          <w:bCs/>
          <w:lang w:val="en-IN" w:eastAsia="en-US"/>
        </w:rPr>
        <w:t xml:space="preserve">&amp; </w:t>
      </w:r>
      <w:r w:rsidRPr="00A85C5A">
        <w:rPr>
          <w:bCs/>
          <w:lang w:eastAsia="en-US"/>
        </w:rPr>
        <w:t xml:space="preserve">Urbach, F. L. (1983). Copper(II) complexes with </w:t>
      </w:r>
    </w:p>
    <w:p w:rsidR="00473666" w:rsidRPr="00A85C5A" w:rsidRDefault="00473666" w:rsidP="00473666">
      <w:pPr>
        <w:overflowPunct w:val="0"/>
        <w:autoSpaceDE w:val="0"/>
        <w:autoSpaceDN w:val="0"/>
        <w:adjustRightInd w:val="0"/>
        <w:ind w:left="720"/>
        <w:jc w:val="both"/>
        <w:textAlignment w:val="baseline"/>
        <w:rPr>
          <w:bCs/>
          <w:lang w:eastAsia="en-US"/>
        </w:rPr>
      </w:pPr>
      <w:r w:rsidRPr="00A85C5A">
        <w:rPr>
          <w:bCs/>
          <w:lang w:eastAsia="en-US"/>
        </w:rPr>
        <w:t xml:space="preserve">tetradentate bis(pyridyl)-dithioether and bis(pyridyl)-diamine ligands. Effect of thio ether donors on the electronic absorption spectra, redox behaviour and EPR parameters of copper(II) complexes. </w:t>
      </w:r>
      <w:r w:rsidRPr="00A85C5A">
        <w:rPr>
          <w:bCs/>
          <w:i/>
          <w:iCs/>
          <w:lang w:eastAsia="en-US"/>
        </w:rPr>
        <w:t>Inorganic Chemistry</w:t>
      </w:r>
      <w:r w:rsidRPr="00A85C5A">
        <w:rPr>
          <w:bCs/>
          <w:lang w:eastAsia="en-US"/>
        </w:rPr>
        <w:t>, 22(22), 3210–3217. doi:10.1021/ic00164a009</w:t>
      </w:r>
    </w:p>
    <w:p w:rsidR="00473666" w:rsidRPr="00A85C5A" w:rsidRDefault="00473666" w:rsidP="00473666">
      <w:pPr>
        <w:overflowPunct w:val="0"/>
        <w:autoSpaceDE w:val="0"/>
        <w:autoSpaceDN w:val="0"/>
        <w:adjustRightInd w:val="0"/>
        <w:jc w:val="both"/>
        <w:textAlignment w:val="baseline"/>
        <w:rPr>
          <w:bCs/>
          <w:lang w:eastAsia="en-US"/>
        </w:rPr>
      </w:pPr>
      <w:r w:rsidRPr="00A85C5A">
        <w:rPr>
          <w:bCs/>
          <w:lang w:eastAsia="en-US"/>
        </w:rPr>
        <w:t>Panchal, P. K., Parekh, H. M., Pansuriya, P.B.,</w:t>
      </w:r>
      <w:r w:rsidRPr="00A85C5A">
        <w:rPr>
          <w:bCs/>
          <w:lang w:val="en-IN" w:eastAsia="en-US"/>
        </w:rPr>
        <w:t xml:space="preserve"> &amp;</w:t>
      </w:r>
      <w:r w:rsidRPr="00A85C5A">
        <w:rPr>
          <w:bCs/>
          <w:lang w:eastAsia="en-US"/>
        </w:rPr>
        <w:t xml:space="preserve"> Patel, M. N. (2006). Bactericidal </w:t>
      </w:r>
    </w:p>
    <w:p w:rsidR="00473666" w:rsidRPr="00A85C5A" w:rsidRDefault="00473666" w:rsidP="00473666">
      <w:pPr>
        <w:overflowPunct w:val="0"/>
        <w:autoSpaceDE w:val="0"/>
        <w:autoSpaceDN w:val="0"/>
        <w:adjustRightInd w:val="0"/>
        <w:ind w:left="720"/>
        <w:jc w:val="both"/>
        <w:textAlignment w:val="baseline"/>
        <w:rPr>
          <w:bCs/>
          <w:lang w:eastAsia="en-US"/>
        </w:rPr>
      </w:pPr>
      <w:r w:rsidRPr="00A85C5A">
        <w:rPr>
          <w:bCs/>
          <w:lang w:eastAsia="en-US"/>
        </w:rPr>
        <w:t xml:space="preserve">activity of different oxovanadium(IV) complexes with Schiff bases and application of chelation theory. </w:t>
      </w:r>
      <w:r w:rsidRPr="00A85C5A">
        <w:rPr>
          <w:bCs/>
          <w:i/>
          <w:iCs/>
          <w:lang w:eastAsia="en-US"/>
        </w:rPr>
        <w:t>Journal of Enzyme Inhibition and Medicinal Chemistry</w:t>
      </w:r>
      <w:r w:rsidRPr="00A85C5A">
        <w:rPr>
          <w:bCs/>
          <w:lang w:eastAsia="en-US"/>
        </w:rPr>
        <w:t xml:space="preserve">, </w:t>
      </w:r>
      <w:r w:rsidRPr="00A85C5A">
        <w:rPr>
          <w:bCs/>
          <w:i/>
          <w:iCs/>
          <w:lang w:eastAsia="en-US"/>
        </w:rPr>
        <w:t>21</w:t>
      </w:r>
      <w:r w:rsidRPr="00A85C5A">
        <w:rPr>
          <w:bCs/>
          <w:lang w:eastAsia="en-US"/>
        </w:rPr>
        <w:t>(2), 203–209. doi:10.1080/14756360500535229</w:t>
      </w:r>
    </w:p>
    <w:p w:rsidR="00473666" w:rsidRPr="00A85C5A" w:rsidRDefault="00F040EE" w:rsidP="00473666">
      <w:pPr>
        <w:overflowPunct w:val="0"/>
        <w:autoSpaceDE w:val="0"/>
        <w:autoSpaceDN w:val="0"/>
        <w:adjustRightInd w:val="0"/>
        <w:jc w:val="both"/>
        <w:textAlignment w:val="baseline"/>
        <w:rPr>
          <w:rFonts w:eastAsia="AdvGulliv-R"/>
          <w:bCs/>
          <w:lang w:val="en-IN" w:eastAsia="en-US"/>
        </w:rPr>
      </w:pPr>
      <w:r w:rsidRPr="00A85C5A">
        <w:rPr>
          <w:rFonts w:eastAsia="AdvGulliv-R"/>
          <w:bCs/>
          <w:lang w:val="en-IN" w:eastAsia="en-US"/>
        </w:rPr>
        <w:t xml:space="preserve">Raman, N., Kulandaisami, A., </w:t>
      </w:r>
      <w:r w:rsidR="00473666" w:rsidRPr="00A85C5A">
        <w:rPr>
          <w:rFonts w:eastAsia="AdvGulliv-R"/>
          <w:bCs/>
          <w:lang w:val="en-IN" w:eastAsia="en-US"/>
        </w:rPr>
        <w:t xml:space="preserve">Shunmugasundaram, A., &amp; Jeyasubramanian, K. </w:t>
      </w:r>
    </w:p>
    <w:p w:rsidR="00473666" w:rsidRPr="00A85C5A" w:rsidRDefault="00473666" w:rsidP="00473666">
      <w:pPr>
        <w:overflowPunct w:val="0"/>
        <w:autoSpaceDE w:val="0"/>
        <w:autoSpaceDN w:val="0"/>
        <w:adjustRightInd w:val="0"/>
        <w:ind w:left="720"/>
        <w:jc w:val="both"/>
        <w:textAlignment w:val="baseline"/>
        <w:rPr>
          <w:rFonts w:eastAsia="AdvGulliv-R"/>
          <w:bCs/>
          <w:lang w:val="en-IN" w:eastAsia="en-US"/>
        </w:rPr>
      </w:pPr>
      <w:r w:rsidRPr="00A85C5A">
        <w:rPr>
          <w:rFonts w:eastAsia="AdvGulliv-R"/>
          <w:bCs/>
          <w:lang w:val="en-IN" w:eastAsia="en-US"/>
        </w:rPr>
        <w:t>(2001)</w:t>
      </w:r>
      <w:r w:rsidRPr="00A85C5A">
        <w:rPr>
          <w:bCs/>
          <w:lang w:eastAsia="en-US"/>
        </w:rPr>
        <w:t xml:space="preserve">. </w:t>
      </w:r>
      <w:r w:rsidRPr="00A85C5A">
        <w:rPr>
          <w:rFonts w:eastAsia="AdvGulliv-R"/>
          <w:bCs/>
          <w:lang w:val="en-IN" w:eastAsia="en-US"/>
        </w:rPr>
        <w:t xml:space="preserve">Synthesis, spectral, redox and antimicrobial activities of Schiff base complexes derived from 1-phenyl-2,3-dimethyl-4-aminopyrazol-5-one and acetoacetanilide. </w:t>
      </w:r>
      <w:r w:rsidRPr="00A85C5A">
        <w:rPr>
          <w:rFonts w:eastAsia="AdvGulliv-R"/>
          <w:bCs/>
          <w:i/>
          <w:iCs/>
          <w:lang w:val="en-IN" w:eastAsia="en-US"/>
        </w:rPr>
        <w:t>Transition Metal Chemistry</w:t>
      </w:r>
      <w:r w:rsidRPr="00A85C5A">
        <w:rPr>
          <w:rFonts w:eastAsia="AdvGulliv-R"/>
          <w:bCs/>
          <w:lang w:val="en-IN" w:eastAsia="en-US"/>
        </w:rPr>
        <w:t xml:space="preserve">, </w:t>
      </w:r>
      <w:r w:rsidRPr="00A85C5A">
        <w:rPr>
          <w:rFonts w:eastAsia="AdvGulliv-R"/>
          <w:bCs/>
          <w:i/>
          <w:iCs/>
          <w:lang w:val="en-IN" w:eastAsia="en-US"/>
        </w:rPr>
        <w:t>26</w:t>
      </w:r>
      <w:r w:rsidRPr="00A85C5A">
        <w:rPr>
          <w:rFonts w:eastAsia="AdvGulliv-R"/>
          <w:bCs/>
          <w:lang w:val="en-IN" w:eastAsia="en-US"/>
        </w:rPr>
        <w:t>(1/2), 131–135. doi:10.1023/A:1007100815918</w:t>
      </w:r>
    </w:p>
    <w:p w:rsidR="00473666" w:rsidRPr="00A85C5A" w:rsidRDefault="00473666" w:rsidP="00473666">
      <w:pPr>
        <w:overflowPunct w:val="0"/>
        <w:autoSpaceDE w:val="0"/>
        <w:autoSpaceDN w:val="0"/>
        <w:adjustRightInd w:val="0"/>
        <w:jc w:val="both"/>
        <w:textAlignment w:val="baseline"/>
        <w:rPr>
          <w:bCs/>
          <w:lang w:eastAsia="en-US"/>
        </w:rPr>
      </w:pPr>
      <w:r w:rsidRPr="00A85C5A">
        <w:rPr>
          <w:bCs/>
          <w:lang w:eastAsia="en-US"/>
        </w:rPr>
        <w:t>Shakir, M., Abbasi, A., Azam, M.,</w:t>
      </w:r>
      <w:r w:rsidRPr="00A85C5A">
        <w:rPr>
          <w:bCs/>
          <w:lang w:val="en-IN" w:eastAsia="en-US"/>
        </w:rPr>
        <w:t xml:space="preserve"> &amp;</w:t>
      </w:r>
      <w:r w:rsidRPr="00A85C5A">
        <w:rPr>
          <w:bCs/>
          <w:lang w:eastAsia="en-US"/>
        </w:rPr>
        <w:t xml:space="preserve"> Khan, A. U. (2011). Synthesis, spectroscopic </w:t>
      </w:r>
    </w:p>
    <w:p w:rsidR="00473666" w:rsidRPr="00A85C5A" w:rsidRDefault="00473666" w:rsidP="00473666">
      <w:pPr>
        <w:overflowPunct w:val="0"/>
        <w:autoSpaceDE w:val="0"/>
        <w:autoSpaceDN w:val="0"/>
        <w:adjustRightInd w:val="0"/>
        <w:ind w:left="720"/>
        <w:jc w:val="both"/>
        <w:textAlignment w:val="baseline"/>
        <w:rPr>
          <w:bCs/>
          <w:lang w:eastAsia="en-US"/>
        </w:rPr>
      </w:pPr>
      <w:r w:rsidRPr="00A85C5A">
        <w:rPr>
          <w:bCs/>
          <w:lang w:eastAsia="en-US"/>
        </w:rPr>
        <w:t xml:space="preserve">studies and crystal structure of the Schiff base ligand L derived from condensation of 2- thiophenecarboxaldehyde and 3,3′-diaminobenzidine and its complexes with Co(II), Ni(II), Cu(II), Cd(II) and Hg(II): Comparative DNA binding studies of L and its Co(II), Ni(II) and Cu(II) complexes. </w:t>
      </w:r>
      <w:r w:rsidRPr="00A85C5A">
        <w:rPr>
          <w:bCs/>
          <w:i/>
          <w:iCs/>
          <w:lang w:eastAsia="en-US"/>
        </w:rPr>
        <w:t>Spectrochimica Acta Part A: Molecular and Biomolecular Spectroscopy,</w:t>
      </w:r>
      <w:r w:rsidRPr="00A85C5A">
        <w:rPr>
          <w:bCs/>
          <w:lang w:eastAsia="en-US"/>
        </w:rPr>
        <w:t xml:space="preserve"> </w:t>
      </w:r>
      <w:r w:rsidRPr="00A85C5A">
        <w:rPr>
          <w:bCs/>
          <w:i/>
          <w:iCs/>
          <w:lang w:eastAsia="en-US"/>
        </w:rPr>
        <w:t>79</w:t>
      </w:r>
      <w:r w:rsidRPr="00A85C5A">
        <w:rPr>
          <w:bCs/>
          <w:lang w:eastAsia="en-US"/>
        </w:rPr>
        <w:t>(5), 1866–1875, doi:10.1016/j.saa.2011.05.077</w:t>
      </w:r>
    </w:p>
    <w:p w:rsidR="000D3C4E" w:rsidRPr="00A85C5A" w:rsidRDefault="000D3C4E" w:rsidP="000D3C4E">
      <w:pPr>
        <w:overflowPunct w:val="0"/>
        <w:autoSpaceDE w:val="0"/>
        <w:autoSpaceDN w:val="0"/>
        <w:adjustRightInd w:val="0"/>
        <w:jc w:val="both"/>
        <w:textAlignment w:val="baseline"/>
        <w:rPr>
          <w:bCs/>
          <w:lang w:eastAsia="en-US"/>
        </w:rPr>
      </w:pPr>
      <w:r w:rsidRPr="00A85C5A">
        <w:rPr>
          <w:bCs/>
          <w:lang w:eastAsia="en-US"/>
        </w:rPr>
        <w:lastRenderedPageBreak/>
        <w:t xml:space="preserve">Sharma, A. L., Singh, I. O., Singh, H. R., Kadam, R. M., Bhide, M. K., </w:t>
      </w:r>
      <w:r w:rsidRPr="00A85C5A">
        <w:rPr>
          <w:bCs/>
          <w:lang w:val="en-IN" w:eastAsia="en-US"/>
        </w:rPr>
        <w:t xml:space="preserve">&amp; </w:t>
      </w:r>
      <w:r w:rsidRPr="00A85C5A">
        <w:rPr>
          <w:bCs/>
          <w:lang w:eastAsia="en-US"/>
        </w:rPr>
        <w:t xml:space="preserve">Sastry, M. D. </w:t>
      </w:r>
    </w:p>
    <w:p w:rsidR="000D3C4E" w:rsidRPr="00A85C5A" w:rsidRDefault="000D3C4E" w:rsidP="000D3C4E">
      <w:pPr>
        <w:overflowPunct w:val="0"/>
        <w:autoSpaceDE w:val="0"/>
        <w:autoSpaceDN w:val="0"/>
        <w:adjustRightInd w:val="0"/>
        <w:ind w:left="720"/>
        <w:jc w:val="both"/>
        <w:textAlignment w:val="baseline"/>
        <w:rPr>
          <w:bCs/>
          <w:lang w:eastAsia="en-US"/>
        </w:rPr>
      </w:pPr>
      <w:r w:rsidRPr="00A85C5A">
        <w:rPr>
          <w:bCs/>
          <w:lang w:eastAsia="en-US"/>
        </w:rPr>
        <w:t xml:space="preserve">(2001). EPR studies on dichloromono(1-phenylamidino-o-alkylurea)copper(II) complexes. Evidence for field induced partial ordering in the solid state and some unusual features in solution. </w:t>
      </w:r>
      <w:r w:rsidRPr="00A85C5A">
        <w:rPr>
          <w:bCs/>
          <w:i/>
          <w:iCs/>
          <w:lang w:eastAsia="en-US"/>
        </w:rPr>
        <w:t>Transition Metal Chemistry,</w:t>
      </w:r>
      <w:r w:rsidRPr="00A85C5A">
        <w:rPr>
          <w:bCs/>
          <w:lang w:eastAsia="en-US"/>
        </w:rPr>
        <w:t xml:space="preserve"> 26(4/5), 532–537. doi:10.1023/A:1011063631998</w:t>
      </w:r>
    </w:p>
    <w:p w:rsidR="000D3C4E" w:rsidRPr="00A85C5A" w:rsidRDefault="000D3C4E" w:rsidP="000D3C4E">
      <w:pPr>
        <w:overflowPunct w:val="0"/>
        <w:autoSpaceDE w:val="0"/>
        <w:autoSpaceDN w:val="0"/>
        <w:adjustRightInd w:val="0"/>
        <w:jc w:val="both"/>
        <w:textAlignment w:val="baseline"/>
        <w:rPr>
          <w:bCs/>
          <w:lang w:eastAsia="en-US"/>
        </w:rPr>
      </w:pPr>
      <w:r w:rsidRPr="00A85C5A">
        <w:rPr>
          <w:bCs/>
          <w:lang w:eastAsia="en-US"/>
        </w:rPr>
        <w:t xml:space="preserve">Singh, A. K., Pandey, O. P., </w:t>
      </w:r>
      <w:r w:rsidRPr="00A85C5A">
        <w:rPr>
          <w:bCs/>
          <w:lang w:val="en-IN" w:eastAsia="en-US"/>
        </w:rPr>
        <w:t xml:space="preserve">&amp; </w:t>
      </w:r>
      <w:r w:rsidRPr="00A85C5A">
        <w:rPr>
          <w:bCs/>
          <w:lang w:eastAsia="en-US"/>
        </w:rPr>
        <w:t xml:space="preserve">Sengupta, S. K. (2012). Synthesis, spectral </w:t>
      </w:r>
    </w:p>
    <w:p w:rsidR="000D3C4E" w:rsidRPr="00A85C5A" w:rsidRDefault="000D3C4E" w:rsidP="000D3C4E">
      <w:pPr>
        <w:overflowPunct w:val="0"/>
        <w:autoSpaceDE w:val="0"/>
        <w:autoSpaceDN w:val="0"/>
        <w:adjustRightInd w:val="0"/>
        <w:ind w:left="720"/>
        <w:jc w:val="both"/>
        <w:textAlignment w:val="baseline"/>
        <w:rPr>
          <w:bCs/>
          <w:lang w:eastAsia="en-US"/>
        </w:rPr>
      </w:pPr>
      <w:r w:rsidRPr="00A85C5A">
        <w:rPr>
          <w:bCs/>
          <w:lang w:eastAsia="en-US"/>
        </w:rPr>
        <w:t xml:space="preserve">characterization and biological activity of zinc(II) complexes with 3-substituted phenyl-4-amino-5-hydrazino-1, 2,4-triazole Schiff bases. </w:t>
      </w:r>
      <w:r w:rsidRPr="00A85C5A">
        <w:rPr>
          <w:bCs/>
          <w:i/>
          <w:iCs/>
          <w:lang w:eastAsia="en-US"/>
        </w:rPr>
        <w:t>Spectrochimica Acta Part A: Molecular and Biomolecular Spectroscopy, 85</w:t>
      </w:r>
      <w:r w:rsidRPr="00A85C5A">
        <w:rPr>
          <w:bCs/>
          <w:lang w:eastAsia="en-US"/>
        </w:rPr>
        <w:t>, 1–6. doi:10.1016/j.saa.2011.08.019</w:t>
      </w:r>
    </w:p>
    <w:p w:rsidR="002161DC" w:rsidRPr="00A85C5A" w:rsidRDefault="002161DC" w:rsidP="002161DC">
      <w:pPr>
        <w:overflowPunct w:val="0"/>
        <w:autoSpaceDE w:val="0"/>
        <w:autoSpaceDN w:val="0"/>
        <w:adjustRightInd w:val="0"/>
        <w:jc w:val="both"/>
        <w:textAlignment w:val="baseline"/>
        <w:rPr>
          <w:bCs/>
          <w:lang w:eastAsia="en-US"/>
        </w:rPr>
      </w:pPr>
      <w:r w:rsidRPr="00A85C5A">
        <w:rPr>
          <w:bCs/>
          <w:lang w:eastAsia="en-US"/>
        </w:rPr>
        <w:t xml:space="preserve">Singh, S. S. (1969). Infrared Spectra of 1:10 Phenanthroline and its addition compounds </w:t>
      </w:r>
    </w:p>
    <w:p w:rsidR="002161DC" w:rsidRPr="00A85C5A" w:rsidRDefault="002161DC" w:rsidP="002161DC">
      <w:pPr>
        <w:overflowPunct w:val="0"/>
        <w:autoSpaceDE w:val="0"/>
        <w:autoSpaceDN w:val="0"/>
        <w:adjustRightInd w:val="0"/>
        <w:ind w:left="720"/>
        <w:jc w:val="both"/>
        <w:textAlignment w:val="baseline"/>
        <w:rPr>
          <w:bCs/>
          <w:lang w:eastAsia="en-US"/>
        </w:rPr>
      </w:pPr>
      <w:r w:rsidRPr="00A85C5A">
        <w:rPr>
          <w:bCs/>
          <w:lang w:eastAsia="en-US"/>
        </w:rPr>
        <w:t xml:space="preserve">with antimony trichloride and antimony pentachloride. </w:t>
      </w:r>
      <w:r w:rsidRPr="00A85C5A">
        <w:rPr>
          <w:bCs/>
          <w:i/>
          <w:iCs/>
          <w:lang w:eastAsia="en-US"/>
        </w:rPr>
        <w:t>zeitschrift für naturforschung A</w:t>
      </w:r>
      <w:r w:rsidRPr="00A85C5A">
        <w:rPr>
          <w:bCs/>
          <w:lang w:eastAsia="en-US"/>
        </w:rPr>
        <w:t xml:space="preserve">, </w:t>
      </w:r>
      <w:r w:rsidRPr="00A85C5A">
        <w:rPr>
          <w:bCs/>
          <w:i/>
          <w:iCs/>
          <w:lang w:eastAsia="en-US"/>
        </w:rPr>
        <w:t>24</w:t>
      </w:r>
      <w:r w:rsidRPr="00A85C5A">
        <w:rPr>
          <w:bCs/>
          <w:lang w:eastAsia="en-US"/>
        </w:rPr>
        <w:t>(12). 2015–2016. doi:10.1515/zna-1969-1227</w:t>
      </w:r>
    </w:p>
    <w:p w:rsidR="005F6037" w:rsidRPr="00A85C5A" w:rsidRDefault="005F6037" w:rsidP="005F6037">
      <w:pPr>
        <w:overflowPunct w:val="0"/>
        <w:autoSpaceDE w:val="0"/>
        <w:autoSpaceDN w:val="0"/>
        <w:adjustRightInd w:val="0"/>
        <w:jc w:val="both"/>
        <w:textAlignment w:val="baseline"/>
        <w:rPr>
          <w:bCs/>
          <w:lang w:eastAsia="en-US"/>
        </w:rPr>
      </w:pPr>
      <w:r w:rsidRPr="00A85C5A">
        <w:rPr>
          <w:bCs/>
          <w:lang w:eastAsia="en-US"/>
        </w:rPr>
        <w:t>Shyamala, A.,</w:t>
      </w:r>
      <w:r w:rsidRPr="00A85C5A">
        <w:rPr>
          <w:bCs/>
          <w:lang w:val="en-IN" w:eastAsia="en-US"/>
        </w:rPr>
        <w:t xml:space="preserve"> &amp;</w:t>
      </w:r>
      <w:r w:rsidRPr="00A85C5A">
        <w:rPr>
          <w:bCs/>
          <w:lang w:eastAsia="en-US"/>
        </w:rPr>
        <w:t xml:space="preserve"> Chakravarty, A. R. (1993). Synthesis, structure and electrochemical </w:t>
      </w:r>
    </w:p>
    <w:p w:rsidR="005F6037" w:rsidRPr="00A85C5A" w:rsidRDefault="005F6037" w:rsidP="005F6037">
      <w:pPr>
        <w:overflowPunct w:val="0"/>
        <w:autoSpaceDE w:val="0"/>
        <w:autoSpaceDN w:val="0"/>
        <w:adjustRightInd w:val="0"/>
        <w:ind w:left="720"/>
        <w:jc w:val="both"/>
        <w:textAlignment w:val="baseline"/>
        <w:rPr>
          <w:bCs/>
          <w:lang w:eastAsia="en-US"/>
        </w:rPr>
      </w:pPr>
      <w:r w:rsidRPr="00A85C5A">
        <w:rPr>
          <w:bCs/>
          <w:lang w:eastAsia="en-US"/>
        </w:rPr>
        <w:t xml:space="preserve">properties of complexes with a (μ-oxo)bis-(μ-carboxylato)diruthenium(III) core. </w:t>
      </w:r>
      <w:r w:rsidRPr="00A85C5A">
        <w:rPr>
          <w:bCs/>
          <w:i/>
          <w:iCs/>
          <w:lang w:eastAsia="en-US"/>
        </w:rPr>
        <w:t>Polyhedron</w:t>
      </w:r>
      <w:r w:rsidRPr="00A85C5A">
        <w:rPr>
          <w:bCs/>
          <w:lang w:eastAsia="en-US"/>
        </w:rPr>
        <w:t xml:space="preserve">, </w:t>
      </w:r>
      <w:r w:rsidRPr="00A85C5A">
        <w:rPr>
          <w:bCs/>
          <w:i/>
          <w:iCs/>
          <w:lang w:eastAsia="en-US"/>
        </w:rPr>
        <w:t>12</w:t>
      </w:r>
      <w:r w:rsidRPr="00A85C5A">
        <w:rPr>
          <w:bCs/>
          <w:lang w:eastAsia="en-US"/>
        </w:rPr>
        <w:t xml:space="preserve"> (12), 1545–1552. doi:10.1016/S0277-5387(00)84597-0</w:t>
      </w:r>
    </w:p>
    <w:p w:rsidR="005F6037" w:rsidRPr="00A85C5A" w:rsidRDefault="005F6037" w:rsidP="005F6037">
      <w:pPr>
        <w:overflowPunct w:val="0"/>
        <w:autoSpaceDE w:val="0"/>
        <w:autoSpaceDN w:val="0"/>
        <w:adjustRightInd w:val="0"/>
        <w:jc w:val="both"/>
        <w:textAlignment w:val="baseline"/>
        <w:rPr>
          <w:bCs/>
          <w:i/>
          <w:iCs/>
          <w:lang w:eastAsia="en-US"/>
        </w:rPr>
      </w:pPr>
      <w:r w:rsidRPr="00A85C5A">
        <w:rPr>
          <w:bCs/>
          <w:lang w:eastAsia="en-US"/>
        </w:rPr>
        <w:t xml:space="preserve">Syamal, A. (1985). Some improper terms in coordination chemistry. </w:t>
      </w:r>
      <w:r w:rsidRPr="00A85C5A">
        <w:rPr>
          <w:bCs/>
          <w:i/>
          <w:iCs/>
          <w:lang w:eastAsia="en-US"/>
        </w:rPr>
        <w:t xml:space="preserve">Journal of Chemical </w:t>
      </w:r>
    </w:p>
    <w:p w:rsidR="005F6037" w:rsidRPr="00A85C5A" w:rsidRDefault="005F6037" w:rsidP="005F6037">
      <w:pPr>
        <w:overflowPunct w:val="0"/>
        <w:autoSpaceDE w:val="0"/>
        <w:autoSpaceDN w:val="0"/>
        <w:adjustRightInd w:val="0"/>
        <w:ind w:firstLine="720"/>
        <w:jc w:val="both"/>
        <w:textAlignment w:val="baseline"/>
        <w:rPr>
          <w:bCs/>
          <w:lang w:eastAsia="en-US"/>
        </w:rPr>
      </w:pPr>
      <w:r w:rsidRPr="00A85C5A">
        <w:rPr>
          <w:bCs/>
          <w:i/>
          <w:iCs/>
          <w:lang w:eastAsia="en-US"/>
        </w:rPr>
        <w:t>Education, 62</w:t>
      </w:r>
      <w:r w:rsidRPr="00A85C5A">
        <w:rPr>
          <w:bCs/>
          <w:lang w:eastAsia="en-US"/>
        </w:rPr>
        <w:t>(2), 143. doi:10.1021/ed062p143</w:t>
      </w:r>
    </w:p>
    <w:p w:rsidR="00540C65" w:rsidRPr="00A85C5A" w:rsidRDefault="00540C65" w:rsidP="00926D3D">
      <w:pPr>
        <w:overflowPunct w:val="0"/>
        <w:autoSpaceDE w:val="0"/>
        <w:autoSpaceDN w:val="0"/>
        <w:adjustRightInd w:val="0"/>
        <w:spacing w:line="240" w:lineRule="auto"/>
        <w:contextualSpacing/>
        <w:jc w:val="both"/>
        <w:textAlignment w:val="baseline"/>
        <w:rPr>
          <w:b/>
          <w:bCs/>
          <w:lang w:eastAsia="en-US"/>
        </w:rPr>
      </w:pPr>
    </w:p>
    <w:p w:rsidR="00CC0E4C" w:rsidRPr="00A85C5A" w:rsidRDefault="00CC0E4C" w:rsidP="00926D3D">
      <w:pPr>
        <w:overflowPunct w:val="0"/>
        <w:autoSpaceDE w:val="0"/>
        <w:autoSpaceDN w:val="0"/>
        <w:adjustRightInd w:val="0"/>
        <w:spacing w:line="240" w:lineRule="auto"/>
        <w:contextualSpacing/>
        <w:jc w:val="both"/>
        <w:textAlignment w:val="baseline"/>
        <w:rPr>
          <w:b/>
          <w:bCs/>
          <w:lang w:eastAsia="en-US"/>
        </w:rPr>
      </w:pPr>
    </w:p>
    <w:p w:rsidR="00765217" w:rsidRPr="00A85C5A" w:rsidRDefault="00765217" w:rsidP="00926D3D">
      <w:pPr>
        <w:overflowPunct w:val="0"/>
        <w:autoSpaceDE w:val="0"/>
        <w:autoSpaceDN w:val="0"/>
        <w:adjustRightInd w:val="0"/>
        <w:spacing w:line="240" w:lineRule="auto"/>
        <w:contextualSpacing/>
        <w:jc w:val="both"/>
        <w:textAlignment w:val="baseline"/>
        <w:rPr>
          <w:b/>
          <w:bCs/>
          <w:lang w:eastAsia="en-US"/>
        </w:rPr>
      </w:pPr>
    </w:p>
    <w:p w:rsidR="00196C35" w:rsidRPr="00A85C5A" w:rsidRDefault="00196C35" w:rsidP="00926D3D">
      <w:pPr>
        <w:overflowPunct w:val="0"/>
        <w:autoSpaceDE w:val="0"/>
        <w:autoSpaceDN w:val="0"/>
        <w:adjustRightInd w:val="0"/>
        <w:spacing w:line="240" w:lineRule="auto"/>
        <w:contextualSpacing/>
        <w:jc w:val="both"/>
        <w:textAlignment w:val="baseline"/>
        <w:rPr>
          <w:b/>
          <w:bCs/>
          <w:lang w:eastAsia="en-US"/>
        </w:rPr>
      </w:pPr>
    </w:p>
    <w:p w:rsidR="00196C35" w:rsidRPr="00A85C5A" w:rsidRDefault="00196C35" w:rsidP="00926D3D">
      <w:pPr>
        <w:overflowPunct w:val="0"/>
        <w:autoSpaceDE w:val="0"/>
        <w:autoSpaceDN w:val="0"/>
        <w:adjustRightInd w:val="0"/>
        <w:spacing w:line="240" w:lineRule="auto"/>
        <w:contextualSpacing/>
        <w:jc w:val="both"/>
        <w:textAlignment w:val="baseline"/>
        <w:rPr>
          <w:b/>
          <w:bCs/>
          <w:lang w:eastAsia="en-US"/>
        </w:rPr>
      </w:pPr>
    </w:p>
    <w:p w:rsidR="00196C35" w:rsidRPr="00A85C5A" w:rsidRDefault="00196C35" w:rsidP="00926D3D">
      <w:pPr>
        <w:overflowPunct w:val="0"/>
        <w:autoSpaceDE w:val="0"/>
        <w:autoSpaceDN w:val="0"/>
        <w:adjustRightInd w:val="0"/>
        <w:spacing w:line="240" w:lineRule="auto"/>
        <w:contextualSpacing/>
        <w:jc w:val="both"/>
        <w:textAlignment w:val="baseline"/>
        <w:rPr>
          <w:b/>
          <w:bCs/>
          <w:lang w:eastAsia="en-US"/>
        </w:rPr>
      </w:pPr>
    </w:p>
    <w:p w:rsidR="00196C35" w:rsidRPr="00A85C5A" w:rsidRDefault="00196C35" w:rsidP="00926D3D">
      <w:pPr>
        <w:overflowPunct w:val="0"/>
        <w:autoSpaceDE w:val="0"/>
        <w:autoSpaceDN w:val="0"/>
        <w:adjustRightInd w:val="0"/>
        <w:spacing w:line="240" w:lineRule="auto"/>
        <w:contextualSpacing/>
        <w:jc w:val="both"/>
        <w:textAlignment w:val="baseline"/>
        <w:rPr>
          <w:b/>
          <w:bCs/>
          <w:lang w:eastAsia="en-US"/>
        </w:rPr>
      </w:pPr>
    </w:p>
    <w:p w:rsidR="00196C35" w:rsidRPr="00A85C5A" w:rsidRDefault="00196C35" w:rsidP="00926D3D">
      <w:pPr>
        <w:overflowPunct w:val="0"/>
        <w:autoSpaceDE w:val="0"/>
        <w:autoSpaceDN w:val="0"/>
        <w:adjustRightInd w:val="0"/>
        <w:spacing w:line="240" w:lineRule="auto"/>
        <w:contextualSpacing/>
        <w:jc w:val="both"/>
        <w:textAlignment w:val="baseline"/>
        <w:rPr>
          <w:b/>
          <w:bCs/>
          <w:lang w:eastAsia="en-US"/>
        </w:rPr>
      </w:pPr>
    </w:p>
    <w:p w:rsidR="00196C35" w:rsidRPr="00A85C5A" w:rsidRDefault="00196C35" w:rsidP="00926D3D">
      <w:pPr>
        <w:overflowPunct w:val="0"/>
        <w:autoSpaceDE w:val="0"/>
        <w:autoSpaceDN w:val="0"/>
        <w:adjustRightInd w:val="0"/>
        <w:spacing w:line="240" w:lineRule="auto"/>
        <w:contextualSpacing/>
        <w:jc w:val="both"/>
        <w:textAlignment w:val="baseline"/>
        <w:rPr>
          <w:b/>
          <w:bCs/>
          <w:lang w:eastAsia="en-US"/>
        </w:rPr>
      </w:pPr>
    </w:p>
    <w:p w:rsidR="00196C35" w:rsidRPr="00A85C5A" w:rsidRDefault="00196C35" w:rsidP="00926D3D">
      <w:pPr>
        <w:overflowPunct w:val="0"/>
        <w:autoSpaceDE w:val="0"/>
        <w:autoSpaceDN w:val="0"/>
        <w:adjustRightInd w:val="0"/>
        <w:spacing w:line="240" w:lineRule="auto"/>
        <w:contextualSpacing/>
        <w:jc w:val="both"/>
        <w:textAlignment w:val="baseline"/>
        <w:rPr>
          <w:b/>
          <w:bCs/>
          <w:lang w:eastAsia="en-US"/>
        </w:rPr>
      </w:pPr>
    </w:p>
    <w:p w:rsidR="00196C35" w:rsidRPr="00A85C5A" w:rsidRDefault="00196C35" w:rsidP="00926D3D">
      <w:pPr>
        <w:overflowPunct w:val="0"/>
        <w:autoSpaceDE w:val="0"/>
        <w:autoSpaceDN w:val="0"/>
        <w:adjustRightInd w:val="0"/>
        <w:spacing w:line="240" w:lineRule="auto"/>
        <w:contextualSpacing/>
        <w:jc w:val="both"/>
        <w:textAlignment w:val="baseline"/>
        <w:rPr>
          <w:b/>
          <w:bCs/>
          <w:lang w:eastAsia="en-US"/>
        </w:rPr>
      </w:pPr>
    </w:p>
    <w:p w:rsidR="00196C35" w:rsidRPr="00A85C5A" w:rsidRDefault="00196C35" w:rsidP="00926D3D">
      <w:pPr>
        <w:overflowPunct w:val="0"/>
        <w:autoSpaceDE w:val="0"/>
        <w:autoSpaceDN w:val="0"/>
        <w:adjustRightInd w:val="0"/>
        <w:spacing w:line="240" w:lineRule="auto"/>
        <w:contextualSpacing/>
        <w:jc w:val="both"/>
        <w:textAlignment w:val="baseline"/>
        <w:rPr>
          <w:b/>
          <w:bCs/>
          <w:lang w:eastAsia="en-US"/>
        </w:rPr>
      </w:pPr>
    </w:p>
    <w:p w:rsidR="00196C35" w:rsidRPr="00A85C5A" w:rsidRDefault="00196C35" w:rsidP="00926D3D">
      <w:pPr>
        <w:overflowPunct w:val="0"/>
        <w:autoSpaceDE w:val="0"/>
        <w:autoSpaceDN w:val="0"/>
        <w:adjustRightInd w:val="0"/>
        <w:spacing w:line="240" w:lineRule="auto"/>
        <w:contextualSpacing/>
        <w:jc w:val="both"/>
        <w:textAlignment w:val="baseline"/>
        <w:rPr>
          <w:b/>
          <w:bCs/>
          <w:lang w:eastAsia="en-US"/>
        </w:rPr>
      </w:pPr>
    </w:p>
    <w:p w:rsidR="00196C35" w:rsidRPr="00A85C5A" w:rsidRDefault="00196C35" w:rsidP="00926D3D">
      <w:pPr>
        <w:overflowPunct w:val="0"/>
        <w:autoSpaceDE w:val="0"/>
        <w:autoSpaceDN w:val="0"/>
        <w:adjustRightInd w:val="0"/>
        <w:spacing w:line="240" w:lineRule="auto"/>
        <w:contextualSpacing/>
        <w:jc w:val="both"/>
        <w:textAlignment w:val="baseline"/>
        <w:rPr>
          <w:b/>
          <w:bCs/>
          <w:lang w:eastAsia="en-US"/>
        </w:rPr>
      </w:pPr>
    </w:p>
    <w:p w:rsidR="00810656" w:rsidRPr="00A85C5A" w:rsidRDefault="00810656" w:rsidP="00926D3D">
      <w:pPr>
        <w:overflowPunct w:val="0"/>
        <w:autoSpaceDE w:val="0"/>
        <w:autoSpaceDN w:val="0"/>
        <w:adjustRightInd w:val="0"/>
        <w:spacing w:line="240" w:lineRule="auto"/>
        <w:contextualSpacing/>
        <w:jc w:val="both"/>
        <w:textAlignment w:val="baseline"/>
        <w:rPr>
          <w:b/>
          <w:bCs/>
          <w:lang w:eastAsia="en-US"/>
        </w:rPr>
      </w:pPr>
    </w:p>
    <w:tbl>
      <w:tblPr>
        <w:tblStyle w:val="TableGrid253"/>
        <w:tblW w:w="8291"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99"/>
        <w:gridCol w:w="7492"/>
      </w:tblGrid>
      <w:tr w:rsidR="00926D3D" w:rsidRPr="00A85C5A" w:rsidTr="00E67603">
        <w:trPr>
          <w:trHeight w:val="342"/>
          <w:jc w:val="center"/>
        </w:trPr>
        <w:tc>
          <w:tcPr>
            <w:tcW w:w="799" w:type="dxa"/>
            <w:tcBorders>
              <w:top w:val="nil"/>
              <w:bottom w:val="nil"/>
            </w:tcBorders>
            <w:vAlign w:val="center"/>
          </w:tcPr>
          <w:p w:rsidR="00926D3D" w:rsidRPr="00A85C5A" w:rsidRDefault="00926D3D" w:rsidP="004C5F2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
                <w:sz w:val="24"/>
                <w:szCs w:val="24"/>
              </w:rPr>
              <w:t>S.No</w:t>
            </w:r>
          </w:p>
        </w:tc>
        <w:tc>
          <w:tcPr>
            <w:tcW w:w="7492" w:type="dxa"/>
            <w:tcBorders>
              <w:top w:val="nil"/>
              <w:bottom w:val="nil"/>
            </w:tcBorders>
            <w:vAlign w:val="center"/>
          </w:tcPr>
          <w:p w:rsidR="00926D3D" w:rsidRPr="00A85C5A" w:rsidRDefault="00926D3D" w:rsidP="004C5F21">
            <w:pPr>
              <w:overflowPunct w:val="0"/>
              <w:autoSpaceDE w:val="0"/>
              <w:autoSpaceDN w:val="0"/>
              <w:adjustRightInd w:val="0"/>
              <w:spacing w:line="240" w:lineRule="auto"/>
              <w:jc w:val="center"/>
              <w:textAlignment w:val="baseline"/>
              <w:rPr>
                <w:rFonts w:ascii="Times New Roman" w:hAnsi="Times New Roman" w:cs="Times New Roman"/>
                <w:bCs/>
                <w:sz w:val="24"/>
                <w:szCs w:val="24"/>
              </w:rPr>
            </w:pPr>
            <w:r w:rsidRPr="00A85C5A">
              <w:rPr>
                <w:rFonts w:ascii="Times New Roman" w:hAnsi="Times New Roman" w:cs="Times New Roman"/>
                <w:b/>
                <w:bCs/>
                <w:sz w:val="24"/>
                <w:szCs w:val="24"/>
              </w:rPr>
              <w:t xml:space="preserve">Supplementary Data </w:t>
            </w:r>
            <w:r w:rsidRPr="00A85C5A">
              <w:rPr>
                <w:rFonts w:ascii="Times New Roman" w:hAnsi="Times New Roman" w:cs="Times New Roman"/>
                <w:sz w:val="24"/>
                <w:szCs w:val="24"/>
              </w:rPr>
              <w:t>–</w:t>
            </w:r>
            <w:r w:rsidRPr="00A85C5A">
              <w:rPr>
                <w:rFonts w:ascii="Times New Roman" w:hAnsi="Times New Roman" w:cs="Times New Roman"/>
                <w:b/>
                <w:sz w:val="24"/>
                <w:szCs w:val="24"/>
              </w:rPr>
              <w:t>Table Captions</w:t>
            </w:r>
          </w:p>
        </w:tc>
      </w:tr>
      <w:tr w:rsidR="00171A26" w:rsidRPr="00A85C5A" w:rsidTr="00E67603">
        <w:trPr>
          <w:trHeight w:val="342"/>
          <w:jc w:val="center"/>
        </w:trPr>
        <w:tc>
          <w:tcPr>
            <w:tcW w:w="799" w:type="dxa"/>
            <w:tcBorders>
              <w:top w:val="nil"/>
              <w:bottom w:val="nil"/>
            </w:tcBorders>
            <w:vAlign w:val="center"/>
          </w:tcPr>
          <w:p w:rsidR="00171A26" w:rsidRPr="00A85C5A" w:rsidRDefault="00171A26" w:rsidP="004C5F2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1</w:t>
            </w:r>
          </w:p>
        </w:tc>
        <w:tc>
          <w:tcPr>
            <w:tcW w:w="7492" w:type="dxa"/>
            <w:tcBorders>
              <w:top w:val="nil"/>
              <w:bottom w:val="nil"/>
            </w:tcBorders>
            <w:vAlign w:val="center"/>
          </w:tcPr>
          <w:p w:rsidR="00171A26" w:rsidRPr="00A85C5A" w:rsidRDefault="00171A26" w:rsidP="00441C44">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A85C5A">
              <w:rPr>
                <w:rFonts w:ascii="Times New Roman" w:hAnsi="Times New Roman" w:cs="Times New Roman"/>
                <w:b/>
                <w:bCs/>
                <w:sz w:val="24"/>
                <w:szCs w:val="24"/>
              </w:rPr>
              <w:t>Table S3</w:t>
            </w:r>
            <w:r w:rsidRPr="00A85C5A">
              <w:rPr>
                <w:rFonts w:ascii="Times New Roman" w:hAnsi="Times New Roman" w:cs="Times New Roman"/>
                <w:sz w:val="24"/>
                <w:szCs w:val="24"/>
              </w:rPr>
              <w:t xml:space="preserve">  Relative specific viscosity </w:t>
            </w:r>
            <w:r w:rsidRPr="00A85C5A">
              <w:rPr>
                <w:rFonts w:ascii="Times New Roman" w:hAnsi="Times New Roman" w:cs="Times New Roman"/>
                <w:i/>
                <w:iCs/>
                <w:sz w:val="24"/>
                <w:szCs w:val="24"/>
              </w:rPr>
              <w:t>vs</w:t>
            </w:r>
            <w:r w:rsidRPr="00A85C5A">
              <w:rPr>
                <w:rFonts w:ascii="Times New Roman" w:hAnsi="Times New Roman" w:cs="Times New Roman"/>
                <w:sz w:val="24"/>
                <w:szCs w:val="24"/>
              </w:rPr>
              <w:t xml:space="preserve">  [Complex] / [DNA]</w:t>
            </w:r>
          </w:p>
        </w:tc>
      </w:tr>
      <w:tr w:rsidR="00171A26" w:rsidRPr="00A85C5A" w:rsidTr="00E67603">
        <w:trPr>
          <w:trHeight w:val="342"/>
          <w:jc w:val="center"/>
        </w:trPr>
        <w:tc>
          <w:tcPr>
            <w:tcW w:w="799" w:type="dxa"/>
            <w:tcBorders>
              <w:top w:val="nil"/>
              <w:bottom w:val="nil"/>
            </w:tcBorders>
            <w:vAlign w:val="center"/>
          </w:tcPr>
          <w:p w:rsidR="00171A26" w:rsidRPr="00A85C5A" w:rsidRDefault="00171A26" w:rsidP="004C5F2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2</w:t>
            </w:r>
          </w:p>
        </w:tc>
        <w:tc>
          <w:tcPr>
            <w:tcW w:w="7492" w:type="dxa"/>
            <w:tcBorders>
              <w:top w:val="nil"/>
              <w:bottom w:val="nil"/>
            </w:tcBorders>
            <w:vAlign w:val="center"/>
          </w:tcPr>
          <w:p w:rsidR="00171A26" w:rsidRPr="00A85C5A" w:rsidRDefault="00171A26" w:rsidP="00441C44">
            <w:pPr>
              <w:overflowPunct w:val="0"/>
              <w:autoSpaceDE w:val="0"/>
              <w:autoSpaceDN w:val="0"/>
              <w:adjustRightInd w:val="0"/>
              <w:spacing w:line="240" w:lineRule="auto"/>
              <w:jc w:val="both"/>
              <w:textAlignment w:val="baseline"/>
              <w:rPr>
                <w:rFonts w:ascii="Times New Roman" w:hAnsi="Times New Roman" w:cs="Times New Roman"/>
                <w:sz w:val="24"/>
                <w:szCs w:val="24"/>
                <w:lang w:eastAsia="en-IN"/>
              </w:rPr>
            </w:pPr>
            <w:r w:rsidRPr="00A85C5A">
              <w:rPr>
                <w:rFonts w:ascii="Times New Roman" w:hAnsi="Times New Roman" w:cs="Times New Roman"/>
                <w:b/>
                <w:bCs/>
                <w:sz w:val="24"/>
                <w:szCs w:val="24"/>
              </w:rPr>
              <w:t xml:space="preserve">Table S4a </w:t>
            </w:r>
            <w:r w:rsidRPr="00A85C5A">
              <w:rPr>
                <w:rFonts w:ascii="Times New Roman" w:hAnsi="Times New Roman" w:cs="Times New Roman"/>
                <w:sz w:val="24"/>
                <w:szCs w:val="24"/>
              </w:rPr>
              <w:t>IC</w:t>
            </w:r>
            <w:r w:rsidRPr="00A85C5A">
              <w:rPr>
                <w:rFonts w:ascii="Times New Roman" w:hAnsi="Times New Roman" w:cs="Times New Roman"/>
                <w:sz w:val="24"/>
                <w:szCs w:val="24"/>
                <w:vertAlign w:val="subscript"/>
              </w:rPr>
              <w:t>50</w:t>
            </w:r>
            <w:r w:rsidRPr="00A85C5A">
              <w:rPr>
                <w:rFonts w:ascii="Times New Roman" w:hAnsi="Times New Roman" w:cs="Times New Roman"/>
                <w:sz w:val="24"/>
                <w:szCs w:val="24"/>
              </w:rPr>
              <w:t xml:space="preserve"> value for </w:t>
            </w:r>
            <w:r w:rsidRPr="00A85C5A">
              <w:rPr>
                <w:rFonts w:ascii="Times New Roman" w:hAnsi="Times New Roman" w:cs="Times New Roman"/>
                <w:sz w:val="24"/>
                <w:szCs w:val="24"/>
                <w:lang w:eastAsia="en-IN"/>
              </w:rPr>
              <w:t>DPPH radical scavenging assay</w:t>
            </w:r>
          </w:p>
        </w:tc>
      </w:tr>
      <w:tr w:rsidR="00171A26" w:rsidRPr="00A85C5A" w:rsidTr="00E67603">
        <w:trPr>
          <w:trHeight w:val="342"/>
          <w:jc w:val="center"/>
        </w:trPr>
        <w:tc>
          <w:tcPr>
            <w:tcW w:w="799" w:type="dxa"/>
            <w:tcBorders>
              <w:top w:val="nil"/>
              <w:bottom w:val="nil"/>
            </w:tcBorders>
            <w:vAlign w:val="center"/>
          </w:tcPr>
          <w:p w:rsidR="00171A26" w:rsidRPr="00A85C5A" w:rsidRDefault="00171A26" w:rsidP="004C5F2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3</w:t>
            </w:r>
          </w:p>
        </w:tc>
        <w:tc>
          <w:tcPr>
            <w:tcW w:w="7492" w:type="dxa"/>
            <w:tcBorders>
              <w:top w:val="nil"/>
              <w:bottom w:val="nil"/>
            </w:tcBorders>
            <w:vAlign w:val="center"/>
          </w:tcPr>
          <w:p w:rsidR="00171A26" w:rsidRPr="00A85C5A" w:rsidRDefault="00171A26" w:rsidP="00441C44">
            <w:pPr>
              <w:overflowPunct w:val="0"/>
              <w:autoSpaceDE w:val="0"/>
              <w:autoSpaceDN w:val="0"/>
              <w:adjustRightInd w:val="0"/>
              <w:spacing w:line="240" w:lineRule="auto"/>
              <w:jc w:val="both"/>
              <w:textAlignment w:val="baseline"/>
              <w:rPr>
                <w:rFonts w:ascii="Times New Roman" w:hAnsi="Times New Roman" w:cs="Times New Roman"/>
                <w:sz w:val="24"/>
                <w:szCs w:val="24"/>
                <w:lang w:eastAsia="en-IN"/>
              </w:rPr>
            </w:pPr>
            <w:r w:rsidRPr="00A85C5A">
              <w:rPr>
                <w:rFonts w:ascii="Times New Roman" w:hAnsi="Times New Roman" w:cs="Times New Roman"/>
                <w:b/>
                <w:bCs/>
                <w:sz w:val="24"/>
                <w:szCs w:val="24"/>
              </w:rPr>
              <w:t xml:space="preserve">Table S4b </w:t>
            </w:r>
            <w:r w:rsidRPr="00A85C5A">
              <w:rPr>
                <w:rFonts w:ascii="Times New Roman" w:hAnsi="Times New Roman" w:cs="Times New Roman"/>
                <w:sz w:val="24"/>
                <w:szCs w:val="24"/>
              </w:rPr>
              <w:t>IC</w:t>
            </w:r>
            <w:r w:rsidRPr="00A85C5A">
              <w:rPr>
                <w:rFonts w:ascii="Times New Roman" w:hAnsi="Times New Roman" w:cs="Times New Roman"/>
                <w:sz w:val="24"/>
                <w:szCs w:val="24"/>
                <w:vertAlign w:val="subscript"/>
              </w:rPr>
              <w:t>50</w:t>
            </w:r>
            <w:r w:rsidRPr="00A85C5A">
              <w:rPr>
                <w:rFonts w:ascii="Times New Roman" w:hAnsi="Times New Roman" w:cs="Times New Roman"/>
                <w:sz w:val="24"/>
                <w:szCs w:val="24"/>
              </w:rPr>
              <w:t xml:space="preserve"> value for </w:t>
            </w:r>
            <w:r w:rsidRPr="00A85C5A">
              <w:rPr>
                <w:rFonts w:ascii="Times New Roman" w:hAnsi="Times New Roman" w:cs="Times New Roman"/>
                <w:sz w:val="24"/>
                <w:szCs w:val="24"/>
                <w:lang w:eastAsia="en-IN"/>
              </w:rPr>
              <w:t>hydroxyl radical scavenging assay</w:t>
            </w:r>
          </w:p>
        </w:tc>
      </w:tr>
      <w:tr w:rsidR="00171A26" w:rsidRPr="00A85C5A" w:rsidTr="00E67603">
        <w:trPr>
          <w:trHeight w:val="342"/>
          <w:jc w:val="center"/>
        </w:trPr>
        <w:tc>
          <w:tcPr>
            <w:tcW w:w="799" w:type="dxa"/>
            <w:tcBorders>
              <w:top w:val="nil"/>
              <w:bottom w:val="nil"/>
            </w:tcBorders>
            <w:vAlign w:val="center"/>
          </w:tcPr>
          <w:p w:rsidR="00171A26" w:rsidRPr="00A85C5A" w:rsidRDefault="00171A26" w:rsidP="004C5F2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4</w:t>
            </w:r>
          </w:p>
        </w:tc>
        <w:tc>
          <w:tcPr>
            <w:tcW w:w="7492" w:type="dxa"/>
            <w:tcBorders>
              <w:top w:val="nil"/>
              <w:bottom w:val="nil"/>
            </w:tcBorders>
            <w:vAlign w:val="center"/>
          </w:tcPr>
          <w:p w:rsidR="00171A26" w:rsidRPr="00A85C5A" w:rsidRDefault="00171A26" w:rsidP="00441C44">
            <w:pPr>
              <w:overflowPunct w:val="0"/>
              <w:autoSpaceDE w:val="0"/>
              <w:autoSpaceDN w:val="0"/>
              <w:adjustRightInd w:val="0"/>
              <w:spacing w:line="240" w:lineRule="auto"/>
              <w:jc w:val="both"/>
              <w:textAlignment w:val="baseline"/>
              <w:rPr>
                <w:rFonts w:ascii="Times New Roman" w:hAnsi="Times New Roman" w:cs="Times New Roman"/>
                <w:sz w:val="24"/>
                <w:szCs w:val="24"/>
                <w:lang w:eastAsia="en-IN"/>
              </w:rPr>
            </w:pPr>
            <w:r w:rsidRPr="00A85C5A">
              <w:rPr>
                <w:rFonts w:ascii="Times New Roman" w:hAnsi="Times New Roman" w:cs="Times New Roman"/>
                <w:b/>
                <w:bCs/>
                <w:sz w:val="24"/>
                <w:szCs w:val="24"/>
              </w:rPr>
              <w:t xml:space="preserve">Table S4c </w:t>
            </w:r>
            <w:r w:rsidRPr="00A85C5A">
              <w:rPr>
                <w:rFonts w:ascii="Times New Roman" w:hAnsi="Times New Roman" w:cs="Times New Roman"/>
                <w:sz w:val="24"/>
                <w:szCs w:val="24"/>
              </w:rPr>
              <w:t>IC</w:t>
            </w:r>
            <w:r w:rsidRPr="00A85C5A">
              <w:rPr>
                <w:rFonts w:ascii="Times New Roman" w:hAnsi="Times New Roman" w:cs="Times New Roman"/>
                <w:sz w:val="24"/>
                <w:szCs w:val="24"/>
                <w:vertAlign w:val="subscript"/>
              </w:rPr>
              <w:t>50</w:t>
            </w:r>
            <w:r w:rsidRPr="00A85C5A">
              <w:rPr>
                <w:rFonts w:ascii="Times New Roman" w:hAnsi="Times New Roman" w:cs="Times New Roman"/>
                <w:sz w:val="24"/>
                <w:szCs w:val="24"/>
              </w:rPr>
              <w:t xml:space="preserve"> value for </w:t>
            </w:r>
            <w:r w:rsidRPr="00A85C5A">
              <w:rPr>
                <w:rFonts w:ascii="Times New Roman" w:hAnsi="Times New Roman" w:cs="Times New Roman"/>
                <w:sz w:val="24"/>
                <w:szCs w:val="24"/>
                <w:lang w:eastAsia="en-IN"/>
              </w:rPr>
              <w:t>super oxide scavenging assay</w:t>
            </w:r>
          </w:p>
        </w:tc>
      </w:tr>
      <w:tr w:rsidR="00171A26" w:rsidRPr="00A85C5A" w:rsidTr="00E67603">
        <w:trPr>
          <w:trHeight w:val="342"/>
          <w:jc w:val="center"/>
        </w:trPr>
        <w:tc>
          <w:tcPr>
            <w:tcW w:w="799" w:type="dxa"/>
            <w:tcBorders>
              <w:top w:val="nil"/>
              <w:bottom w:val="nil"/>
            </w:tcBorders>
            <w:vAlign w:val="center"/>
          </w:tcPr>
          <w:p w:rsidR="00171A26" w:rsidRPr="00A85C5A" w:rsidRDefault="00171A26" w:rsidP="004C5F2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5</w:t>
            </w:r>
          </w:p>
        </w:tc>
        <w:tc>
          <w:tcPr>
            <w:tcW w:w="7492" w:type="dxa"/>
            <w:tcBorders>
              <w:top w:val="nil"/>
              <w:bottom w:val="nil"/>
            </w:tcBorders>
            <w:vAlign w:val="center"/>
          </w:tcPr>
          <w:p w:rsidR="00171A26" w:rsidRPr="00A85C5A" w:rsidRDefault="00171A26" w:rsidP="00441C44">
            <w:pPr>
              <w:overflowPunct w:val="0"/>
              <w:autoSpaceDE w:val="0"/>
              <w:autoSpaceDN w:val="0"/>
              <w:adjustRightInd w:val="0"/>
              <w:spacing w:line="240" w:lineRule="auto"/>
              <w:jc w:val="both"/>
              <w:textAlignment w:val="baseline"/>
              <w:rPr>
                <w:rFonts w:ascii="Times New Roman" w:hAnsi="Times New Roman" w:cs="Times New Roman"/>
                <w:sz w:val="24"/>
                <w:szCs w:val="24"/>
                <w:lang w:eastAsia="en-IN"/>
              </w:rPr>
            </w:pPr>
            <w:r w:rsidRPr="00A85C5A">
              <w:rPr>
                <w:rFonts w:ascii="Times New Roman" w:hAnsi="Times New Roman" w:cs="Times New Roman"/>
                <w:b/>
                <w:bCs/>
                <w:sz w:val="24"/>
                <w:szCs w:val="24"/>
              </w:rPr>
              <w:t xml:space="preserve">Table S4d </w:t>
            </w:r>
            <w:r w:rsidRPr="00A85C5A">
              <w:rPr>
                <w:rFonts w:ascii="Times New Roman" w:hAnsi="Times New Roman" w:cs="Times New Roman"/>
                <w:sz w:val="24"/>
                <w:szCs w:val="24"/>
              </w:rPr>
              <w:t>IC</w:t>
            </w:r>
            <w:r w:rsidRPr="00A85C5A">
              <w:rPr>
                <w:rFonts w:ascii="Times New Roman" w:hAnsi="Times New Roman" w:cs="Times New Roman"/>
                <w:sz w:val="24"/>
                <w:szCs w:val="24"/>
                <w:vertAlign w:val="subscript"/>
              </w:rPr>
              <w:t>50</w:t>
            </w:r>
            <w:r w:rsidRPr="00A85C5A">
              <w:rPr>
                <w:rFonts w:ascii="Times New Roman" w:hAnsi="Times New Roman" w:cs="Times New Roman"/>
                <w:sz w:val="24"/>
                <w:szCs w:val="24"/>
              </w:rPr>
              <w:t xml:space="preserve"> value for </w:t>
            </w:r>
            <w:r w:rsidRPr="00A85C5A">
              <w:rPr>
                <w:rFonts w:ascii="Times New Roman" w:hAnsi="Times New Roman" w:cs="Times New Roman"/>
                <w:sz w:val="24"/>
                <w:szCs w:val="24"/>
                <w:lang w:eastAsia="en-IN"/>
              </w:rPr>
              <w:t>nitric oxide scavenging assay</w:t>
            </w:r>
          </w:p>
        </w:tc>
      </w:tr>
      <w:tr w:rsidR="00171A26" w:rsidRPr="00A85C5A" w:rsidTr="00E67603">
        <w:trPr>
          <w:trHeight w:val="342"/>
          <w:jc w:val="center"/>
        </w:trPr>
        <w:tc>
          <w:tcPr>
            <w:tcW w:w="799" w:type="dxa"/>
            <w:tcBorders>
              <w:top w:val="nil"/>
              <w:bottom w:val="nil"/>
            </w:tcBorders>
            <w:vAlign w:val="center"/>
          </w:tcPr>
          <w:p w:rsidR="00171A26" w:rsidRPr="00A85C5A" w:rsidRDefault="00171A26" w:rsidP="004C5F2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6</w:t>
            </w:r>
          </w:p>
        </w:tc>
        <w:tc>
          <w:tcPr>
            <w:tcW w:w="7492" w:type="dxa"/>
            <w:tcBorders>
              <w:top w:val="nil"/>
              <w:bottom w:val="nil"/>
            </w:tcBorders>
            <w:vAlign w:val="center"/>
          </w:tcPr>
          <w:p w:rsidR="00171A26" w:rsidRPr="00A85C5A" w:rsidRDefault="00171A26" w:rsidP="00441C44">
            <w:pPr>
              <w:overflowPunct w:val="0"/>
              <w:autoSpaceDE w:val="0"/>
              <w:autoSpaceDN w:val="0"/>
              <w:adjustRightInd w:val="0"/>
              <w:spacing w:line="240" w:lineRule="auto"/>
              <w:jc w:val="both"/>
              <w:textAlignment w:val="baseline"/>
              <w:rPr>
                <w:rFonts w:ascii="Times New Roman" w:hAnsi="Times New Roman" w:cs="Times New Roman"/>
                <w:sz w:val="24"/>
                <w:szCs w:val="24"/>
                <w:lang w:val="en-GB"/>
              </w:rPr>
            </w:pPr>
            <w:r w:rsidRPr="00A85C5A">
              <w:rPr>
                <w:rFonts w:ascii="Times New Roman" w:hAnsi="Times New Roman" w:cs="Times New Roman"/>
                <w:b/>
                <w:bCs/>
                <w:sz w:val="24"/>
                <w:szCs w:val="24"/>
              </w:rPr>
              <w:t xml:space="preserve">Table S4e </w:t>
            </w:r>
            <w:r w:rsidRPr="00A85C5A">
              <w:rPr>
                <w:rFonts w:ascii="Times New Roman" w:hAnsi="Times New Roman" w:cs="Times New Roman"/>
                <w:sz w:val="24"/>
                <w:szCs w:val="24"/>
              </w:rPr>
              <w:t>IC</w:t>
            </w:r>
            <w:r w:rsidRPr="00A85C5A">
              <w:rPr>
                <w:rFonts w:ascii="Times New Roman" w:hAnsi="Times New Roman" w:cs="Times New Roman"/>
                <w:sz w:val="24"/>
                <w:szCs w:val="24"/>
                <w:vertAlign w:val="subscript"/>
              </w:rPr>
              <w:t>50</w:t>
            </w:r>
            <w:r w:rsidRPr="00A85C5A">
              <w:rPr>
                <w:rFonts w:ascii="Times New Roman" w:hAnsi="Times New Roman" w:cs="Times New Roman"/>
                <w:sz w:val="24"/>
                <w:szCs w:val="24"/>
              </w:rPr>
              <w:t xml:space="preserve"> value for</w:t>
            </w:r>
            <w:r w:rsidRPr="00A85C5A">
              <w:rPr>
                <w:rFonts w:ascii="Times New Roman" w:eastAsia="Times New Roman" w:hAnsi="Times New Roman" w:cs="Times New Roman"/>
                <w:sz w:val="24"/>
                <w:szCs w:val="24"/>
                <w:lang w:val="en-GB" w:bidi="ar-SA"/>
              </w:rPr>
              <w:t xml:space="preserve"> </w:t>
            </w:r>
            <w:r w:rsidRPr="00A85C5A">
              <w:rPr>
                <w:rFonts w:ascii="Times New Roman" w:hAnsi="Times New Roman" w:cs="Times New Roman"/>
                <w:sz w:val="24"/>
                <w:szCs w:val="24"/>
                <w:lang w:val="en-GB"/>
              </w:rPr>
              <w:t>ferric reducing antioxidant power assay (FRAP)</w:t>
            </w:r>
          </w:p>
        </w:tc>
      </w:tr>
      <w:tr w:rsidR="0063686E" w:rsidRPr="00A85C5A" w:rsidTr="00E67603">
        <w:trPr>
          <w:trHeight w:val="342"/>
          <w:jc w:val="center"/>
        </w:trPr>
        <w:tc>
          <w:tcPr>
            <w:tcW w:w="799" w:type="dxa"/>
            <w:tcBorders>
              <w:top w:val="nil"/>
              <w:bottom w:val="nil"/>
            </w:tcBorders>
            <w:vAlign w:val="center"/>
          </w:tcPr>
          <w:p w:rsidR="0063686E" w:rsidRPr="00A85C5A" w:rsidRDefault="0063686E" w:rsidP="004C5F21">
            <w:pPr>
              <w:overflowPunct w:val="0"/>
              <w:autoSpaceDE w:val="0"/>
              <w:autoSpaceDN w:val="0"/>
              <w:adjustRightInd w:val="0"/>
              <w:spacing w:line="240" w:lineRule="auto"/>
              <w:jc w:val="center"/>
              <w:textAlignment w:val="baseline"/>
              <w:rPr>
                <w:rFonts w:ascii="Times New Roman" w:hAnsi="Times New Roman" w:cs="Times New Roman"/>
                <w:bCs/>
                <w:sz w:val="24"/>
                <w:szCs w:val="24"/>
                <w:lang w:eastAsia="en-IN"/>
              </w:rPr>
            </w:pPr>
            <w:r w:rsidRPr="00A85C5A">
              <w:rPr>
                <w:rFonts w:ascii="Times New Roman" w:hAnsi="Times New Roman" w:cs="Times New Roman"/>
                <w:bCs/>
                <w:sz w:val="24"/>
                <w:szCs w:val="24"/>
                <w:lang w:eastAsia="en-IN"/>
              </w:rPr>
              <w:t>7</w:t>
            </w:r>
          </w:p>
        </w:tc>
        <w:tc>
          <w:tcPr>
            <w:tcW w:w="7492" w:type="dxa"/>
            <w:tcBorders>
              <w:top w:val="nil"/>
              <w:bottom w:val="nil"/>
            </w:tcBorders>
            <w:vAlign w:val="center"/>
          </w:tcPr>
          <w:p w:rsidR="0063686E" w:rsidRPr="00A85C5A" w:rsidRDefault="0063686E" w:rsidP="00441C44">
            <w:pPr>
              <w:overflowPunct w:val="0"/>
              <w:autoSpaceDE w:val="0"/>
              <w:autoSpaceDN w:val="0"/>
              <w:adjustRightInd w:val="0"/>
              <w:spacing w:line="240" w:lineRule="auto"/>
              <w:jc w:val="both"/>
              <w:textAlignment w:val="baseline"/>
              <w:rPr>
                <w:b/>
                <w:bCs/>
              </w:rPr>
            </w:pPr>
            <w:r w:rsidRPr="00A85C5A">
              <w:rPr>
                <w:rFonts w:ascii="Times New Roman" w:hAnsi="Times New Roman" w:cs="Times New Roman"/>
                <w:b/>
                <w:bCs/>
                <w:sz w:val="24"/>
                <w:szCs w:val="24"/>
              </w:rPr>
              <w:t>Table S5</w:t>
            </w:r>
            <w:r w:rsidR="006E6217" w:rsidRPr="00A85C5A">
              <w:rPr>
                <w:rFonts w:ascii="Times New Roman" w:hAnsi="Times New Roman" w:cs="Times New Roman"/>
                <w:b/>
                <w:bCs/>
                <w:sz w:val="24"/>
                <w:szCs w:val="24"/>
              </w:rPr>
              <w:t xml:space="preserve"> </w:t>
            </w:r>
            <w:r w:rsidR="006E6217" w:rsidRPr="00A85C5A">
              <w:rPr>
                <w:rFonts w:ascii="Times New Roman" w:hAnsi="Times New Roman" w:cs="Times New Roman"/>
                <w:sz w:val="24"/>
                <w:szCs w:val="24"/>
                <w:lang w:val="en-GB"/>
              </w:rPr>
              <w:t>Frontier molecular orbital energy gap and dipole moment values of  ligand (</w:t>
            </w:r>
            <w:r w:rsidR="006E6217" w:rsidRPr="00A85C5A">
              <w:rPr>
                <w:rFonts w:ascii="Times New Roman" w:hAnsi="Times New Roman" w:cs="Times New Roman"/>
                <w:b/>
                <w:bCs/>
                <w:sz w:val="24"/>
                <w:szCs w:val="24"/>
                <w:lang w:val="en-GB"/>
              </w:rPr>
              <w:t>LH</w:t>
            </w:r>
            <w:r w:rsidR="006E6217" w:rsidRPr="00A85C5A">
              <w:rPr>
                <w:rFonts w:ascii="Times New Roman" w:hAnsi="Times New Roman" w:cs="Times New Roman"/>
                <w:sz w:val="24"/>
                <w:szCs w:val="24"/>
                <w:lang w:val="en-GB"/>
              </w:rPr>
              <w:t>) and its complexes (</w:t>
            </w:r>
            <w:r w:rsidR="006E6217" w:rsidRPr="00A85C5A">
              <w:rPr>
                <w:rFonts w:ascii="Times New Roman" w:hAnsi="Times New Roman" w:cs="Times New Roman"/>
                <w:b/>
                <w:bCs/>
                <w:sz w:val="24"/>
                <w:szCs w:val="24"/>
                <w:lang w:val="en-GB"/>
              </w:rPr>
              <w:t>1-5</w:t>
            </w:r>
            <w:r w:rsidR="006E6217" w:rsidRPr="00A85C5A">
              <w:rPr>
                <w:rFonts w:ascii="Times New Roman" w:hAnsi="Times New Roman" w:cs="Times New Roman"/>
                <w:sz w:val="24"/>
                <w:szCs w:val="24"/>
                <w:lang w:val="en-GB"/>
              </w:rPr>
              <w:t>)</w:t>
            </w:r>
          </w:p>
        </w:tc>
      </w:tr>
    </w:tbl>
    <w:p w:rsidR="00926D3D" w:rsidRPr="00A85C5A" w:rsidRDefault="00926D3D" w:rsidP="00926D3D">
      <w:pPr>
        <w:overflowPunct w:val="0"/>
        <w:autoSpaceDE w:val="0"/>
        <w:autoSpaceDN w:val="0"/>
        <w:adjustRightInd w:val="0"/>
        <w:spacing w:line="240" w:lineRule="auto"/>
        <w:contextualSpacing/>
        <w:jc w:val="both"/>
        <w:textAlignment w:val="baseline"/>
        <w:rPr>
          <w:lang w:val="en-IN" w:eastAsia="en-US" w:bidi="ta-IN"/>
        </w:rPr>
      </w:pPr>
    </w:p>
    <w:p w:rsidR="00E67603" w:rsidRPr="00A85C5A" w:rsidRDefault="00E67603" w:rsidP="00926D3D">
      <w:pPr>
        <w:overflowPunct w:val="0"/>
        <w:autoSpaceDE w:val="0"/>
        <w:autoSpaceDN w:val="0"/>
        <w:adjustRightInd w:val="0"/>
        <w:spacing w:line="240" w:lineRule="auto"/>
        <w:contextualSpacing/>
        <w:jc w:val="both"/>
        <w:textAlignment w:val="baseline"/>
        <w:rPr>
          <w:lang w:val="en-IN" w:eastAsia="en-US" w:bidi="ta-IN"/>
        </w:rPr>
      </w:pPr>
    </w:p>
    <w:p w:rsidR="00596952" w:rsidRPr="00A85C5A" w:rsidRDefault="00596952" w:rsidP="00926D3D">
      <w:pPr>
        <w:overflowPunct w:val="0"/>
        <w:autoSpaceDE w:val="0"/>
        <w:autoSpaceDN w:val="0"/>
        <w:adjustRightInd w:val="0"/>
        <w:spacing w:line="240" w:lineRule="auto"/>
        <w:contextualSpacing/>
        <w:jc w:val="both"/>
        <w:textAlignment w:val="baseline"/>
        <w:rPr>
          <w:lang w:val="en-IN" w:eastAsia="en-US" w:bidi="ta-IN"/>
        </w:rPr>
      </w:pPr>
    </w:p>
    <w:p w:rsidR="00596952" w:rsidRPr="00A85C5A" w:rsidRDefault="00596952" w:rsidP="00926D3D">
      <w:pPr>
        <w:overflowPunct w:val="0"/>
        <w:autoSpaceDE w:val="0"/>
        <w:autoSpaceDN w:val="0"/>
        <w:adjustRightInd w:val="0"/>
        <w:spacing w:line="240" w:lineRule="auto"/>
        <w:contextualSpacing/>
        <w:jc w:val="both"/>
        <w:textAlignment w:val="baseline"/>
        <w:rPr>
          <w:lang w:val="en-IN" w:eastAsia="en-US" w:bidi="ta-IN"/>
        </w:rPr>
      </w:pPr>
    </w:p>
    <w:p w:rsidR="00596952" w:rsidRPr="00A85C5A" w:rsidRDefault="00596952" w:rsidP="00926D3D">
      <w:pPr>
        <w:overflowPunct w:val="0"/>
        <w:autoSpaceDE w:val="0"/>
        <w:autoSpaceDN w:val="0"/>
        <w:adjustRightInd w:val="0"/>
        <w:spacing w:line="240" w:lineRule="auto"/>
        <w:contextualSpacing/>
        <w:jc w:val="both"/>
        <w:textAlignment w:val="baseline"/>
        <w:rPr>
          <w:lang w:val="en-IN" w:eastAsia="en-US" w:bidi="ta-IN"/>
        </w:rPr>
      </w:pPr>
    </w:p>
    <w:p w:rsidR="00926D3D" w:rsidRPr="00A85C5A" w:rsidRDefault="00926D3D" w:rsidP="00926D3D">
      <w:pPr>
        <w:overflowPunct w:val="0"/>
        <w:autoSpaceDE w:val="0"/>
        <w:autoSpaceDN w:val="0"/>
        <w:adjustRightInd w:val="0"/>
        <w:spacing w:line="240" w:lineRule="auto"/>
        <w:contextualSpacing/>
        <w:jc w:val="both"/>
        <w:textAlignment w:val="baseline"/>
        <w:rPr>
          <w:lang w:val="en-IN" w:eastAsia="en-US" w:bidi="ta-IN"/>
        </w:rPr>
      </w:pPr>
    </w:p>
    <w:p w:rsidR="00A10822" w:rsidRPr="00A85C5A" w:rsidRDefault="00A10822" w:rsidP="00926D3D">
      <w:pPr>
        <w:overflowPunct w:val="0"/>
        <w:autoSpaceDE w:val="0"/>
        <w:autoSpaceDN w:val="0"/>
        <w:adjustRightInd w:val="0"/>
        <w:spacing w:line="240" w:lineRule="auto"/>
        <w:contextualSpacing/>
        <w:jc w:val="both"/>
        <w:textAlignment w:val="baseline"/>
        <w:rPr>
          <w:lang w:val="en-IN" w:eastAsia="en-US" w:bidi="ta-IN"/>
        </w:rPr>
      </w:pPr>
    </w:p>
    <w:p w:rsidR="00926D3D" w:rsidRPr="00A85C5A" w:rsidRDefault="00926D3D" w:rsidP="00926D3D">
      <w:pPr>
        <w:overflowPunct w:val="0"/>
        <w:autoSpaceDE w:val="0"/>
        <w:autoSpaceDN w:val="0"/>
        <w:adjustRightInd w:val="0"/>
        <w:spacing w:line="240" w:lineRule="auto"/>
        <w:jc w:val="both"/>
        <w:textAlignment w:val="baseline"/>
        <w:rPr>
          <w:rFonts w:eastAsia="Calibri"/>
          <w:lang w:val="en-IN" w:eastAsia="en-US" w:bidi="ta-IN"/>
        </w:rPr>
      </w:pPr>
    </w:p>
    <w:tbl>
      <w:tblPr>
        <w:tblStyle w:val="TableGrid114"/>
        <w:tblpPr w:leftFromText="180" w:rightFromText="180" w:vertAnchor="text" w:horzAnchor="margin" w:tblpXSpec="center" w:tblpY="-637"/>
        <w:tblW w:w="0" w:type="auto"/>
        <w:tblLayout w:type="fixed"/>
        <w:tblLook w:val="04A0" w:firstRow="1" w:lastRow="0" w:firstColumn="1" w:lastColumn="0" w:noHBand="0" w:noVBand="1"/>
      </w:tblPr>
      <w:tblGrid>
        <w:gridCol w:w="1516"/>
        <w:gridCol w:w="860"/>
        <w:gridCol w:w="851"/>
        <w:gridCol w:w="1134"/>
        <w:gridCol w:w="992"/>
        <w:gridCol w:w="837"/>
        <w:gridCol w:w="722"/>
      </w:tblGrid>
      <w:tr w:rsidR="00BA595B" w:rsidRPr="00A85C5A" w:rsidTr="00AD7167">
        <w:trPr>
          <w:trHeight w:val="221"/>
        </w:trPr>
        <w:tc>
          <w:tcPr>
            <w:tcW w:w="6912" w:type="dxa"/>
            <w:gridSpan w:val="7"/>
            <w:tcBorders>
              <w:top w:val="nil"/>
              <w:left w:val="nil"/>
              <w:bottom w:val="single" w:sz="12" w:space="0" w:color="auto"/>
              <w:right w:val="nil"/>
            </w:tcBorders>
          </w:tcPr>
          <w:p w:rsidR="00BA595B" w:rsidRPr="00A85C5A" w:rsidRDefault="00BA595B" w:rsidP="00AD7167">
            <w:pPr>
              <w:overflowPunct w:val="0"/>
              <w:autoSpaceDE w:val="0"/>
              <w:autoSpaceDN w:val="0"/>
              <w:adjustRightInd w:val="0"/>
              <w:spacing w:line="240" w:lineRule="auto"/>
              <w:textAlignment w:val="baseline"/>
              <w:rPr>
                <w:b/>
                <w:bCs/>
              </w:rPr>
            </w:pPr>
            <w:r w:rsidRPr="00A85C5A">
              <w:rPr>
                <w:rFonts w:ascii="Times New Roman" w:hAnsi="Times New Roman"/>
                <w:b/>
                <w:bCs/>
              </w:rPr>
              <w:t xml:space="preserve">Table S3  </w:t>
            </w:r>
            <w:r w:rsidRPr="00A85C5A">
              <w:rPr>
                <w:rFonts w:ascii="Times New Roman" w:hAnsi="Times New Roman"/>
              </w:rPr>
              <w:t>Relative specific viscosity Vs  [Complex] / [DNA]</w:t>
            </w:r>
          </w:p>
        </w:tc>
      </w:tr>
      <w:tr w:rsidR="00BA595B" w:rsidRPr="00A85C5A" w:rsidTr="00AD7167">
        <w:trPr>
          <w:trHeight w:val="221"/>
        </w:trPr>
        <w:tc>
          <w:tcPr>
            <w:tcW w:w="1516" w:type="dxa"/>
            <w:vMerge w:val="restart"/>
            <w:tcBorders>
              <w:top w:val="single" w:sz="12" w:space="0" w:color="auto"/>
              <w:left w:val="nil"/>
              <w:bottom w:val="single" w:sz="12" w:space="0" w:color="auto"/>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Compounds</w:t>
            </w:r>
          </w:p>
        </w:tc>
        <w:tc>
          <w:tcPr>
            <w:tcW w:w="5396" w:type="dxa"/>
            <w:gridSpan w:val="6"/>
            <w:tcBorders>
              <w:top w:val="single" w:sz="12" w:space="0" w:color="auto"/>
              <w:left w:val="nil"/>
              <w:bottom w:val="single" w:sz="12" w:space="0" w:color="auto"/>
              <w:right w:val="nil"/>
            </w:tcBorders>
            <w:vAlign w:val="center"/>
          </w:tcPr>
          <w:p w:rsidR="00BA595B" w:rsidRPr="00A85C5A" w:rsidRDefault="00BA595B" w:rsidP="00AD7167">
            <w:pPr>
              <w:overflowPunct w:val="0"/>
              <w:autoSpaceDE w:val="0"/>
              <w:autoSpaceDN w:val="0"/>
              <w:adjustRightInd w:val="0"/>
              <w:spacing w:line="240" w:lineRule="auto"/>
              <w:textAlignment w:val="baseline"/>
            </w:pPr>
            <w:r w:rsidRPr="00A85C5A">
              <w:rPr>
                <w:rFonts w:ascii="Times New Roman" w:hAnsi="Times New Roman"/>
              </w:rPr>
              <w:t>Binding ratio (R) = [Complex] / [DNA]</w:t>
            </w:r>
          </w:p>
        </w:tc>
      </w:tr>
      <w:tr w:rsidR="00BA595B" w:rsidRPr="00A85C5A" w:rsidTr="00C965D6">
        <w:trPr>
          <w:trHeight w:val="185"/>
        </w:trPr>
        <w:tc>
          <w:tcPr>
            <w:tcW w:w="1516" w:type="dxa"/>
            <w:vMerge/>
            <w:tcBorders>
              <w:left w:val="nil"/>
              <w:bottom w:val="single" w:sz="12" w:space="0" w:color="auto"/>
              <w:right w:val="nil"/>
            </w:tcBorders>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p>
        </w:tc>
        <w:tc>
          <w:tcPr>
            <w:tcW w:w="860" w:type="dxa"/>
            <w:tcBorders>
              <w:left w:val="nil"/>
              <w:bottom w:val="single" w:sz="12" w:space="0" w:color="auto"/>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 xml:space="preserve"> 0.2</w:t>
            </w:r>
          </w:p>
        </w:tc>
        <w:tc>
          <w:tcPr>
            <w:tcW w:w="851" w:type="dxa"/>
            <w:tcBorders>
              <w:left w:val="nil"/>
              <w:bottom w:val="single" w:sz="12" w:space="0" w:color="auto"/>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0.4</w:t>
            </w:r>
          </w:p>
        </w:tc>
        <w:tc>
          <w:tcPr>
            <w:tcW w:w="1134" w:type="dxa"/>
            <w:tcBorders>
              <w:left w:val="nil"/>
              <w:bottom w:val="single" w:sz="12" w:space="0" w:color="auto"/>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0.6</w:t>
            </w:r>
          </w:p>
        </w:tc>
        <w:tc>
          <w:tcPr>
            <w:tcW w:w="992" w:type="dxa"/>
            <w:tcBorders>
              <w:left w:val="nil"/>
              <w:bottom w:val="single" w:sz="12" w:space="0" w:color="auto"/>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0.8</w:t>
            </w:r>
          </w:p>
        </w:tc>
        <w:tc>
          <w:tcPr>
            <w:tcW w:w="837" w:type="dxa"/>
            <w:tcBorders>
              <w:left w:val="nil"/>
              <w:bottom w:val="single" w:sz="12" w:space="0" w:color="auto"/>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1.0</w:t>
            </w:r>
          </w:p>
        </w:tc>
        <w:tc>
          <w:tcPr>
            <w:tcW w:w="722" w:type="dxa"/>
            <w:vMerge w:val="restart"/>
            <w:tcBorders>
              <w:left w:val="nil"/>
              <w:right w:val="nil"/>
            </w:tcBorders>
            <w:textDirection w:val="btLr"/>
          </w:tcPr>
          <w:p w:rsidR="00AD7167" w:rsidRPr="00A85C5A" w:rsidRDefault="00AD7167" w:rsidP="00AD7167">
            <w:pPr>
              <w:overflowPunct w:val="0"/>
              <w:autoSpaceDE w:val="0"/>
              <w:autoSpaceDN w:val="0"/>
              <w:adjustRightInd w:val="0"/>
              <w:spacing w:line="240" w:lineRule="auto"/>
              <w:ind w:left="992" w:hanging="992"/>
              <w:textAlignment w:val="baseline"/>
              <w:rPr>
                <w:rFonts w:ascii="Times New Roman" w:hAnsi="Times New Roman"/>
              </w:rPr>
            </w:pPr>
            <w:r w:rsidRPr="00A85C5A">
              <w:rPr>
                <w:rFonts w:ascii="Times New Roman" w:hAnsi="Times New Roman"/>
              </w:rPr>
              <w:t>Relative specific</w:t>
            </w:r>
          </w:p>
          <w:p w:rsidR="00AD7167" w:rsidRPr="00A85C5A" w:rsidRDefault="00AD7167" w:rsidP="00AD7167">
            <w:pPr>
              <w:overflowPunct w:val="0"/>
              <w:autoSpaceDE w:val="0"/>
              <w:autoSpaceDN w:val="0"/>
              <w:adjustRightInd w:val="0"/>
              <w:spacing w:line="240" w:lineRule="auto"/>
              <w:ind w:left="992" w:hanging="992"/>
              <w:textAlignment w:val="baseline"/>
              <w:rPr>
                <w:szCs w:val="20"/>
                <w:lang w:val="en-US" w:eastAsia="en-US"/>
              </w:rPr>
            </w:pPr>
            <w:r w:rsidRPr="00A85C5A">
              <w:rPr>
                <w:rFonts w:ascii="Times New Roman" w:hAnsi="Times New Roman"/>
              </w:rPr>
              <w:t xml:space="preserve"> viscosity (</w:t>
            </w:r>
            <w:r w:rsidRPr="00A85C5A">
              <w:rPr>
                <w:rFonts w:ascii="Times New Roman" w:hAnsi="Times New Roman"/>
                <w:i/>
                <w:iCs/>
              </w:rPr>
              <w:t>η/η</w:t>
            </w:r>
            <w:r w:rsidRPr="00A85C5A">
              <w:rPr>
                <w:rFonts w:ascii="Times New Roman" w:hAnsi="Times New Roman"/>
                <w:i/>
                <w:iCs/>
                <w:vertAlign w:val="subscript"/>
              </w:rPr>
              <w:t>0</w:t>
            </w:r>
            <w:r w:rsidRPr="00A85C5A">
              <w:rPr>
                <w:rFonts w:ascii="Times New Roman" w:hAnsi="Times New Roman"/>
              </w:rPr>
              <w:t>)</w:t>
            </w:r>
            <w:r w:rsidRPr="00A85C5A">
              <w:rPr>
                <w:rFonts w:ascii="Times New Roman" w:hAnsi="Times New Roman"/>
                <w:vertAlign w:val="superscript"/>
              </w:rPr>
              <w:t>1/3</w:t>
            </w:r>
          </w:p>
          <w:p w:rsidR="00AD7167" w:rsidRPr="00A85C5A" w:rsidRDefault="00AD7167" w:rsidP="00AD7167">
            <w:pPr>
              <w:overflowPunct w:val="0"/>
              <w:autoSpaceDE w:val="0"/>
              <w:autoSpaceDN w:val="0"/>
              <w:adjustRightInd w:val="0"/>
              <w:spacing w:line="240" w:lineRule="auto"/>
              <w:ind w:left="113" w:right="113"/>
              <w:textAlignment w:val="baseline"/>
            </w:pPr>
          </w:p>
          <w:p w:rsidR="00AD7167" w:rsidRPr="00A85C5A" w:rsidRDefault="00AD7167" w:rsidP="00AD7167">
            <w:pPr>
              <w:ind w:left="113" w:right="113"/>
            </w:pPr>
          </w:p>
          <w:p w:rsidR="00BA595B" w:rsidRPr="00A85C5A" w:rsidRDefault="00BA595B" w:rsidP="00AD7167">
            <w:pPr>
              <w:ind w:left="113" w:right="113"/>
            </w:pPr>
          </w:p>
        </w:tc>
      </w:tr>
      <w:tr w:rsidR="00BA595B" w:rsidRPr="00A85C5A" w:rsidTr="00C965D6">
        <w:trPr>
          <w:trHeight w:val="279"/>
        </w:trPr>
        <w:tc>
          <w:tcPr>
            <w:tcW w:w="1516" w:type="dxa"/>
            <w:tcBorders>
              <w:top w:val="single" w:sz="12" w:space="0" w:color="auto"/>
              <w:left w:val="nil"/>
              <w:bottom w:val="nil"/>
              <w:right w:val="nil"/>
            </w:tcBorders>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vertAlign w:val="superscript"/>
              </w:rPr>
            </w:pPr>
            <w:r w:rsidRPr="00A85C5A">
              <w:rPr>
                <w:rFonts w:ascii="Times New Roman" w:hAnsi="Times New Roman"/>
              </w:rPr>
              <w:t>EB (Control)</w:t>
            </w:r>
          </w:p>
        </w:tc>
        <w:tc>
          <w:tcPr>
            <w:tcW w:w="860" w:type="dxa"/>
            <w:tcBorders>
              <w:top w:val="single" w:sz="12" w:space="0" w:color="auto"/>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0.68</w:t>
            </w:r>
          </w:p>
        </w:tc>
        <w:tc>
          <w:tcPr>
            <w:tcW w:w="851" w:type="dxa"/>
            <w:tcBorders>
              <w:top w:val="single" w:sz="12" w:space="0" w:color="auto"/>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1.35</w:t>
            </w:r>
          </w:p>
        </w:tc>
        <w:tc>
          <w:tcPr>
            <w:tcW w:w="1134" w:type="dxa"/>
            <w:tcBorders>
              <w:top w:val="single" w:sz="12" w:space="0" w:color="auto"/>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1.63</w:t>
            </w:r>
          </w:p>
        </w:tc>
        <w:tc>
          <w:tcPr>
            <w:tcW w:w="992" w:type="dxa"/>
            <w:tcBorders>
              <w:top w:val="single" w:sz="12" w:space="0" w:color="auto"/>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1.82</w:t>
            </w:r>
          </w:p>
        </w:tc>
        <w:tc>
          <w:tcPr>
            <w:tcW w:w="837" w:type="dxa"/>
            <w:tcBorders>
              <w:top w:val="single" w:sz="12" w:space="0" w:color="auto"/>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1.99</w:t>
            </w:r>
          </w:p>
        </w:tc>
        <w:tc>
          <w:tcPr>
            <w:tcW w:w="722" w:type="dxa"/>
            <w:vMerge/>
            <w:tcBorders>
              <w:left w:val="nil"/>
              <w:right w:val="nil"/>
            </w:tcBorders>
          </w:tcPr>
          <w:p w:rsidR="00BA595B" w:rsidRPr="00A85C5A" w:rsidRDefault="00BA595B" w:rsidP="000D6F59">
            <w:pPr>
              <w:overflowPunct w:val="0"/>
              <w:autoSpaceDE w:val="0"/>
              <w:autoSpaceDN w:val="0"/>
              <w:adjustRightInd w:val="0"/>
              <w:spacing w:line="240" w:lineRule="auto"/>
              <w:jc w:val="center"/>
              <w:textAlignment w:val="baseline"/>
            </w:pPr>
          </w:p>
        </w:tc>
      </w:tr>
      <w:tr w:rsidR="00BA595B" w:rsidRPr="00A85C5A" w:rsidTr="00C965D6">
        <w:trPr>
          <w:trHeight w:val="279"/>
        </w:trPr>
        <w:tc>
          <w:tcPr>
            <w:tcW w:w="1516" w:type="dxa"/>
            <w:tcBorders>
              <w:top w:val="nil"/>
              <w:left w:val="nil"/>
              <w:bottom w:val="nil"/>
              <w:right w:val="nil"/>
            </w:tcBorders>
          </w:tcPr>
          <w:p w:rsidR="00BA595B" w:rsidRPr="00A85C5A" w:rsidRDefault="00BA595B" w:rsidP="000D6F59">
            <w:pPr>
              <w:tabs>
                <w:tab w:val="left" w:pos="2296"/>
              </w:tabs>
              <w:overflowPunct w:val="0"/>
              <w:autoSpaceDE w:val="0"/>
              <w:autoSpaceDN w:val="0"/>
              <w:adjustRightInd w:val="0"/>
              <w:spacing w:line="240" w:lineRule="auto"/>
              <w:textAlignment w:val="baseline"/>
              <w:rPr>
                <w:rFonts w:ascii="Times New Roman" w:hAnsi="Times New Roman"/>
                <w:bCs/>
              </w:rPr>
            </w:pPr>
            <w:r w:rsidRPr="00A85C5A">
              <w:rPr>
                <w:rFonts w:ascii="Times New Roman" w:hAnsi="Times New Roman"/>
                <w:kern w:val="24"/>
              </w:rPr>
              <w:t>Complex (</w:t>
            </w:r>
            <w:r w:rsidRPr="00A85C5A">
              <w:rPr>
                <w:rFonts w:ascii="Times New Roman" w:hAnsi="Times New Roman"/>
                <w:b/>
                <w:bCs/>
                <w:kern w:val="24"/>
              </w:rPr>
              <w:t>1</w:t>
            </w:r>
            <w:r w:rsidRPr="00A85C5A">
              <w:rPr>
                <w:rFonts w:ascii="Times New Roman" w:hAnsi="Times New Roman"/>
                <w:kern w:val="24"/>
              </w:rPr>
              <w:t>)</w:t>
            </w:r>
          </w:p>
        </w:tc>
        <w:tc>
          <w:tcPr>
            <w:tcW w:w="860"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 xml:space="preserve">0.69   </w:t>
            </w:r>
          </w:p>
        </w:tc>
        <w:tc>
          <w:tcPr>
            <w:tcW w:w="851"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 xml:space="preserve">1.12      </w:t>
            </w:r>
          </w:p>
        </w:tc>
        <w:tc>
          <w:tcPr>
            <w:tcW w:w="1134"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 xml:space="preserve">1.50      </w:t>
            </w:r>
          </w:p>
        </w:tc>
        <w:tc>
          <w:tcPr>
            <w:tcW w:w="992"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 xml:space="preserve">1.67        </w:t>
            </w:r>
          </w:p>
        </w:tc>
        <w:tc>
          <w:tcPr>
            <w:tcW w:w="837"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1.64</w:t>
            </w:r>
          </w:p>
        </w:tc>
        <w:tc>
          <w:tcPr>
            <w:tcW w:w="722" w:type="dxa"/>
            <w:vMerge/>
            <w:tcBorders>
              <w:left w:val="nil"/>
              <w:right w:val="nil"/>
            </w:tcBorders>
          </w:tcPr>
          <w:p w:rsidR="00BA595B" w:rsidRPr="00A85C5A" w:rsidRDefault="00BA595B" w:rsidP="000D6F59">
            <w:pPr>
              <w:overflowPunct w:val="0"/>
              <w:autoSpaceDE w:val="0"/>
              <w:autoSpaceDN w:val="0"/>
              <w:adjustRightInd w:val="0"/>
              <w:spacing w:line="240" w:lineRule="auto"/>
              <w:jc w:val="center"/>
              <w:textAlignment w:val="baseline"/>
            </w:pPr>
          </w:p>
        </w:tc>
      </w:tr>
      <w:tr w:rsidR="00BA595B" w:rsidRPr="00A85C5A" w:rsidTr="00C965D6">
        <w:trPr>
          <w:trHeight w:val="279"/>
        </w:trPr>
        <w:tc>
          <w:tcPr>
            <w:tcW w:w="1516" w:type="dxa"/>
            <w:tcBorders>
              <w:top w:val="nil"/>
              <w:left w:val="nil"/>
              <w:bottom w:val="nil"/>
              <w:right w:val="nil"/>
            </w:tcBorders>
          </w:tcPr>
          <w:p w:rsidR="00BA595B" w:rsidRPr="00A85C5A" w:rsidRDefault="00BA595B" w:rsidP="000D6F59">
            <w:pPr>
              <w:tabs>
                <w:tab w:val="left" w:pos="3225"/>
              </w:tabs>
              <w:overflowPunct w:val="0"/>
              <w:autoSpaceDE w:val="0"/>
              <w:autoSpaceDN w:val="0"/>
              <w:adjustRightInd w:val="0"/>
              <w:spacing w:line="240" w:lineRule="auto"/>
              <w:textAlignment w:val="baseline"/>
              <w:rPr>
                <w:rFonts w:ascii="Times New Roman" w:hAnsi="Times New Roman"/>
                <w:vertAlign w:val="superscript"/>
              </w:rPr>
            </w:pPr>
            <w:r w:rsidRPr="00A85C5A">
              <w:rPr>
                <w:rFonts w:ascii="Times New Roman" w:hAnsi="Times New Roman"/>
                <w:kern w:val="24"/>
              </w:rPr>
              <w:t>Complex (</w:t>
            </w:r>
            <w:r w:rsidRPr="00A85C5A">
              <w:rPr>
                <w:rFonts w:ascii="Times New Roman" w:hAnsi="Times New Roman"/>
                <w:b/>
                <w:bCs/>
                <w:kern w:val="24"/>
              </w:rPr>
              <w:t>2</w:t>
            </w:r>
            <w:r w:rsidRPr="00A85C5A">
              <w:rPr>
                <w:rFonts w:ascii="Times New Roman" w:hAnsi="Times New Roman"/>
                <w:kern w:val="24"/>
              </w:rPr>
              <w:t>)</w:t>
            </w:r>
          </w:p>
        </w:tc>
        <w:tc>
          <w:tcPr>
            <w:tcW w:w="860"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0.68</w:t>
            </w:r>
          </w:p>
        </w:tc>
        <w:tc>
          <w:tcPr>
            <w:tcW w:w="851"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1.08</w:t>
            </w:r>
          </w:p>
        </w:tc>
        <w:tc>
          <w:tcPr>
            <w:tcW w:w="1134"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1.20</w:t>
            </w:r>
          </w:p>
        </w:tc>
        <w:tc>
          <w:tcPr>
            <w:tcW w:w="992"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1.35</w:t>
            </w:r>
          </w:p>
        </w:tc>
        <w:tc>
          <w:tcPr>
            <w:tcW w:w="837"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1.53</w:t>
            </w:r>
          </w:p>
        </w:tc>
        <w:tc>
          <w:tcPr>
            <w:tcW w:w="722" w:type="dxa"/>
            <w:vMerge/>
            <w:tcBorders>
              <w:left w:val="nil"/>
              <w:right w:val="nil"/>
            </w:tcBorders>
          </w:tcPr>
          <w:p w:rsidR="00BA595B" w:rsidRPr="00A85C5A" w:rsidRDefault="00BA595B" w:rsidP="000D6F59">
            <w:pPr>
              <w:overflowPunct w:val="0"/>
              <w:autoSpaceDE w:val="0"/>
              <w:autoSpaceDN w:val="0"/>
              <w:adjustRightInd w:val="0"/>
              <w:spacing w:line="240" w:lineRule="auto"/>
              <w:jc w:val="center"/>
              <w:textAlignment w:val="baseline"/>
            </w:pPr>
          </w:p>
        </w:tc>
      </w:tr>
      <w:tr w:rsidR="00BA595B" w:rsidRPr="00A85C5A" w:rsidTr="00C965D6">
        <w:trPr>
          <w:trHeight w:val="279"/>
        </w:trPr>
        <w:tc>
          <w:tcPr>
            <w:tcW w:w="1516" w:type="dxa"/>
            <w:tcBorders>
              <w:top w:val="nil"/>
              <w:left w:val="nil"/>
              <w:bottom w:val="nil"/>
              <w:right w:val="nil"/>
            </w:tcBorders>
          </w:tcPr>
          <w:p w:rsidR="00BA595B" w:rsidRPr="00A85C5A" w:rsidRDefault="00BA595B" w:rsidP="000D6F59">
            <w:pPr>
              <w:tabs>
                <w:tab w:val="left" w:pos="3225"/>
              </w:tabs>
              <w:overflowPunct w:val="0"/>
              <w:autoSpaceDE w:val="0"/>
              <w:autoSpaceDN w:val="0"/>
              <w:adjustRightInd w:val="0"/>
              <w:spacing w:line="240" w:lineRule="auto"/>
              <w:textAlignment w:val="baseline"/>
              <w:rPr>
                <w:rFonts w:ascii="Times New Roman" w:hAnsi="Times New Roman"/>
                <w:vertAlign w:val="superscript"/>
              </w:rPr>
            </w:pPr>
            <w:r w:rsidRPr="00A85C5A">
              <w:rPr>
                <w:rFonts w:ascii="Times New Roman" w:hAnsi="Times New Roman"/>
                <w:kern w:val="24"/>
              </w:rPr>
              <w:t>Complex (</w:t>
            </w:r>
            <w:r w:rsidRPr="00A85C5A">
              <w:rPr>
                <w:rFonts w:ascii="Times New Roman" w:hAnsi="Times New Roman"/>
                <w:b/>
                <w:bCs/>
                <w:kern w:val="24"/>
              </w:rPr>
              <w:t>3</w:t>
            </w:r>
            <w:r w:rsidRPr="00A85C5A">
              <w:rPr>
                <w:rFonts w:ascii="Times New Roman" w:hAnsi="Times New Roman"/>
                <w:kern w:val="24"/>
              </w:rPr>
              <w:t>)</w:t>
            </w:r>
          </w:p>
        </w:tc>
        <w:tc>
          <w:tcPr>
            <w:tcW w:w="860"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0.67</w:t>
            </w:r>
          </w:p>
        </w:tc>
        <w:tc>
          <w:tcPr>
            <w:tcW w:w="851"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0.85</w:t>
            </w:r>
          </w:p>
        </w:tc>
        <w:tc>
          <w:tcPr>
            <w:tcW w:w="1134"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0.97</w:t>
            </w:r>
          </w:p>
        </w:tc>
        <w:tc>
          <w:tcPr>
            <w:tcW w:w="992"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1.10</w:t>
            </w:r>
          </w:p>
        </w:tc>
        <w:tc>
          <w:tcPr>
            <w:tcW w:w="837"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1.45</w:t>
            </w:r>
          </w:p>
        </w:tc>
        <w:tc>
          <w:tcPr>
            <w:tcW w:w="722" w:type="dxa"/>
            <w:vMerge/>
            <w:tcBorders>
              <w:left w:val="nil"/>
              <w:right w:val="nil"/>
            </w:tcBorders>
          </w:tcPr>
          <w:p w:rsidR="00BA595B" w:rsidRPr="00A85C5A" w:rsidRDefault="00BA595B" w:rsidP="000D6F59">
            <w:pPr>
              <w:overflowPunct w:val="0"/>
              <w:autoSpaceDE w:val="0"/>
              <w:autoSpaceDN w:val="0"/>
              <w:adjustRightInd w:val="0"/>
              <w:spacing w:line="240" w:lineRule="auto"/>
              <w:jc w:val="center"/>
              <w:textAlignment w:val="baseline"/>
            </w:pPr>
          </w:p>
        </w:tc>
      </w:tr>
      <w:tr w:rsidR="00BA595B" w:rsidRPr="00A85C5A" w:rsidTr="00C965D6">
        <w:trPr>
          <w:trHeight w:val="279"/>
        </w:trPr>
        <w:tc>
          <w:tcPr>
            <w:tcW w:w="1516" w:type="dxa"/>
            <w:tcBorders>
              <w:top w:val="nil"/>
              <w:left w:val="nil"/>
              <w:bottom w:val="nil"/>
              <w:right w:val="nil"/>
            </w:tcBorders>
          </w:tcPr>
          <w:p w:rsidR="00BA595B" w:rsidRPr="00A85C5A" w:rsidRDefault="00BA595B" w:rsidP="000D6F59">
            <w:pPr>
              <w:tabs>
                <w:tab w:val="left" w:pos="3225"/>
              </w:tabs>
              <w:overflowPunct w:val="0"/>
              <w:autoSpaceDE w:val="0"/>
              <w:autoSpaceDN w:val="0"/>
              <w:adjustRightInd w:val="0"/>
              <w:spacing w:line="240" w:lineRule="auto"/>
              <w:textAlignment w:val="baseline"/>
              <w:rPr>
                <w:rFonts w:ascii="Times New Roman" w:hAnsi="Times New Roman"/>
                <w:vertAlign w:val="superscript"/>
              </w:rPr>
            </w:pPr>
            <w:r w:rsidRPr="00A85C5A">
              <w:rPr>
                <w:rFonts w:ascii="Times New Roman" w:hAnsi="Times New Roman"/>
                <w:kern w:val="24"/>
              </w:rPr>
              <w:t>Complex (</w:t>
            </w:r>
            <w:r w:rsidRPr="00A85C5A">
              <w:rPr>
                <w:rFonts w:ascii="Times New Roman" w:hAnsi="Times New Roman"/>
                <w:b/>
                <w:bCs/>
                <w:kern w:val="24"/>
              </w:rPr>
              <w:t>4</w:t>
            </w:r>
            <w:r w:rsidRPr="00A85C5A">
              <w:rPr>
                <w:rFonts w:ascii="Times New Roman" w:hAnsi="Times New Roman"/>
                <w:kern w:val="24"/>
              </w:rPr>
              <w:t>)</w:t>
            </w:r>
          </w:p>
        </w:tc>
        <w:tc>
          <w:tcPr>
            <w:tcW w:w="860"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0.54</w:t>
            </w:r>
          </w:p>
        </w:tc>
        <w:tc>
          <w:tcPr>
            <w:tcW w:w="851"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0.77</w:t>
            </w:r>
          </w:p>
        </w:tc>
        <w:tc>
          <w:tcPr>
            <w:tcW w:w="1134"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0.90</w:t>
            </w:r>
          </w:p>
        </w:tc>
        <w:tc>
          <w:tcPr>
            <w:tcW w:w="992"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1.02</w:t>
            </w:r>
          </w:p>
        </w:tc>
        <w:tc>
          <w:tcPr>
            <w:tcW w:w="837" w:type="dxa"/>
            <w:tcBorders>
              <w:top w:val="nil"/>
              <w:left w:val="nil"/>
              <w:bottom w:val="nil"/>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1.39</w:t>
            </w:r>
          </w:p>
        </w:tc>
        <w:tc>
          <w:tcPr>
            <w:tcW w:w="722" w:type="dxa"/>
            <w:vMerge/>
            <w:tcBorders>
              <w:left w:val="nil"/>
              <w:right w:val="nil"/>
            </w:tcBorders>
          </w:tcPr>
          <w:p w:rsidR="00BA595B" w:rsidRPr="00A85C5A" w:rsidRDefault="00BA595B" w:rsidP="000D6F59">
            <w:pPr>
              <w:overflowPunct w:val="0"/>
              <w:autoSpaceDE w:val="0"/>
              <w:autoSpaceDN w:val="0"/>
              <w:adjustRightInd w:val="0"/>
              <w:spacing w:line="240" w:lineRule="auto"/>
              <w:jc w:val="center"/>
              <w:textAlignment w:val="baseline"/>
            </w:pPr>
          </w:p>
        </w:tc>
      </w:tr>
      <w:tr w:rsidR="00BA595B" w:rsidRPr="00A85C5A" w:rsidTr="00C965D6">
        <w:trPr>
          <w:trHeight w:val="279"/>
        </w:trPr>
        <w:tc>
          <w:tcPr>
            <w:tcW w:w="1516" w:type="dxa"/>
            <w:tcBorders>
              <w:top w:val="nil"/>
              <w:left w:val="nil"/>
              <w:bottom w:val="single" w:sz="12" w:space="0" w:color="auto"/>
              <w:right w:val="nil"/>
            </w:tcBorders>
          </w:tcPr>
          <w:p w:rsidR="00BA595B" w:rsidRPr="00A85C5A" w:rsidRDefault="00BA595B" w:rsidP="000D6F59">
            <w:pPr>
              <w:tabs>
                <w:tab w:val="left" w:pos="3225"/>
              </w:tabs>
              <w:overflowPunct w:val="0"/>
              <w:autoSpaceDE w:val="0"/>
              <w:autoSpaceDN w:val="0"/>
              <w:adjustRightInd w:val="0"/>
              <w:spacing w:line="240" w:lineRule="auto"/>
              <w:textAlignment w:val="baseline"/>
              <w:rPr>
                <w:rFonts w:ascii="Times New Roman" w:hAnsi="Times New Roman"/>
                <w:vertAlign w:val="superscript"/>
              </w:rPr>
            </w:pPr>
            <w:r w:rsidRPr="00A85C5A">
              <w:rPr>
                <w:rFonts w:ascii="Times New Roman" w:hAnsi="Times New Roman"/>
                <w:kern w:val="24"/>
              </w:rPr>
              <w:t>Complex (</w:t>
            </w:r>
            <w:r w:rsidRPr="00A85C5A">
              <w:rPr>
                <w:rFonts w:ascii="Times New Roman" w:hAnsi="Times New Roman"/>
                <w:b/>
                <w:bCs/>
                <w:kern w:val="24"/>
              </w:rPr>
              <w:t>5</w:t>
            </w:r>
            <w:r w:rsidRPr="00A85C5A">
              <w:rPr>
                <w:rFonts w:ascii="Times New Roman" w:hAnsi="Times New Roman"/>
                <w:kern w:val="24"/>
              </w:rPr>
              <w:t>)</w:t>
            </w:r>
          </w:p>
        </w:tc>
        <w:tc>
          <w:tcPr>
            <w:tcW w:w="860" w:type="dxa"/>
            <w:tcBorders>
              <w:top w:val="nil"/>
              <w:left w:val="nil"/>
              <w:bottom w:val="single" w:sz="12" w:space="0" w:color="auto"/>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0.52</w:t>
            </w:r>
          </w:p>
        </w:tc>
        <w:tc>
          <w:tcPr>
            <w:tcW w:w="851" w:type="dxa"/>
            <w:tcBorders>
              <w:top w:val="nil"/>
              <w:left w:val="nil"/>
              <w:bottom w:val="single" w:sz="12" w:space="0" w:color="auto"/>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0.69</w:t>
            </w:r>
          </w:p>
        </w:tc>
        <w:tc>
          <w:tcPr>
            <w:tcW w:w="1134" w:type="dxa"/>
            <w:tcBorders>
              <w:top w:val="nil"/>
              <w:left w:val="nil"/>
              <w:bottom w:val="single" w:sz="12" w:space="0" w:color="auto"/>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0.78</w:t>
            </w:r>
          </w:p>
        </w:tc>
        <w:tc>
          <w:tcPr>
            <w:tcW w:w="992" w:type="dxa"/>
            <w:tcBorders>
              <w:top w:val="nil"/>
              <w:left w:val="nil"/>
              <w:bottom w:val="single" w:sz="12" w:space="0" w:color="auto"/>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0.87</w:t>
            </w:r>
          </w:p>
        </w:tc>
        <w:tc>
          <w:tcPr>
            <w:tcW w:w="837" w:type="dxa"/>
            <w:tcBorders>
              <w:top w:val="nil"/>
              <w:left w:val="nil"/>
              <w:bottom w:val="single" w:sz="12" w:space="0" w:color="auto"/>
              <w:right w:val="nil"/>
            </w:tcBorders>
            <w:vAlign w:val="center"/>
          </w:tcPr>
          <w:p w:rsidR="00BA595B" w:rsidRPr="00A85C5A" w:rsidRDefault="00BA595B" w:rsidP="000D6F59">
            <w:pPr>
              <w:overflowPunct w:val="0"/>
              <w:autoSpaceDE w:val="0"/>
              <w:autoSpaceDN w:val="0"/>
              <w:adjustRightInd w:val="0"/>
              <w:spacing w:line="240" w:lineRule="auto"/>
              <w:jc w:val="center"/>
              <w:textAlignment w:val="baseline"/>
              <w:rPr>
                <w:rFonts w:ascii="Times New Roman" w:hAnsi="Times New Roman"/>
              </w:rPr>
            </w:pPr>
            <w:r w:rsidRPr="00A85C5A">
              <w:rPr>
                <w:rFonts w:ascii="Times New Roman" w:hAnsi="Times New Roman"/>
              </w:rPr>
              <w:t>1.18</w:t>
            </w:r>
          </w:p>
        </w:tc>
        <w:tc>
          <w:tcPr>
            <w:tcW w:w="722" w:type="dxa"/>
            <w:vMerge/>
            <w:tcBorders>
              <w:left w:val="nil"/>
              <w:bottom w:val="single" w:sz="12" w:space="0" w:color="auto"/>
              <w:right w:val="nil"/>
            </w:tcBorders>
          </w:tcPr>
          <w:p w:rsidR="00BA595B" w:rsidRPr="00A85C5A" w:rsidRDefault="00BA595B" w:rsidP="000D6F59">
            <w:pPr>
              <w:overflowPunct w:val="0"/>
              <w:autoSpaceDE w:val="0"/>
              <w:autoSpaceDN w:val="0"/>
              <w:adjustRightInd w:val="0"/>
              <w:spacing w:line="240" w:lineRule="auto"/>
              <w:jc w:val="center"/>
              <w:textAlignment w:val="baseline"/>
            </w:pPr>
          </w:p>
        </w:tc>
      </w:tr>
      <w:tr w:rsidR="00BA595B" w:rsidRPr="00A85C5A" w:rsidTr="00AD7167">
        <w:trPr>
          <w:trHeight w:val="548"/>
        </w:trPr>
        <w:tc>
          <w:tcPr>
            <w:tcW w:w="6912" w:type="dxa"/>
            <w:gridSpan w:val="7"/>
            <w:tcBorders>
              <w:top w:val="single" w:sz="12" w:space="0" w:color="auto"/>
              <w:left w:val="nil"/>
              <w:bottom w:val="nil"/>
              <w:right w:val="nil"/>
            </w:tcBorders>
          </w:tcPr>
          <w:p w:rsidR="00BA595B" w:rsidRPr="00A85C5A" w:rsidRDefault="00BA595B" w:rsidP="000D6F59">
            <w:pPr>
              <w:overflowPunct w:val="0"/>
              <w:autoSpaceDE w:val="0"/>
              <w:autoSpaceDN w:val="0"/>
              <w:adjustRightInd w:val="0"/>
              <w:spacing w:line="240" w:lineRule="auto"/>
              <w:textAlignment w:val="baseline"/>
              <w:rPr>
                <w:rFonts w:ascii="Times New Roman" w:hAnsi="Times New Roman"/>
                <w:sz w:val="20"/>
                <w:szCs w:val="20"/>
              </w:rPr>
            </w:pPr>
            <w:r w:rsidRPr="00A85C5A">
              <w:rPr>
                <w:rFonts w:ascii="Times New Roman" w:hAnsi="Times New Roman"/>
                <w:i/>
                <w:iCs/>
                <w:sz w:val="20"/>
                <w:szCs w:val="20"/>
              </w:rPr>
              <w:t>η</w:t>
            </w:r>
            <w:r w:rsidRPr="00A85C5A">
              <w:rPr>
                <w:rFonts w:ascii="Times New Roman" w:hAnsi="Times New Roman"/>
                <w:sz w:val="20"/>
                <w:szCs w:val="20"/>
              </w:rPr>
              <w:t xml:space="preserve"> </w:t>
            </w:r>
            <w:r w:rsidRPr="00A85C5A">
              <w:rPr>
                <w:rFonts w:ascii="Times New Roman" w:hAnsi="Times New Roman"/>
                <w:bCs/>
                <w:sz w:val="20"/>
                <w:szCs w:val="20"/>
                <w:shd w:val="clear" w:color="auto" w:fill="FFFFFF"/>
              </w:rPr>
              <w:sym w:font="Wingdings" w:char="F0E0"/>
            </w:r>
            <w:r w:rsidRPr="00A85C5A">
              <w:rPr>
                <w:rFonts w:ascii="Times New Roman" w:hAnsi="Times New Roman"/>
                <w:bCs/>
                <w:sz w:val="20"/>
                <w:szCs w:val="20"/>
                <w:shd w:val="clear" w:color="auto" w:fill="FFFFFF"/>
              </w:rPr>
              <w:t xml:space="preserve"> </w:t>
            </w:r>
            <w:r w:rsidRPr="00A85C5A">
              <w:rPr>
                <w:rFonts w:ascii="Times New Roman" w:hAnsi="Times New Roman"/>
                <w:sz w:val="20"/>
                <w:szCs w:val="20"/>
              </w:rPr>
              <w:t xml:space="preserve">Specific viscosity of DNA in the presence complex,  </w:t>
            </w:r>
          </w:p>
          <w:p w:rsidR="00BA595B" w:rsidRPr="00A85C5A" w:rsidRDefault="00BA595B" w:rsidP="000D6F59">
            <w:pPr>
              <w:overflowPunct w:val="0"/>
              <w:autoSpaceDE w:val="0"/>
              <w:autoSpaceDN w:val="0"/>
              <w:adjustRightInd w:val="0"/>
              <w:spacing w:line="240" w:lineRule="auto"/>
              <w:textAlignment w:val="baseline"/>
              <w:rPr>
                <w:i/>
                <w:iCs/>
                <w:sz w:val="20"/>
                <w:szCs w:val="20"/>
              </w:rPr>
            </w:pPr>
            <w:r w:rsidRPr="00A85C5A">
              <w:rPr>
                <w:rFonts w:ascii="Times New Roman" w:hAnsi="Times New Roman"/>
                <w:i/>
                <w:iCs/>
                <w:sz w:val="20"/>
                <w:szCs w:val="20"/>
              </w:rPr>
              <w:t>η</w:t>
            </w:r>
            <w:r w:rsidRPr="00A85C5A">
              <w:rPr>
                <w:rFonts w:ascii="Times New Roman" w:hAnsi="Times New Roman"/>
                <w:i/>
                <w:iCs/>
                <w:sz w:val="20"/>
                <w:szCs w:val="20"/>
                <w:vertAlign w:val="subscript"/>
              </w:rPr>
              <w:t>0</w:t>
            </w:r>
            <w:r w:rsidRPr="00A85C5A">
              <w:rPr>
                <w:rFonts w:ascii="Times New Roman" w:hAnsi="Times New Roman"/>
                <w:sz w:val="20"/>
                <w:szCs w:val="20"/>
                <w:vertAlign w:val="subscript"/>
              </w:rPr>
              <w:t xml:space="preserve"> </w:t>
            </w:r>
            <w:r w:rsidRPr="00A85C5A">
              <w:rPr>
                <w:rFonts w:ascii="Times New Roman" w:hAnsi="Times New Roman"/>
                <w:bCs/>
                <w:sz w:val="20"/>
                <w:szCs w:val="20"/>
                <w:shd w:val="clear" w:color="auto" w:fill="FFFFFF"/>
              </w:rPr>
              <w:sym w:font="Wingdings" w:char="F0E0"/>
            </w:r>
            <w:r w:rsidRPr="00A85C5A">
              <w:rPr>
                <w:rFonts w:ascii="Times New Roman" w:hAnsi="Times New Roman"/>
                <w:bCs/>
                <w:sz w:val="20"/>
                <w:szCs w:val="20"/>
                <w:shd w:val="clear" w:color="auto" w:fill="FFFFFF"/>
              </w:rPr>
              <w:t xml:space="preserve"> </w:t>
            </w:r>
            <w:r w:rsidRPr="00A85C5A">
              <w:rPr>
                <w:rFonts w:ascii="Times New Roman" w:hAnsi="Times New Roman"/>
                <w:sz w:val="20"/>
                <w:szCs w:val="20"/>
              </w:rPr>
              <w:t>Specific viscosity of DNA alone</w:t>
            </w:r>
          </w:p>
        </w:tc>
      </w:tr>
    </w:tbl>
    <w:p w:rsidR="00926D3D" w:rsidRPr="00A85C5A" w:rsidRDefault="00926D3D" w:rsidP="00926D3D">
      <w:pPr>
        <w:overflowPunct w:val="0"/>
        <w:autoSpaceDE w:val="0"/>
        <w:autoSpaceDN w:val="0"/>
        <w:adjustRightInd w:val="0"/>
        <w:spacing w:line="240" w:lineRule="auto"/>
        <w:jc w:val="both"/>
        <w:textAlignment w:val="baseline"/>
        <w:rPr>
          <w:rFonts w:eastAsia="Calibri"/>
          <w:lang w:val="en-IN" w:eastAsia="en-US" w:bidi="ta-IN"/>
        </w:rPr>
      </w:pPr>
    </w:p>
    <w:p w:rsidR="00926D3D" w:rsidRPr="00A85C5A" w:rsidRDefault="00926D3D" w:rsidP="00926D3D">
      <w:pPr>
        <w:overflowPunct w:val="0"/>
        <w:autoSpaceDE w:val="0"/>
        <w:autoSpaceDN w:val="0"/>
        <w:adjustRightInd w:val="0"/>
        <w:spacing w:line="240" w:lineRule="auto"/>
        <w:jc w:val="both"/>
        <w:textAlignment w:val="baseline"/>
        <w:rPr>
          <w:rFonts w:eastAsia="Calibri"/>
          <w:lang w:val="en-IN" w:eastAsia="en-US" w:bidi="ta-IN"/>
        </w:rPr>
      </w:pPr>
    </w:p>
    <w:p w:rsidR="00926D3D" w:rsidRPr="00A85C5A" w:rsidRDefault="00926D3D" w:rsidP="00926D3D">
      <w:pPr>
        <w:overflowPunct w:val="0"/>
        <w:autoSpaceDE w:val="0"/>
        <w:autoSpaceDN w:val="0"/>
        <w:adjustRightInd w:val="0"/>
        <w:spacing w:line="240" w:lineRule="auto"/>
        <w:jc w:val="both"/>
        <w:textAlignment w:val="baseline"/>
        <w:rPr>
          <w:rFonts w:eastAsia="Calibri"/>
          <w:lang w:val="en-IN" w:eastAsia="en-US" w:bidi="ta-IN"/>
        </w:rPr>
      </w:pPr>
    </w:p>
    <w:p w:rsidR="00926D3D" w:rsidRPr="00A85C5A" w:rsidRDefault="00926D3D" w:rsidP="00926D3D">
      <w:pPr>
        <w:overflowPunct w:val="0"/>
        <w:autoSpaceDE w:val="0"/>
        <w:autoSpaceDN w:val="0"/>
        <w:adjustRightInd w:val="0"/>
        <w:spacing w:line="240" w:lineRule="auto"/>
        <w:jc w:val="center"/>
        <w:textAlignment w:val="baseline"/>
        <w:rPr>
          <w:rFonts w:eastAsia="Calibri"/>
          <w:lang w:val="en-IN" w:eastAsia="en-US" w:bidi="ta-IN"/>
        </w:rPr>
      </w:pPr>
    </w:p>
    <w:p w:rsidR="00926D3D" w:rsidRPr="00A85C5A" w:rsidRDefault="00926D3D" w:rsidP="00926D3D">
      <w:pPr>
        <w:overflowPunct w:val="0"/>
        <w:autoSpaceDE w:val="0"/>
        <w:autoSpaceDN w:val="0"/>
        <w:adjustRightInd w:val="0"/>
        <w:spacing w:line="240" w:lineRule="auto"/>
        <w:jc w:val="center"/>
        <w:textAlignment w:val="baseline"/>
        <w:rPr>
          <w:rFonts w:eastAsia="Calibri"/>
          <w:lang w:val="en-IN" w:eastAsia="en-US" w:bidi="ta-IN"/>
        </w:rPr>
      </w:pPr>
    </w:p>
    <w:p w:rsidR="00926D3D" w:rsidRPr="00A85C5A" w:rsidRDefault="00926D3D" w:rsidP="00926D3D">
      <w:pPr>
        <w:overflowPunct w:val="0"/>
        <w:autoSpaceDE w:val="0"/>
        <w:autoSpaceDN w:val="0"/>
        <w:adjustRightInd w:val="0"/>
        <w:spacing w:line="240" w:lineRule="auto"/>
        <w:jc w:val="center"/>
        <w:textAlignment w:val="baseline"/>
        <w:rPr>
          <w:rFonts w:eastAsia="Calibri"/>
          <w:lang w:val="en-IN" w:eastAsia="en-US" w:bidi="ta-IN"/>
        </w:rPr>
      </w:pPr>
    </w:p>
    <w:p w:rsidR="00926D3D" w:rsidRPr="00A85C5A" w:rsidRDefault="00926D3D" w:rsidP="00926D3D">
      <w:pPr>
        <w:overflowPunct w:val="0"/>
        <w:autoSpaceDE w:val="0"/>
        <w:autoSpaceDN w:val="0"/>
        <w:adjustRightInd w:val="0"/>
        <w:spacing w:line="240" w:lineRule="auto"/>
        <w:jc w:val="center"/>
        <w:textAlignment w:val="baseline"/>
        <w:rPr>
          <w:rFonts w:eastAsia="Calibri"/>
          <w:lang w:val="en-IN" w:eastAsia="en-US" w:bidi="ta-IN"/>
        </w:rPr>
      </w:pPr>
    </w:p>
    <w:p w:rsidR="00926D3D" w:rsidRPr="00A85C5A" w:rsidRDefault="00926D3D" w:rsidP="00926D3D">
      <w:pPr>
        <w:overflowPunct w:val="0"/>
        <w:autoSpaceDE w:val="0"/>
        <w:autoSpaceDN w:val="0"/>
        <w:adjustRightInd w:val="0"/>
        <w:spacing w:line="240" w:lineRule="auto"/>
        <w:jc w:val="center"/>
        <w:textAlignment w:val="baseline"/>
        <w:rPr>
          <w:rFonts w:eastAsia="Calibri"/>
          <w:lang w:val="en-IN" w:eastAsia="en-US" w:bidi="ta-IN"/>
        </w:rPr>
      </w:pPr>
    </w:p>
    <w:p w:rsidR="00926D3D" w:rsidRPr="00A85C5A" w:rsidRDefault="00926D3D" w:rsidP="00926D3D">
      <w:pPr>
        <w:overflowPunct w:val="0"/>
        <w:autoSpaceDE w:val="0"/>
        <w:autoSpaceDN w:val="0"/>
        <w:adjustRightInd w:val="0"/>
        <w:spacing w:line="240" w:lineRule="auto"/>
        <w:jc w:val="center"/>
        <w:textAlignment w:val="baseline"/>
        <w:rPr>
          <w:rFonts w:eastAsia="Calibri"/>
          <w:lang w:val="en-IN" w:eastAsia="en-US" w:bidi="ta-IN"/>
        </w:rPr>
      </w:pPr>
    </w:p>
    <w:p w:rsidR="00926D3D" w:rsidRPr="00A85C5A" w:rsidRDefault="00926D3D" w:rsidP="00926D3D">
      <w:pPr>
        <w:overflowPunct w:val="0"/>
        <w:autoSpaceDE w:val="0"/>
        <w:autoSpaceDN w:val="0"/>
        <w:adjustRightInd w:val="0"/>
        <w:spacing w:line="240" w:lineRule="auto"/>
        <w:jc w:val="center"/>
        <w:textAlignment w:val="baseline"/>
        <w:rPr>
          <w:rFonts w:eastAsia="Calibri"/>
          <w:lang w:val="en-IN" w:eastAsia="en-US" w:bidi="ta-IN"/>
        </w:rPr>
      </w:pPr>
    </w:p>
    <w:p w:rsidR="00596952" w:rsidRPr="00A85C5A" w:rsidRDefault="00596952" w:rsidP="00926D3D">
      <w:pPr>
        <w:overflowPunct w:val="0"/>
        <w:autoSpaceDE w:val="0"/>
        <w:autoSpaceDN w:val="0"/>
        <w:adjustRightInd w:val="0"/>
        <w:spacing w:line="360" w:lineRule="auto"/>
        <w:ind w:left="993" w:hanging="993"/>
        <w:jc w:val="both"/>
        <w:textAlignment w:val="baseline"/>
        <w:rPr>
          <w:szCs w:val="20"/>
          <w:lang w:val="en-US" w:eastAsia="en-US"/>
        </w:rPr>
      </w:pPr>
    </w:p>
    <w:p w:rsidR="00596952" w:rsidRPr="00A85C5A" w:rsidRDefault="00596952" w:rsidP="00926D3D">
      <w:pPr>
        <w:overflowPunct w:val="0"/>
        <w:autoSpaceDE w:val="0"/>
        <w:autoSpaceDN w:val="0"/>
        <w:adjustRightInd w:val="0"/>
        <w:spacing w:line="360" w:lineRule="auto"/>
        <w:ind w:left="993" w:hanging="993"/>
        <w:jc w:val="both"/>
        <w:textAlignment w:val="baseline"/>
        <w:rPr>
          <w:szCs w:val="20"/>
          <w:lang w:val="en-US" w:eastAsia="en-US"/>
        </w:rPr>
      </w:pPr>
    </w:p>
    <w:p w:rsidR="00596952" w:rsidRPr="00A85C5A" w:rsidRDefault="00596952" w:rsidP="00926D3D">
      <w:pPr>
        <w:overflowPunct w:val="0"/>
        <w:autoSpaceDE w:val="0"/>
        <w:autoSpaceDN w:val="0"/>
        <w:adjustRightInd w:val="0"/>
        <w:spacing w:line="360" w:lineRule="auto"/>
        <w:ind w:left="993" w:hanging="993"/>
        <w:jc w:val="both"/>
        <w:textAlignment w:val="baseline"/>
        <w:rPr>
          <w:szCs w:val="20"/>
          <w:lang w:val="en-US" w:eastAsia="en-US"/>
        </w:rPr>
      </w:pPr>
    </w:p>
    <w:tbl>
      <w:tblPr>
        <w:tblW w:w="9045" w:type="dxa"/>
        <w:jc w:val="center"/>
        <w:tblLook w:val="04A0" w:firstRow="1" w:lastRow="0" w:firstColumn="1" w:lastColumn="0" w:noHBand="0" w:noVBand="1"/>
      </w:tblPr>
      <w:tblGrid>
        <w:gridCol w:w="1284"/>
        <w:gridCol w:w="1017"/>
        <w:gridCol w:w="1017"/>
        <w:gridCol w:w="1017"/>
        <w:gridCol w:w="1017"/>
        <w:gridCol w:w="1022"/>
        <w:gridCol w:w="1017"/>
        <w:gridCol w:w="1654"/>
      </w:tblGrid>
      <w:tr w:rsidR="00926D3D" w:rsidRPr="00A85C5A" w:rsidTr="000D6F59">
        <w:trPr>
          <w:trHeight w:val="300"/>
          <w:jc w:val="center"/>
        </w:trPr>
        <w:tc>
          <w:tcPr>
            <w:tcW w:w="9045" w:type="dxa"/>
            <w:gridSpan w:val="8"/>
            <w:tcBorders>
              <w:top w:val="nil"/>
              <w:left w:val="nil"/>
              <w:bottom w:val="single" w:sz="4" w:space="0" w:color="auto"/>
              <w:right w:val="nil"/>
            </w:tcBorders>
            <w:shd w:val="clear" w:color="auto" w:fill="auto"/>
            <w:noWrap/>
            <w:vAlign w:val="bottom"/>
            <w:hideMark/>
          </w:tcPr>
          <w:p w:rsidR="00926D3D" w:rsidRPr="00A85C5A" w:rsidRDefault="00540C65" w:rsidP="000D6F59">
            <w:pPr>
              <w:overflowPunct w:val="0"/>
              <w:autoSpaceDE w:val="0"/>
              <w:autoSpaceDN w:val="0"/>
              <w:adjustRightInd w:val="0"/>
              <w:spacing w:line="240" w:lineRule="auto"/>
              <w:jc w:val="both"/>
              <w:textAlignment w:val="baseline"/>
              <w:rPr>
                <w:b/>
                <w:bCs/>
                <w:lang w:eastAsia="en-US"/>
              </w:rPr>
            </w:pPr>
            <w:r w:rsidRPr="00A85C5A">
              <w:rPr>
                <w:b/>
                <w:bCs/>
                <w:lang w:eastAsia="en-US"/>
              </w:rPr>
              <w:t>Table S4</w:t>
            </w:r>
            <w:r w:rsidR="00926D3D" w:rsidRPr="00A85C5A">
              <w:rPr>
                <w:b/>
                <w:bCs/>
                <w:lang w:eastAsia="en-US"/>
              </w:rPr>
              <w:t xml:space="preserve">a </w:t>
            </w:r>
            <w:r w:rsidR="00926D3D" w:rsidRPr="00A85C5A">
              <w:rPr>
                <w:lang w:eastAsia="en-US"/>
              </w:rPr>
              <w:t>IC</w:t>
            </w:r>
            <w:r w:rsidR="00926D3D" w:rsidRPr="00A85C5A">
              <w:rPr>
                <w:vertAlign w:val="subscript"/>
                <w:lang w:eastAsia="en-US"/>
              </w:rPr>
              <w:t>50</w:t>
            </w:r>
            <w:r w:rsidR="00926D3D" w:rsidRPr="00A85C5A">
              <w:rPr>
                <w:lang w:eastAsia="en-US"/>
              </w:rPr>
              <w:t xml:space="preserve"> values of </w:t>
            </w:r>
            <w:r w:rsidR="00926D3D" w:rsidRPr="00A85C5A">
              <w:rPr>
                <w:lang w:eastAsia="en-IN"/>
              </w:rPr>
              <w:t>DPPH radical scavenging assay</w:t>
            </w:r>
          </w:p>
        </w:tc>
      </w:tr>
      <w:tr w:rsidR="00926D3D" w:rsidRPr="00A85C5A" w:rsidTr="000D6F59">
        <w:trPr>
          <w:trHeight w:val="300"/>
          <w:jc w:val="center"/>
        </w:trPr>
        <w:tc>
          <w:tcPr>
            <w:tcW w:w="1284" w:type="dxa"/>
            <w:vMerge w:val="restart"/>
            <w:tcBorders>
              <w:top w:val="single" w:sz="12" w:space="0" w:color="auto"/>
              <w:left w:val="nil"/>
              <w:bottom w:val="single" w:sz="4"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xml:space="preserve">[Complex] </w:t>
            </w:r>
          </w:p>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10</w:t>
            </w:r>
            <w:r w:rsidRPr="00A85C5A">
              <w:rPr>
                <w:vertAlign w:val="superscript"/>
                <w:lang w:eastAsia="en-IN"/>
              </w:rPr>
              <w:t>-5</w:t>
            </w:r>
            <w:r w:rsidRPr="00A85C5A">
              <w:rPr>
                <w:lang w:eastAsia="en-IN"/>
              </w:rPr>
              <w:t xml:space="preserve"> M</w:t>
            </w:r>
          </w:p>
        </w:tc>
        <w:tc>
          <w:tcPr>
            <w:tcW w:w="7761" w:type="dxa"/>
            <w:gridSpan w:val="7"/>
            <w:tcBorders>
              <w:top w:val="single" w:sz="12" w:space="0" w:color="auto"/>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Inhibition (IC</w:t>
            </w:r>
            <w:r w:rsidRPr="00A85C5A">
              <w:rPr>
                <w:vertAlign w:val="subscript"/>
                <w:lang w:eastAsia="en-IN"/>
              </w:rPr>
              <w:t>50</w:t>
            </w:r>
            <w:r w:rsidRPr="00A85C5A">
              <w:rPr>
                <w:lang w:eastAsia="en-IN"/>
              </w:rPr>
              <w:t>)</w:t>
            </w:r>
          </w:p>
        </w:tc>
      </w:tr>
      <w:tr w:rsidR="00926D3D" w:rsidRPr="00A85C5A" w:rsidTr="000D6F59">
        <w:trPr>
          <w:trHeight w:val="300"/>
          <w:jc w:val="center"/>
        </w:trPr>
        <w:tc>
          <w:tcPr>
            <w:tcW w:w="1284" w:type="dxa"/>
            <w:vMerge/>
            <w:tcBorders>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1</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2</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3</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4</w:t>
            </w:r>
            <w:r w:rsidRPr="00A85C5A">
              <w:rPr>
                <w:lang w:eastAsia="en-IN"/>
              </w:rPr>
              <w:t>)</w:t>
            </w:r>
          </w:p>
        </w:tc>
        <w:tc>
          <w:tcPr>
            <w:tcW w:w="1022"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5</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LH</w:t>
            </w:r>
            <w:r w:rsidRPr="00A85C5A">
              <w:rPr>
                <w:lang w:eastAsia="en-IN"/>
              </w:rPr>
              <w:t>)</w:t>
            </w:r>
          </w:p>
        </w:tc>
        <w:tc>
          <w:tcPr>
            <w:tcW w:w="1654" w:type="dxa"/>
            <w:tcBorders>
              <w:top w:val="nil"/>
              <w:left w:val="nil"/>
              <w:bottom w:val="single" w:sz="12" w:space="0" w:color="auto"/>
              <w:right w:val="nil"/>
            </w:tcBorders>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Ascorbic acid</w:t>
            </w:r>
          </w:p>
        </w:tc>
      </w:tr>
      <w:tr w:rsidR="00926D3D" w:rsidRPr="00A85C5A" w:rsidTr="000D6F59">
        <w:trPr>
          <w:trHeight w:val="300"/>
          <w:jc w:val="center"/>
        </w:trPr>
        <w:tc>
          <w:tcPr>
            <w:tcW w:w="1284"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34.5362</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31.5683</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28.5672</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24.5620</w:t>
            </w:r>
          </w:p>
        </w:tc>
        <w:tc>
          <w:tcPr>
            <w:tcW w:w="1022"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21.6752</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18.6421</w:t>
            </w:r>
          </w:p>
        </w:tc>
        <w:tc>
          <w:tcPr>
            <w:tcW w:w="1654" w:type="dxa"/>
            <w:tcBorders>
              <w:top w:val="single" w:sz="12" w:space="0" w:color="auto"/>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41.6352</w:t>
            </w:r>
          </w:p>
        </w:tc>
      </w:tr>
      <w:tr w:rsidR="00926D3D" w:rsidRPr="00A85C5A" w:rsidTr="000D6F59">
        <w:trPr>
          <w:trHeight w:val="300"/>
          <w:jc w:val="center"/>
        </w:trPr>
        <w:tc>
          <w:tcPr>
            <w:tcW w:w="1284"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8</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43.8549</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40.6294</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33.6293</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37.6823</w:t>
            </w:r>
          </w:p>
        </w:tc>
        <w:tc>
          <w:tcPr>
            <w:tcW w:w="1022"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32.6454</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26.5456</w:t>
            </w:r>
          </w:p>
        </w:tc>
        <w:tc>
          <w:tcPr>
            <w:tcW w:w="1654" w:type="dxa"/>
            <w:tcBorders>
              <w:top w:val="nil"/>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53.7453</w:t>
            </w:r>
          </w:p>
        </w:tc>
      </w:tr>
      <w:tr w:rsidR="00926D3D" w:rsidRPr="00A85C5A" w:rsidTr="000D6F59">
        <w:trPr>
          <w:trHeight w:val="300"/>
          <w:jc w:val="center"/>
        </w:trPr>
        <w:tc>
          <w:tcPr>
            <w:tcW w:w="1284"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47.6890</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44.7239</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38.8634</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41.6321</w:t>
            </w:r>
          </w:p>
        </w:tc>
        <w:tc>
          <w:tcPr>
            <w:tcW w:w="1022"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36.3542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32.5432</w:t>
            </w:r>
          </w:p>
        </w:tc>
        <w:tc>
          <w:tcPr>
            <w:tcW w:w="1654" w:type="dxa"/>
            <w:tcBorders>
              <w:top w:val="nil"/>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58.9533</w:t>
            </w:r>
          </w:p>
        </w:tc>
      </w:tr>
      <w:tr w:rsidR="00926D3D" w:rsidRPr="00A85C5A" w:rsidTr="000D6F59">
        <w:trPr>
          <w:trHeight w:val="300"/>
          <w:jc w:val="center"/>
        </w:trPr>
        <w:tc>
          <w:tcPr>
            <w:tcW w:w="1284"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16</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56.8862</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54.7031</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44.5127</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49.6283</w:t>
            </w:r>
          </w:p>
        </w:tc>
        <w:tc>
          <w:tcPr>
            <w:tcW w:w="1022"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46.7182</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43.5912</w:t>
            </w:r>
          </w:p>
        </w:tc>
        <w:tc>
          <w:tcPr>
            <w:tcW w:w="1654" w:type="dxa"/>
            <w:tcBorders>
              <w:top w:val="nil"/>
              <w:left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70.8642</w:t>
            </w:r>
          </w:p>
        </w:tc>
      </w:tr>
      <w:tr w:rsidR="00926D3D" w:rsidRPr="00A85C5A" w:rsidTr="000D6F59">
        <w:trPr>
          <w:trHeight w:val="300"/>
          <w:jc w:val="center"/>
        </w:trPr>
        <w:tc>
          <w:tcPr>
            <w:tcW w:w="1284"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20</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65.7532</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61.4532</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51.2243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58.4263</w:t>
            </w:r>
          </w:p>
        </w:tc>
        <w:tc>
          <w:tcPr>
            <w:tcW w:w="1022"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55.4352</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50.0131</w:t>
            </w:r>
          </w:p>
        </w:tc>
        <w:tc>
          <w:tcPr>
            <w:tcW w:w="1654" w:type="dxa"/>
            <w:tcBorders>
              <w:top w:val="nil"/>
              <w:left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82.7542</w:t>
            </w:r>
          </w:p>
        </w:tc>
      </w:tr>
      <w:tr w:rsidR="00926D3D" w:rsidRPr="00A85C5A" w:rsidTr="000D6F59">
        <w:trPr>
          <w:trHeight w:val="300"/>
          <w:jc w:val="center"/>
        </w:trPr>
        <w:tc>
          <w:tcPr>
            <w:tcW w:w="1284"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24</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73.6548</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66.3422</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55.4521</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63.5634</w:t>
            </w:r>
          </w:p>
        </w:tc>
        <w:tc>
          <w:tcPr>
            <w:tcW w:w="1022"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60.4357</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55.4352</w:t>
            </w:r>
          </w:p>
        </w:tc>
        <w:tc>
          <w:tcPr>
            <w:tcW w:w="1654" w:type="dxa"/>
            <w:tcBorders>
              <w:top w:val="nil"/>
              <w:left w:val="nil"/>
              <w:bottom w:val="single" w:sz="12" w:space="0" w:color="auto"/>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82.7542</w:t>
            </w:r>
          </w:p>
        </w:tc>
      </w:tr>
    </w:tbl>
    <w:p w:rsidR="00926D3D" w:rsidRPr="00A85C5A" w:rsidRDefault="00926D3D" w:rsidP="00926D3D">
      <w:pPr>
        <w:overflowPunct w:val="0"/>
        <w:autoSpaceDE w:val="0"/>
        <w:autoSpaceDN w:val="0"/>
        <w:adjustRightInd w:val="0"/>
        <w:spacing w:line="360" w:lineRule="auto"/>
        <w:ind w:left="993" w:hanging="993"/>
        <w:jc w:val="both"/>
        <w:textAlignment w:val="baseline"/>
        <w:rPr>
          <w:lang w:val="en-US" w:eastAsia="en-US"/>
        </w:rPr>
      </w:pPr>
    </w:p>
    <w:p w:rsidR="0021140B" w:rsidRPr="00A85C5A" w:rsidRDefault="0021140B" w:rsidP="00926D3D">
      <w:pPr>
        <w:overflowPunct w:val="0"/>
        <w:autoSpaceDE w:val="0"/>
        <w:autoSpaceDN w:val="0"/>
        <w:adjustRightInd w:val="0"/>
        <w:spacing w:line="360" w:lineRule="auto"/>
        <w:ind w:left="993" w:hanging="993"/>
        <w:jc w:val="both"/>
        <w:textAlignment w:val="baseline"/>
        <w:rPr>
          <w:lang w:val="en-US" w:eastAsia="en-US"/>
        </w:rPr>
      </w:pPr>
    </w:p>
    <w:p w:rsidR="00A26429" w:rsidRPr="00A85C5A" w:rsidRDefault="00A26429" w:rsidP="00926D3D">
      <w:pPr>
        <w:overflowPunct w:val="0"/>
        <w:autoSpaceDE w:val="0"/>
        <w:autoSpaceDN w:val="0"/>
        <w:adjustRightInd w:val="0"/>
        <w:spacing w:line="360" w:lineRule="auto"/>
        <w:ind w:left="993" w:hanging="993"/>
        <w:jc w:val="both"/>
        <w:textAlignment w:val="baseline"/>
        <w:rPr>
          <w:lang w:val="en-US" w:eastAsia="en-US"/>
        </w:rPr>
      </w:pPr>
    </w:p>
    <w:p w:rsidR="00A26429" w:rsidRPr="00A85C5A" w:rsidRDefault="00A26429" w:rsidP="00926D3D">
      <w:pPr>
        <w:overflowPunct w:val="0"/>
        <w:autoSpaceDE w:val="0"/>
        <w:autoSpaceDN w:val="0"/>
        <w:adjustRightInd w:val="0"/>
        <w:spacing w:line="360" w:lineRule="auto"/>
        <w:ind w:left="993" w:hanging="993"/>
        <w:jc w:val="both"/>
        <w:textAlignment w:val="baseline"/>
        <w:rPr>
          <w:lang w:val="en-US" w:eastAsia="en-US"/>
        </w:rPr>
      </w:pPr>
    </w:p>
    <w:p w:rsidR="0021140B" w:rsidRPr="00A85C5A" w:rsidRDefault="0021140B" w:rsidP="00926D3D">
      <w:pPr>
        <w:overflowPunct w:val="0"/>
        <w:autoSpaceDE w:val="0"/>
        <w:autoSpaceDN w:val="0"/>
        <w:adjustRightInd w:val="0"/>
        <w:spacing w:line="360" w:lineRule="auto"/>
        <w:ind w:left="993" w:hanging="993"/>
        <w:jc w:val="both"/>
        <w:textAlignment w:val="baseline"/>
        <w:rPr>
          <w:lang w:val="en-US" w:eastAsia="en-US"/>
        </w:rPr>
      </w:pPr>
    </w:p>
    <w:tbl>
      <w:tblPr>
        <w:tblW w:w="9045" w:type="dxa"/>
        <w:jc w:val="center"/>
        <w:tblLook w:val="04A0" w:firstRow="1" w:lastRow="0" w:firstColumn="1" w:lastColumn="0" w:noHBand="0" w:noVBand="1"/>
      </w:tblPr>
      <w:tblGrid>
        <w:gridCol w:w="1284"/>
        <w:gridCol w:w="1017"/>
        <w:gridCol w:w="1017"/>
        <w:gridCol w:w="1017"/>
        <w:gridCol w:w="1017"/>
        <w:gridCol w:w="1022"/>
        <w:gridCol w:w="1017"/>
        <w:gridCol w:w="1654"/>
      </w:tblGrid>
      <w:tr w:rsidR="00926D3D" w:rsidRPr="00A85C5A" w:rsidTr="000D6F59">
        <w:trPr>
          <w:trHeight w:val="300"/>
          <w:jc w:val="center"/>
        </w:trPr>
        <w:tc>
          <w:tcPr>
            <w:tcW w:w="9045" w:type="dxa"/>
            <w:gridSpan w:val="8"/>
            <w:tcBorders>
              <w:top w:val="nil"/>
              <w:left w:val="nil"/>
              <w:bottom w:val="single" w:sz="4" w:space="0" w:color="auto"/>
              <w:right w:val="nil"/>
            </w:tcBorders>
            <w:shd w:val="clear" w:color="auto" w:fill="auto"/>
            <w:noWrap/>
            <w:vAlign w:val="bottom"/>
            <w:hideMark/>
          </w:tcPr>
          <w:p w:rsidR="00926D3D" w:rsidRPr="00A85C5A" w:rsidRDefault="00540C65" w:rsidP="000D6F59">
            <w:pPr>
              <w:overflowPunct w:val="0"/>
              <w:autoSpaceDE w:val="0"/>
              <w:autoSpaceDN w:val="0"/>
              <w:adjustRightInd w:val="0"/>
              <w:spacing w:line="240" w:lineRule="auto"/>
              <w:jc w:val="both"/>
              <w:textAlignment w:val="baseline"/>
              <w:rPr>
                <w:b/>
                <w:bCs/>
                <w:lang w:eastAsia="en-US"/>
              </w:rPr>
            </w:pPr>
            <w:r w:rsidRPr="00A85C5A">
              <w:rPr>
                <w:b/>
                <w:bCs/>
                <w:lang w:eastAsia="en-US"/>
              </w:rPr>
              <w:t>Table S4</w:t>
            </w:r>
            <w:r w:rsidR="00926D3D" w:rsidRPr="00A85C5A">
              <w:rPr>
                <w:b/>
                <w:bCs/>
                <w:lang w:eastAsia="en-US"/>
              </w:rPr>
              <w:t xml:space="preserve">b </w:t>
            </w:r>
            <w:r w:rsidR="00926D3D" w:rsidRPr="00A85C5A">
              <w:rPr>
                <w:lang w:eastAsia="en-US"/>
              </w:rPr>
              <w:t>IC</w:t>
            </w:r>
            <w:r w:rsidR="00926D3D" w:rsidRPr="00A85C5A">
              <w:rPr>
                <w:vertAlign w:val="subscript"/>
                <w:lang w:eastAsia="en-US"/>
              </w:rPr>
              <w:t>50</w:t>
            </w:r>
            <w:r w:rsidR="00926D3D" w:rsidRPr="00A85C5A">
              <w:rPr>
                <w:lang w:eastAsia="en-US"/>
              </w:rPr>
              <w:t xml:space="preserve"> values of </w:t>
            </w:r>
            <w:r w:rsidR="004C5F21" w:rsidRPr="00A85C5A">
              <w:rPr>
                <w:lang w:eastAsia="en-IN"/>
              </w:rPr>
              <w:t xml:space="preserve">hydroxyl </w:t>
            </w:r>
            <w:r w:rsidR="00926D3D" w:rsidRPr="00A85C5A">
              <w:rPr>
                <w:lang w:eastAsia="en-IN"/>
              </w:rPr>
              <w:t>radical scavenging assay</w:t>
            </w:r>
          </w:p>
        </w:tc>
      </w:tr>
      <w:tr w:rsidR="00926D3D" w:rsidRPr="00A85C5A" w:rsidTr="000D6F59">
        <w:trPr>
          <w:trHeight w:val="300"/>
          <w:jc w:val="center"/>
        </w:trPr>
        <w:tc>
          <w:tcPr>
            <w:tcW w:w="1284" w:type="dxa"/>
            <w:vMerge w:val="restart"/>
            <w:tcBorders>
              <w:top w:val="single" w:sz="12" w:space="0" w:color="auto"/>
              <w:left w:val="nil"/>
              <w:bottom w:val="single" w:sz="4"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xml:space="preserve">[Complex] </w:t>
            </w:r>
          </w:p>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10</w:t>
            </w:r>
            <w:r w:rsidRPr="00A85C5A">
              <w:rPr>
                <w:vertAlign w:val="superscript"/>
                <w:lang w:eastAsia="en-IN"/>
              </w:rPr>
              <w:t>-5</w:t>
            </w:r>
            <w:r w:rsidRPr="00A85C5A">
              <w:rPr>
                <w:lang w:eastAsia="en-IN"/>
              </w:rPr>
              <w:t xml:space="preserve"> M</w:t>
            </w:r>
          </w:p>
        </w:tc>
        <w:tc>
          <w:tcPr>
            <w:tcW w:w="7761" w:type="dxa"/>
            <w:gridSpan w:val="7"/>
            <w:tcBorders>
              <w:top w:val="single" w:sz="12" w:space="0" w:color="auto"/>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Inhibition (IC</w:t>
            </w:r>
            <w:r w:rsidRPr="00A85C5A">
              <w:rPr>
                <w:vertAlign w:val="subscript"/>
                <w:lang w:eastAsia="en-IN"/>
              </w:rPr>
              <w:t>50</w:t>
            </w:r>
            <w:r w:rsidRPr="00A85C5A">
              <w:rPr>
                <w:lang w:eastAsia="en-IN"/>
              </w:rPr>
              <w:t>)</w:t>
            </w:r>
          </w:p>
        </w:tc>
      </w:tr>
      <w:tr w:rsidR="00926D3D" w:rsidRPr="00A85C5A" w:rsidTr="000D6F59">
        <w:trPr>
          <w:trHeight w:val="300"/>
          <w:jc w:val="center"/>
        </w:trPr>
        <w:tc>
          <w:tcPr>
            <w:tcW w:w="1284" w:type="dxa"/>
            <w:vMerge/>
            <w:tcBorders>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1</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2</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3</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4</w:t>
            </w:r>
            <w:r w:rsidRPr="00A85C5A">
              <w:rPr>
                <w:lang w:eastAsia="en-IN"/>
              </w:rPr>
              <w:t>)</w:t>
            </w:r>
          </w:p>
        </w:tc>
        <w:tc>
          <w:tcPr>
            <w:tcW w:w="1022"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5</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LH</w:t>
            </w:r>
            <w:r w:rsidRPr="00A85C5A">
              <w:rPr>
                <w:lang w:eastAsia="en-IN"/>
              </w:rPr>
              <w:t>)</w:t>
            </w:r>
          </w:p>
        </w:tc>
        <w:tc>
          <w:tcPr>
            <w:tcW w:w="1654" w:type="dxa"/>
            <w:tcBorders>
              <w:top w:val="nil"/>
              <w:left w:val="nil"/>
              <w:bottom w:val="single" w:sz="12" w:space="0" w:color="auto"/>
              <w:right w:val="nil"/>
            </w:tcBorders>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Ascorbic acid</w:t>
            </w:r>
          </w:p>
        </w:tc>
      </w:tr>
      <w:tr w:rsidR="00926D3D" w:rsidRPr="00A85C5A" w:rsidTr="000D6F59">
        <w:trPr>
          <w:trHeight w:val="300"/>
          <w:jc w:val="center"/>
        </w:trPr>
        <w:tc>
          <w:tcPr>
            <w:tcW w:w="1284"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17.7062</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15.8812</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11.0428</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17.7512</w:t>
            </w:r>
          </w:p>
        </w:tc>
        <w:tc>
          <w:tcPr>
            <w:tcW w:w="1022"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14.3217</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12.9532</w:t>
            </w:r>
          </w:p>
        </w:tc>
        <w:tc>
          <w:tcPr>
            <w:tcW w:w="1654" w:type="dxa"/>
            <w:tcBorders>
              <w:top w:val="single" w:sz="12" w:space="0" w:color="auto"/>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30.7324</w:t>
            </w:r>
          </w:p>
        </w:tc>
      </w:tr>
      <w:tr w:rsidR="00926D3D" w:rsidRPr="00A85C5A" w:rsidTr="000D6F59">
        <w:trPr>
          <w:trHeight w:val="300"/>
          <w:jc w:val="center"/>
        </w:trPr>
        <w:tc>
          <w:tcPr>
            <w:tcW w:w="1284"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8</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33.6582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29.3532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20.5721</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25.8453</w:t>
            </w:r>
          </w:p>
        </w:tc>
        <w:tc>
          <w:tcPr>
            <w:tcW w:w="1022"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23.1031</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20.8532</w:t>
            </w:r>
          </w:p>
        </w:tc>
        <w:tc>
          <w:tcPr>
            <w:tcW w:w="1654" w:type="dxa"/>
            <w:tcBorders>
              <w:top w:val="nil"/>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46.4536</w:t>
            </w:r>
          </w:p>
        </w:tc>
      </w:tr>
      <w:tr w:rsidR="00926D3D" w:rsidRPr="00A85C5A" w:rsidTr="000D6F59">
        <w:trPr>
          <w:trHeight w:val="165"/>
          <w:jc w:val="center"/>
        </w:trPr>
        <w:tc>
          <w:tcPr>
            <w:tcW w:w="1284"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37.7085</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31.9042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30.6923</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35.5201</w:t>
            </w:r>
          </w:p>
        </w:tc>
        <w:tc>
          <w:tcPr>
            <w:tcW w:w="1022"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28.4291</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28.4835</w:t>
            </w:r>
          </w:p>
        </w:tc>
        <w:tc>
          <w:tcPr>
            <w:tcW w:w="1654" w:type="dxa"/>
            <w:tcBorders>
              <w:top w:val="nil"/>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51.8723</w:t>
            </w:r>
          </w:p>
        </w:tc>
      </w:tr>
      <w:tr w:rsidR="00926D3D" w:rsidRPr="00A85C5A" w:rsidTr="000D6F59">
        <w:trPr>
          <w:trHeight w:val="300"/>
          <w:jc w:val="center"/>
        </w:trPr>
        <w:tc>
          <w:tcPr>
            <w:tcW w:w="1284"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16</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45.5829</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41.7823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37.7613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40.4283</w:t>
            </w:r>
          </w:p>
        </w:tc>
        <w:tc>
          <w:tcPr>
            <w:tcW w:w="1022"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37.6537</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36.3512</w:t>
            </w:r>
          </w:p>
        </w:tc>
        <w:tc>
          <w:tcPr>
            <w:tcW w:w="1654" w:type="dxa"/>
            <w:tcBorders>
              <w:top w:val="nil"/>
              <w:left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59.6582</w:t>
            </w:r>
          </w:p>
        </w:tc>
      </w:tr>
      <w:tr w:rsidR="00926D3D" w:rsidRPr="00A85C5A" w:rsidTr="000D6F59">
        <w:trPr>
          <w:trHeight w:val="300"/>
          <w:jc w:val="center"/>
        </w:trPr>
        <w:tc>
          <w:tcPr>
            <w:tcW w:w="1284"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20</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55.8061</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51.6031</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44.6723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47.4272</w:t>
            </w:r>
          </w:p>
        </w:tc>
        <w:tc>
          <w:tcPr>
            <w:tcW w:w="1022"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44.4301</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43.6215</w:t>
            </w:r>
          </w:p>
        </w:tc>
        <w:tc>
          <w:tcPr>
            <w:tcW w:w="1654" w:type="dxa"/>
            <w:tcBorders>
              <w:top w:val="nil"/>
              <w:left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65.6432</w:t>
            </w:r>
          </w:p>
        </w:tc>
      </w:tr>
      <w:tr w:rsidR="00926D3D" w:rsidRPr="00A85C5A" w:rsidTr="000D6F59">
        <w:trPr>
          <w:trHeight w:val="300"/>
          <w:jc w:val="center"/>
        </w:trPr>
        <w:tc>
          <w:tcPr>
            <w:tcW w:w="1284"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24</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68.6341</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60.4182</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51.1243</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58.5022</w:t>
            </w:r>
          </w:p>
        </w:tc>
        <w:tc>
          <w:tcPr>
            <w:tcW w:w="1022"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53.7652</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50.6732</w:t>
            </w:r>
          </w:p>
        </w:tc>
        <w:tc>
          <w:tcPr>
            <w:tcW w:w="1654" w:type="dxa"/>
            <w:tcBorders>
              <w:top w:val="nil"/>
              <w:left w:val="nil"/>
              <w:bottom w:val="single" w:sz="12" w:space="0" w:color="auto"/>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78.8351</w:t>
            </w:r>
          </w:p>
        </w:tc>
      </w:tr>
    </w:tbl>
    <w:p w:rsidR="00926D3D" w:rsidRPr="00A85C5A" w:rsidRDefault="00926D3D" w:rsidP="00926D3D">
      <w:pPr>
        <w:overflowPunct w:val="0"/>
        <w:autoSpaceDE w:val="0"/>
        <w:autoSpaceDN w:val="0"/>
        <w:adjustRightInd w:val="0"/>
        <w:spacing w:line="360" w:lineRule="auto"/>
        <w:ind w:left="993" w:hanging="993"/>
        <w:jc w:val="both"/>
        <w:textAlignment w:val="baseline"/>
        <w:rPr>
          <w:lang w:val="en-US" w:eastAsia="en-US"/>
        </w:rPr>
      </w:pPr>
    </w:p>
    <w:p w:rsidR="00926D3D" w:rsidRPr="00A85C5A" w:rsidRDefault="00926D3D" w:rsidP="00926D3D">
      <w:pPr>
        <w:overflowPunct w:val="0"/>
        <w:autoSpaceDE w:val="0"/>
        <w:autoSpaceDN w:val="0"/>
        <w:adjustRightInd w:val="0"/>
        <w:spacing w:line="360" w:lineRule="auto"/>
        <w:ind w:left="993" w:hanging="993"/>
        <w:jc w:val="both"/>
        <w:textAlignment w:val="baseline"/>
        <w:rPr>
          <w:lang w:val="en-US" w:eastAsia="en-US"/>
        </w:rPr>
      </w:pPr>
    </w:p>
    <w:p w:rsidR="00D62444" w:rsidRPr="00A85C5A" w:rsidRDefault="00D62444" w:rsidP="00926D3D">
      <w:pPr>
        <w:overflowPunct w:val="0"/>
        <w:autoSpaceDE w:val="0"/>
        <w:autoSpaceDN w:val="0"/>
        <w:adjustRightInd w:val="0"/>
        <w:spacing w:line="360" w:lineRule="auto"/>
        <w:ind w:left="993" w:hanging="993"/>
        <w:jc w:val="both"/>
        <w:textAlignment w:val="baseline"/>
        <w:rPr>
          <w:lang w:val="en-US" w:eastAsia="en-US"/>
        </w:rPr>
      </w:pPr>
    </w:p>
    <w:p w:rsidR="00D62444" w:rsidRPr="00A85C5A" w:rsidRDefault="00D62444" w:rsidP="00926D3D">
      <w:pPr>
        <w:overflowPunct w:val="0"/>
        <w:autoSpaceDE w:val="0"/>
        <w:autoSpaceDN w:val="0"/>
        <w:adjustRightInd w:val="0"/>
        <w:spacing w:line="360" w:lineRule="auto"/>
        <w:ind w:left="993" w:hanging="993"/>
        <w:jc w:val="both"/>
        <w:textAlignment w:val="baseline"/>
        <w:rPr>
          <w:lang w:val="en-US" w:eastAsia="en-US"/>
        </w:rPr>
      </w:pPr>
    </w:p>
    <w:tbl>
      <w:tblPr>
        <w:tblW w:w="9045" w:type="dxa"/>
        <w:jc w:val="center"/>
        <w:tblLook w:val="04A0" w:firstRow="1" w:lastRow="0" w:firstColumn="1" w:lastColumn="0" w:noHBand="0" w:noVBand="1"/>
      </w:tblPr>
      <w:tblGrid>
        <w:gridCol w:w="1284"/>
        <w:gridCol w:w="1017"/>
        <w:gridCol w:w="1017"/>
        <w:gridCol w:w="1017"/>
        <w:gridCol w:w="1017"/>
        <w:gridCol w:w="1022"/>
        <w:gridCol w:w="1017"/>
        <w:gridCol w:w="1654"/>
      </w:tblGrid>
      <w:tr w:rsidR="00926D3D" w:rsidRPr="00A85C5A" w:rsidTr="000D6F59">
        <w:trPr>
          <w:trHeight w:val="300"/>
          <w:jc w:val="center"/>
        </w:trPr>
        <w:tc>
          <w:tcPr>
            <w:tcW w:w="9045" w:type="dxa"/>
            <w:gridSpan w:val="8"/>
            <w:tcBorders>
              <w:top w:val="nil"/>
              <w:left w:val="nil"/>
              <w:bottom w:val="single" w:sz="4" w:space="0" w:color="auto"/>
              <w:right w:val="nil"/>
            </w:tcBorders>
            <w:shd w:val="clear" w:color="auto" w:fill="auto"/>
            <w:noWrap/>
            <w:vAlign w:val="bottom"/>
            <w:hideMark/>
          </w:tcPr>
          <w:p w:rsidR="00926D3D" w:rsidRPr="00A85C5A" w:rsidRDefault="00540C65" w:rsidP="000D6F59">
            <w:pPr>
              <w:overflowPunct w:val="0"/>
              <w:autoSpaceDE w:val="0"/>
              <w:autoSpaceDN w:val="0"/>
              <w:adjustRightInd w:val="0"/>
              <w:spacing w:line="240" w:lineRule="auto"/>
              <w:jc w:val="both"/>
              <w:textAlignment w:val="baseline"/>
              <w:rPr>
                <w:b/>
                <w:bCs/>
                <w:lang w:eastAsia="en-US"/>
              </w:rPr>
            </w:pPr>
            <w:r w:rsidRPr="00A85C5A">
              <w:rPr>
                <w:b/>
                <w:bCs/>
                <w:lang w:eastAsia="en-US"/>
              </w:rPr>
              <w:t>Table S4</w:t>
            </w:r>
            <w:r w:rsidR="00926D3D" w:rsidRPr="00A85C5A">
              <w:rPr>
                <w:b/>
                <w:bCs/>
                <w:lang w:eastAsia="en-US"/>
              </w:rPr>
              <w:t xml:space="preserve">c </w:t>
            </w:r>
            <w:r w:rsidR="00926D3D" w:rsidRPr="00A85C5A">
              <w:rPr>
                <w:lang w:eastAsia="en-US"/>
              </w:rPr>
              <w:t>IC</w:t>
            </w:r>
            <w:r w:rsidR="00926D3D" w:rsidRPr="00A85C5A">
              <w:rPr>
                <w:vertAlign w:val="subscript"/>
                <w:lang w:eastAsia="en-US"/>
              </w:rPr>
              <w:t>50</w:t>
            </w:r>
            <w:r w:rsidR="00926D3D" w:rsidRPr="00A85C5A">
              <w:rPr>
                <w:lang w:eastAsia="en-US"/>
              </w:rPr>
              <w:t xml:space="preserve"> values of </w:t>
            </w:r>
            <w:r w:rsidR="004C5F21" w:rsidRPr="00A85C5A">
              <w:rPr>
                <w:lang w:eastAsia="en-IN"/>
              </w:rPr>
              <w:t xml:space="preserve">super </w:t>
            </w:r>
            <w:r w:rsidR="00926D3D" w:rsidRPr="00A85C5A">
              <w:rPr>
                <w:lang w:eastAsia="en-IN"/>
              </w:rPr>
              <w:t>oxide scavenging assay</w:t>
            </w:r>
          </w:p>
        </w:tc>
      </w:tr>
      <w:tr w:rsidR="00926D3D" w:rsidRPr="00A85C5A" w:rsidTr="000D6F59">
        <w:trPr>
          <w:trHeight w:val="300"/>
          <w:jc w:val="center"/>
        </w:trPr>
        <w:tc>
          <w:tcPr>
            <w:tcW w:w="1284" w:type="dxa"/>
            <w:vMerge w:val="restart"/>
            <w:tcBorders>
              <w:top w:val="single" w:sz="12" w:space="0" w:color="auto"/>
              <w:left w:val="nil"/>
              <w:bottom w:val="single" w:sz="4"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xml:space="preserve">[Complex] </w:t>
            </w:r>
          </w:p>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10</w:t>
            </w:r>
            <w:r w:rsidRPr="00A85C5A">
              <w:rPr>
                <w:vertAlign w:val="superscript"/>
                <w:lang w:eastAsia="en-IN"/>
              </w:rPr>
              <w:t>-5</w:t>
            </w:r>
            <w:r w:rsidRPr="00A85C5A">
              <w:rPr>
                <w:lang w:eastAsia="en-IN"/>
              </w:rPr>
              <w:t xml:space="preserve"> M</w:t>
            </w:r>
          </w:p>
        </w:tc>
        <w:tc>
          <w:tcPr>
            <w:tcW w:w="7761" w:type="dxa"/>
            <w:gridSpan w:val="7"/>
            <w:tcBorders>
              <w:top w:val="single" w:sz="12" w:space="0" w:color="auto"/>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Inhibition (IC</w:t>
            </w:r>
            <w:r w:rsidRPr="00A85C5A">
              <w:rPr>
                <w:vertAlign w:val="subscript"/>
                <w:lang w:eastAsia="en-IN"/>
              </w:rPr>
              <w:t>50</w:t>
            </w:r>
            <w:r w:rsidRPr="00A85C5A">
              <w:rPr>
                <w:lang w:eastAsia="en-IN"/>
              </w:rPr>
              <w:t>)</w:t>
            </w:r>
          </w:p>
        </w:tc>
      </w:tr>
      <w:tr w:rsidR="00926D3D" w:rsidRPr="00A85C5A" w:rsidTr="000D6F59">
        <w:trPr>
          <w:trHeight w:val="300"/>
          <w:jc w:val="center"/>
        </w:trPr>
        <w:tc>
          <w:tcPr>
            <w:tcW w:w="1284" w:type="dxa"/>
            <w:vMerge/>
            <w:tcBorders>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1</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2</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3</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4</w:t>
            </w:r>
            <w:r w:rsidRPr="00A85C5A">
              <w:rPr>
                <w:lang w:eastAsia="en-IN"/>
              </w:rPr>
              <w:t>)</w:t>
            </w:r>
          </w:p>
        </w:tc>
        <w:tc>
          <w:tcPr>
            <w:tcW w:w="1022"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5</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LH</w:t>
            </w:r>
            <w:r w:rsidRPr="00A85C5A">
              <w:rPr>
                <w:lang w:eastAsia="en-IN"/>
              </w:rPr>
              <w:t>)</w:t>
            </w:r>
          </w:p>
        </w:tc>
        <w:tc>
          <w:tcPr>
            <w:tcW w:w="1654" w:type="dxa"/>
            <w:tcBorders>
              <w:top w:val="nil"/>
              <w:left w:val="nil"/>
              <w:bottom w:val="single" w:sz="12" w:space="0" w:color="auto"/>
              <w:right w:val="nil"/>
            </w:tcBorders>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Ascorbic acid</w:t>
            </w:r>
          </w:p>
        </w:tc>
      </w:tr>
      <w:tr w:rsidR="00926D3D" w:rsidRPr="00A85C5A" w:rsidTr="000D6F59">
        <w:trPr>
          <w:trHeight w:val="300"/>
          <w:jc w:val="center"/>
        </w:trPr>
        <w:tc>
          <w:tcPr>
            <w:tcW w:w="1284"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19.8532</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15.7812</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13.2453</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14.5432</w:t>
            </w:r>
          </w:p>
        </w:tc>
        <w:tc>
          <w:tcPr>
            <w:tcW w:w="1022"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15.4362</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12.4562</w:t>
            </w:r>
          </w:p>
        </w:tc>
        <w:tc>
          <w:tcPr>
            <w:tcW w:w="1654" w:type="dxa"/>
            <w:tcBorders>
              <w:top w:val="single" w:sz="12" w:space="0" w:color="auto"/>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29.6422</w:t>
            </w:r>
          </w:p>
        </w:tc>
      </w:tr>
      <w:tr w:rsidR="00926D3D" w:rsidRPr="00A85C5A" w:rsidTr="000D6F59">
        <w:trPr>
          <w:trHeight w:val="300"/>
          <w:jc w:val="center"/>
        </w:trPr>
        <w:tc>
          <w:tcPr>
            <w:tcW w:w="1284"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8</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25.6524</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19.7437</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18.6423</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19.6531</w:t>
            </w:r>
          </w:p>
        </w:tc>
        <w:tc>
          <w:tcPr>
            <w:tcW w:w="1022"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18.7432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18.7483</w:t>
            </w:r>
          </w:p>
        </w:tc>
        <w:tc>
          <w:tcPr>
            <w:tcW w:w="1654" w:type="dxa"/>
            <w:tcBorders>
              <w:top w:val="nil"/>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41.7293</w:t>
            </w:r>
          </w:p>
        </w:tc>
      </w:tr>
      <w:tr w:rsidR="00926D3D" w:rsidRPr="00A85C5A" w:rsidTr="000D6F59">
        <w:trPr>
          <w:trHeight w:val="300"/>
          <w:jc w:val="center"/>
        </w:trPr>
        <w:tc>
          <w:tcPr>
            <w:tcW w:w="1284"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43.5432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35.9743</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27.6313</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33.7223</w:t>
            </w:r>
          </w:p>
        </w:tc>
        <w:tc>
          <w:tcPr>
            <w:tcW w:w="1022"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31.3436</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26.5752</w:t>
            </w:r>
          </w:p>
        </w:tc>
        <w:tc>
          <w:tcPr>
            <w:tcW w:w="1654" w:type="dxa"/>
            <w:tcBorders>
              <w:top w:val="nil"/>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55.6349</w:t>
            </w:r>
          </w:p>
        </w:tc>
      </w:tr>
      <w:tr w:rsidR="00926D3D" w:rsidRPr="00A85C5A" w:rsidTr="000D6F59">
        <w:trPr>
          <w:trHeight w:val="300"/>
          <w:jc w:val="center"/>
        </w:trPr>
        <w:tc>
          <w:tcPr>
            <w:tcW w:w="1284"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16</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51.7623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43.5732</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37.8543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41.8268</w:t>
            </w:r>
          </w:p>
        </w:tc>
        <w:tc>
          <w:tcPr>
            <w:tcW w:w="1022"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39.3842</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34.7753</w:t>
            </w:r>
          </w:p>
        </w:tc>
        <w:tc>
          <w:tcPr>
            <w:tcW w:w="1654" w:type="dxa"/>
            <w:tcBorders>
              <w:top w:val="nil"/>
              <w:left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66.7532</w:t>
            </w:r>
          </w:p>
        </w:tc>
      </w:tr>
      <w:tr w:rsidR="00926D3D" w:rsidRPr="00A85C5A" w:rsidTr="000D6F59">
        <w:trPr>
          <w:trHeight w:val="300"/>
          <w:jc w:val="center"/>
        </w:trPr>
        <w:tc>
          <w:tcPr>
            <w:tcW w:w="1284"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20</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60.6543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50.782</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46.7543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47.7112</w:t>
            </w:r>
          </w:p>
        </w:tc>
        <w:tc>
          <w:tcPr>
            <w:tcW w:w="1022"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46.9026</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41.2143</w:t>
            </w:r>
          </w:p>
        </w:tc>
        <w:tc>
          <w:tcPr>
            <w:tcW w:w="1654" w:type="dxa"/>
            <w:tcBorders>
              <w:top w:val="nil"/>
              <w:left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72.5543</w:t>
            </w:r>
          </w:p>
        </w:tc>
      </w:tr>
      <w:tr w:rsidR="00926D3D" w:rsidRPr="00A85C5A" w:rsidTr="000D6F59">
        <w:trPr>
          <w:trHeight w:val="300"/>
          <w:jc w:val="center"/>
        </w:trPr>
        <w:tc>
          <w:tcPr>
            <w:tcW w:w="1284"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24</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68.8873</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56.7954</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51.6542</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56.7131</w:t>
            </w:r>
          </w:p>
        </w:tc>
        <w:tc>
          <w:tcPr>
            <w:tcW w:w="1022"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52.8856</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50.2371</w:t>
            </w:r>
          </w:p>
        </w:tc>
        <w:tc>
          <w:tcPr>
            <w:tcW w:w="1654" w:type="dxa"/>
            <w:tcBorders>
              <w:top w:val="nil"/>
              <w:left w:val="nil"/>
              <w:bottom w:val="single" w:sz="12" w:space="0" w:color="auto"/>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84.8532</w:t>
            </w:r>
          </w:p>
        </w:tc>
      </w:tr>
    </w:tbl>
    <w:p w:rsidR="00926D3D" w:rsidRPr="00A85C5A" w:rsidRDefault="00926D3D" w:rsidP="00926D3D">
      <w:pPr>
        <w:overflowPunct w:val="0"/>
        <w:autoSpaceDE w:val="0"/>
        <w:autoSpaceDN w:val="0"/>
        <w:adjustRightInd w:val="0"/>
        <w:spacing w:line="360" w:lineRule="auto"/>
        <w:ind w:left="993" w:hanging="993"/>
        <w:jc w:val="both"/>
        <w:textAlignment w:val="baseline"/>
        <w:rPr>
          <w:lang w:val="en-US" w:eastAsia="en-US"/>
        </w:rPr>
      </w:pPr>
    </w:p>
    <w:p w:rsidR="00171A26" w:rsidRPr="00A85C5A" w:rsidRDefault="00171A26" w:rsidP="00926D3D">
      <w:pPr>
        <w:overflowPunct w:val="0"/>
        <w:autoSpaceDE w:val="0"/>
        <w:autoSpaceDN w:val="0"/>
        <w:adjustRightInd w:val="0"/>
        <w:spacing w:line="360" w:lineRule="auto"/>
        <w:ind w:left="993" w:hanging="993"/>
        <w:jc w:val="both"/>
        <w:textAlignment w:val="baseline"/>
        <w:rPr>
          <w:lang w:val="en-US" w:eastAsia="en-US"/>
        </w:rPr>
      </w:pPr>
    </w:p>
    <w:p w:rsidR="00171A26" w:rsidRPr="00A85C5A" w:rsidRDefault="00171A26" w:rsidP="00926D3D">
      <w:pPr>
        <w:overflowPunct w:val="0"/>
        <w:autoSpaceDE w:val="0"/>
        <w:autoSpaceDN w:val="0"/>
        <w:adjustRightInd w:val="0"/>
        <w:spacing w:line="360" w:lineRule="auto"/>
        <w:ind w:left="993" w:hanging="993"/>
        <w:jc w:val="both"/>
        <w:textAlignment w:val="baseline"/>
        <w:rPr>
          <w:lang w:val="en-US" w:eastAsia="en-US"/>
        </w:rPr>
      </w:pPr>
    </w:p>
    <w:p w:rsidR="00171A26" w:rsidRPr="00A85C5A" w:rsidRDefault="00171A26" w:rsidP="00926D3D">
      <w:pPr>
        <w:overflowPunct w:val="0"/>
        <w:autoSpaceDE w:val="0"/>
        <w:autoSpaceDN w:val="0"/>
        <w:adjustRightInd w:val="0"/>
        <w:spacing w:line="360" w:lineRule="auto"/>
        <w:ind w:left="993" w:hanging="993"/>
        <w:jc w:val="both"/>
        <w:textAlignment w:val="baseline"/>
        <w:rPr>
          <w:lang w:val="en-US" w:eastAsia="en-US"/>
        </w:rPr>
      </w:pPr>
    </w:p>
    <w:p w:rsidR="00596952" w:rsidRPr="00A85C5A" w:rsidRDefault="00596952" w:rsidP="00926D3D">
      <w:pPr>
        <w:overflowPunct w:val="0"/>
        <w:autoSpaceDE w:val="0"/>
        <w:autoSpaceDN w:val="0"/>
        <w:adjustRightInd w:val="0"/>
        <w:spacing w:line="360" w:lineRule="auto"/>
        <w:ind w:left="993" w:hanging="993"/>
        <w:jc w:val="both"/>
        <w:textAlignment w:val="baseline"/>
        <w:rPr>
          <w:lang w:val="en-US" w:eastAsia="en-US"/>
        </w:rPr>
      </w:pPr>
    </w:p>
    <w:tbl>
      <w:tblPr>
        <w:tblW w:w="9045" w:type="dxa"/>
        <w:jc w:val="center"/>
        <w:tblLook w:val="04A0" w:firstRow="1" w:lastRow="0" w:firstColumn="1" w:lastColumn="0" w:noHBand="0" w:noVBand="1"/>
      </w:tblPr>
      <w:tblGrid>
        <w:gridCol w:w="1284"/>
        <w:gridCol w:w="1017"/>
        <w:gridCol w:w="1017"/>
        <w:gridCol w:w="1017"/>
        <w:gridCol w:w="1017"/>
        <w:gridCol w:w="1022"/>
        <w:gridCol w:w="1017"/>
        <w:gridCol w:w="1654"/>
      </w:tblGrid>
      <w:tr w:rsidR="00926D3D" w:rsidRPr="00A85C5A" w:rsidTr="000D6F59">
        <w:trPr>
          <w:trHeight w:val="300"/>
          <w:jc w:val="center"/>
        </w:trPr>
        <w:tc>
          <w:tcPr>
            <w:tcW w:w="9045" w:type="dxa"/>
            <w:gridSpan w:val="8"/>
            <w:tcBorders>
              <w:top w:val="nil"/>
              <w:left w:val="nil"/>
              <w:bottom w:val="single" w:sz="4" w:space="0" w:color="auto"/>
              <w:right w:val="nil"/>
            </w:tcBorders>
            <w:shd w:val="clear" w:color="auto" w:fill="auto"/>
            <w:noWrap/>
            <w:vAlign w:val="bottom"/>
            <w:hideMark/>
          </w:tcPr>
          <w:p w:rsidR="00926D3D" w:rsidRPr="00A85C5A" w:rsidRDefault="00540C65" w:rsidP="000D6F59">
            <w:pPr>
              <w:overflowPunct w:val="0"/>
              <w:autoSpaceDE w:val="0"/>
              <w:autoSpaceDN w:val="0"/>
              <w:adjustRightInd w:val="0"/>
              <w:spacing w:line="240" w:lineRule="auto"/>
              <w:jc w:val="both"/>
              <w:textAlignment w:val="baseline"/>
              <w:rPr>
                <w:b/>
                <w:bCs/>
                <w:lang w:eastAsia="en-US"/>
              </w:rPr>
            </w:pPr>
            <w:r w:rsidRPr="00A85C5A">
              <w:rPr>
                <w:b/>
                <w:bCs/>
                <w:lang w:eastAsia="en-US"/>
              </w:rPr>
              <w:t>Table S4</w:t>
            </w:r>
            <w:r w:rsidR="00926D3D" w:rsidRPr="00A85C5A">
              <w:rPr>
                <w:b/>
                <w:bCs/>
                <w:lang w:eastAsia="en-US"/>
              </w:rPr>
              <w:t xml:space="preserve">d </w:t>
            </w:r>
            <w:r w:rsidR="00926D3D" w:rsidRPr="00A85C5A">
              <w:rPr>
                <w:lang w:eastAsia="en-US"/>
              </w:rPr>
              <w:t>IC</w:t>
            </w:r>
            <w:r w:rsidR="00926D3D" w:rsidRPr="00A85C5A">
              <w:rPr>
                <w:vertAlign w:val="subscript"/>
                <w:lang w:eastAsia="en-US"/>
              </w:rPr>
              <w:t>50</w:t>
            </w:r>
            <w:r w:rsidR="00926D3D" w:rsidRPr="00A85C5A">
              <w:rPr>
                <w:lang w:eastAsia="en-US"/>
              </w:rPr>
              <w:t xml:space="preserve"> values of </w:t>
            </w:r>
            <w:r w:rsidR="004C5F21" w:rsidRPr="00A85C5A">
              <w:rPr>
                <w:lang w:eastAsia="en-IN"/>
              </w:rPr>
              <w:t xml:space="preserve">nitric </w:t>
            </w:r>
            <w:r w:rsidR="00926D3D" w:rsidRPr="00A85C5A">
              <w:rPr>
                <w:lang w:eastAsia="en-IN"/>
              </w:rPr>
              <w:t>oxide scavenging assay</w:t>
            </w:r>
          </w:p>
        </w:tc>
      </w:tr>
      <w:tr w:rsidR="00926D3D" w:rsidRPr="00A85C5A" w:rsidTr="000D6F59">
        <w:trPr>
          <w:trHeight w:val="300"/>
          <w:jc w:val="center"/>
        </w:trPr>
        <w:tc>
          <w:tcPr>
            <w:tcW w:w="1284" w:type="dxa"/>
            <w:vMerge w:val="restart"/>
            <w:tcBorders>
              <w:top w:val="single" w:sz="12" w:space="0" w:color="auto"/>
              <w:left w:val="nil"/>
              <w:bottom w:val="single" w:sz="4"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xml:space="preserve">[Complex] </w:t>
            </w:r>
          </w:p>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10</w:t>
            </w:r>
            <w:r w:rsidRPr="00A85C5A">
              <w:rPr>
                <w:vertAlign w:val="superscript"/>
                <w:lang w:eastAsia="en-IN"/>
              </w:rPr>
              <w:t>-5</w:t>
            </w:r>
            <w:r w:rsidRPr="00A85C5A">
              <w:rPr>
                <w:lang w:eastAsia="en-IN"/>
              </w:rPr>
              <w:t xml:space="preserve"> M</w:t>
            </w:r>
          </w:p>
        </w:tc>
        <w:tc>
          <w:tcPr>
            <w:tcW w:w="7761" w:type="dxa"/>
            <w:gridSpan w:val="7"/>
            <w:tcBorders>
              <w:top w:val="single" w:sz="12" w:space="0" w:color="auto"/>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Inhibition (IC</w:t>
            </w:r>
            <w:r w:rsidRPr="00A85C5A">
              <w:rPr>
                <w:vertAlign w:val="subscript"/>
                <w:lang w:eastAsia="en-IN"/>
              </w:rPr>
              <w:t>50</w:t>
            </w:r>
            <w:r w:rsidRPr="00A85C5A">
              <w:rPr>
                <w:lang w:eastAsia="en-IN"/>
              </w:rPr>
              <w:t>)</w:t>
            </w:r>
          </w:p>
        </w:tc>
      </w:tr>
      <w:tr w:rsidR="00926D3D" w:rsidRPr="00A85C5A" w:rsidTr="000D6F59">
        <w:trPr>
          <w:trHeight w:val="300"/>
          <w:jc w:val="center"/>
        </w:trPr>
        <w:tc>
          <w:tcPr>
            <w:tcW w:w="1284" w:type="dxa"/>
            <w:vMerge/>
            <w:tcBorders>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1</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2</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3</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4</w:t>
            </w:r>
            <w:r w:rsidRPr="00A85C5A">
              <w:rPr>
                <w:lang w:eastAsia="en-IN"/>
              </w:rPr>
              <w:t>)</w:t>
            </w:r>
          </w:p>
        </w:tc>
        <w:tc>
          <w:tcPr>
            <w:tcW w:w="1022"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5</w:t>
            </w:r>
            <w:r w:rsidRPr="00A85C5A">
              <w:rPr>
                <w:lang w:eastAsia="en-IN"/>
              </w:rPr>
              <w:t>)</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LH</w:t>
            </w:r>
            <w:r w:rsidRPr="00A85C5A">
              <w:rPr>
                <w:lang w:eastAsia="en-IN"/>
              </w:rPr>
              <w:t>)</w:t>
            </w:r>
          </w:p>
        </w:tc>
        <w:tc>
          <w:tcPr>
            <w:tcW w:w="1654" w:type="dxa"/>
            <w:tcBorders>
              <w:top w:val="nil"/>
              <w:left w:val="nil"/>
              <w:bottom w:val="single" w:sz="12" w:space="0" w:color="auto"/>
              <w:right w:val="nil"/>
            </w:tcBorders>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Ascorbic acid</w:t>
            </w:r>
          </w:p>
        </w:tc>
      </w:tr>
      <w:tr w:rsidR="00926D3D" w:rsidRPr="00A85C5A" w:rsidTr="000D6F59">
        <w:trPr>
          <w:trHeight w:val="300"/>
          <w:jc w:val="center"/>
        </w:trPr>
        <w:tc>
          <w:tcPr>
            <w:tcW w:w="1284"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17.5437</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11.7823</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12.6557</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15.3563</w:t>
            </w:r>
          </w:p>
        </w:tc>
        <w:tc>
          <w:tcPr>
            <w:tcW w:w="1022"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12.6342</w:t>
            </w:r>
          </w:p>
        </w:tc>
        <w:tc>
          <w:tcPr>
            <w:tcW w:w="1017"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10.7236</w:t>
            </w:r>
          </w:p>
        </w:tc>
        <w:tc>
          <w:tcPr>
            <w:tcW w:w="1654" w:type="dxa"/>
            <w:tcBorders>
              <w:top w:val="single" w:sz="12" w:space="0" w:color="auto"/>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28.5523</w:t>
            </w:r>
          </w:p>
        </w:tc>
      </w:tr>
      <w:tr w:rsidR="00926D3D" w:rsidRPr="00A85C5A" w:rsidTr="000D6F59">
        <w:trPr>
          <w:trHeight w:val="300"/>
          <w:jc w:val="center"/>
        </w:trPr>
        <w:tc>
          <w:tcPr>
            <w:tcW w:w="1284"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8</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25.6732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21.9354</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16.6386</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19.7743</w:t>
            </w:r>
          </w:p>
        </w:tc>
        <w:tc>
          <w:tcPr>
            <w:tcW w:w="1022"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16.2456</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15.5673</w:t>
            </w:r>
          </w:p>
        </w:tc>
        <w:tc>
          <w:tcPr>
            <w:tcW w:w="1654" w:type="dxa"/>
            <w:tcBorders>
              <w:top w:val="nil"/>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35.7543</w:t>
            </w:r>
          </w:p>
        </w:tc>
      </w:tr>
      <w:tr w:rsidR="00926D3D" w:rsidRPr="00A85C5A" w:rsidTr="000D6F59">
        <w:trPr>
          <w:trHeight w:val="300"/>
          <w:jc w:val="center"/>
        </w:trPr>
        <w:tc>
          <w:tcPr>
            <w:tcW w:w="1284"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33.5123</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27.6528</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21.3902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25.8148</w:t>
            </w:r>
          </w:p>
        </w:tc>
        <w:tc>
          <w:tcPr>
            <w:tcW w:w="1022"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21.8732</w:t>
            </w:r>
          </w:p>
        </w:tc>
        <w:tc>
          <w:tcPr>
            <w:tcW w:w="1017"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18.5531</w:t>
            </w:r>
          </w:p>
        </w:tc>
        <w:tc>
          <w:tcPr>
            <w:tcW w:w="1654" w:type="dxa"/>
            <w:tcBorders>
              <w:top w:val="nil"/>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43.6573</w:t>
            </w:r>
          </w:p>
        </w:tc>
      </w:tr>
      <w:tr w:rsidR="00926D3D" w:rsidRPr="00A85C5A" w:rsidTr="000D6F59">
        <w:trPr>
          <w:trHeight w:val="300"/>
          <w:jc w:val="center"/>
        </w:trPr>
        <w:tc>
          <w:tcPr>
            <w:tcW w:w="1284"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16</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42.6723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37.4214</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26.3293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33.8251</w:t>
            </w:r>
          </w:p>
        </w:tc>
        <w:tc>
          <w:tcPr>
            <w:tcW w:w="1022"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37.8842</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29.7303</w:t>
            </w:r>
          </w:p>
        </w:tc>
        <w:tc>
          <w:tcPr>
            <w:tcW w:w="1654" w:type="dxa"/>
            <w:tcBorders>
              <w:top w:val="nil"/>
              <w:left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52.6853</w:t>
            </w:r>
          </w:p>
        </w:tc>
      </w:tr>
      <w:tr w:rsidR="00926D3D" w:rsidRPr="00A85C5A" w:rsidTr="000D6F59">
        <w:trPr>
          <w:trHeight w:val="300"/>
          <w:jc w:val="center"/>
        </w:trPr>
        <w:tc>
          <w:tcPr>
            <w:tcW w:w="1284"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20</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53.7283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48.6643</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41.3652</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47.8843</w:t>
            </w:r>
          </w:p>
        </w:tc>
        <w:tc>
          <w:tcPr>
            <w:tcW w:w="1022"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42.7622</w:t>
            </w:r>
          </w:p>
        </w:tc>
        <w:tc>
          <w:tcPr>
            <w:tcW w:w="1017"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40.9532</w:t>
            </w:r>
          </w:p>
        </w:tc>
        <w:tc>
          <w:tcPr>
            <w:tcW w:w="1654" w:type="dxa"/>
            <w:tcBorders>
              <w:top w:val="nil"/>
              <w:left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63.7217</w:t>
            </w:r>
          </w:p>
        </w:tc>
      </w:tr>
      <w:tr w:rsidR="00926D3D" w:rsidRPr="00A85C5A" w:rsidTr="000D6F59">
        <w:trPr>
          <w:trHeight w:val="300"/>
          <w:jc w:val="center"/>
        </w:trPr>
        <w:tc>
          <w:tcPr>
            <w:tcW w:w="1284"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24</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62.6632</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57.8521</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50.9871</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56.5321</w:t>
            </w:r>
          </w:p>
        </w:tc>
        <w:tc>
          <w:tcPr>
            <w:tcW w:w="1022"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52.3526</w:t>
            </w:r>
          </w:p>
        </w:tc>
        <w:tc>
          <w:tcPr>
            <w:tcW w:w="1017"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50.0953</w:t>
            </w:r>
          </w:p>
        </w:tc>
        <w:tc>
          <w:tcPr>
            <w:tcW w:w="1654" w:type="dxa"/>
            <w:tcBorders>
              <w:top w:val="nil"/>
              <w:left w:val="nil"/>
              <w:bottom w:val="single" w:sz="12" w:space="0" w:color="auto"/>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72.7342</w:t>
            </w:r>
          </w:p>
        </w:tc>
      </w:tr>
    </w:tbl>
    <w:p w:rsidR="00926D3D" w:rsidRPr="00A85C5A" w:rsidRDefault="00926D3D" w:rsidP="00926D3D">
      <w:pPr>
        <w:overflowPunct w:val="0"/>
        <w:autoSpaceDE w:val="0"/>
        <w:autoSpaceDN w:val="0"/>
        <w:adjustRightInd w:val="0"/>
        <w:spacing w:line="360" w:lineRule="auto"/>
        <w:ind w:left="993" w:hanging="993"/>
        <w:jc w:val="both"/>
        <w:textAlignment w:val="baseline"/>
        <w:rPr>
          <w:lang w:val="en-US" w:eastAsia="en-US"/>
        </w:rPr>
      </w:pPr>
    </w:p>
    <w:p w:rsidR="00926D3D" w:rsidRPr="00A85C5A" w:rsidRDefault="00926D3D" w:rsidP="00926D3D">
      <w:pPr>
        <w:overflowPunct w:val="0"/>
        <w:autoSpaceDE w:val="0"/>
        <w:autoSpaceDN w:val="0"/>
        <w:adjustRightInd w:val="0"/>
        <w:spacing w:line="360" w:lineRule="auto"/>
        <w:ind w:left="993" w:hanging="993"/>
        <w:jc w:val="both"/>
        <w:textAlignment w:val="baseline"/>
        <w:rPr>
          <w:lang w:val="en-US" w:eastAsia="en-US"/>
        </w:rPr>
      </w:pPr>
    </w:p>
    <w:p w:rsidR="00171A26" w:rsidRPr="00A85C5A" w:rsidRDefault="00171A26" w:rsidP="00926D3D">
      <w:pPr>
        <w:overflowPunct w:val="0"/>
        <w:autoSpaceDE w:val="0"/>
        <w:autoSpaceDN w:val="0"/>
        <w:adjustRightInd w:val="0"/>
        <w:spacing w:line="360" w:lineRule="auto"/>
        <w:ind w:left="993" w:hanging="993"/>
        <w:jc w:val="both"/>
        <w:textAlignment w:val="baseline"/>
        <w:rPr>
          <w:lang w:val="en-US" w:eastAsia="en-US"/>
        </w:rPr>
      </w:pPr>
    </w:p>
    <w:p w:rsidR="00BD10DB" w:rsidRPr="00A85C5A" w:rsidRDefault="00BD10DB" w:rsidP="00926D3D">
      <w:pPr>
        <w:overflowPunct w:val="0"/>
        <w:autoSpaceDE w:val="0"/>
        <w:autoSpaceDN w:val="0"/>
        <w:adjustRightInd w:val="0"/>
        <w:spacing w:line="360" w:lineRule="auto"/>
        <w:ind w:left="993" w:hanging="993"/>
        <w:jc w:val="both"/>
        <w:textAlignment w:val="baseline"/>
        <w:rPr>
          <w:lang w:val="en-US" w:eastAsia="en-US"/>
        </w:rPr>
      </w:pPr>
    </w:p>
    <w:p w:rsidR="00196C35" w:rsidRPr="00A85C5A" w:rsidRDefault="00196C35" w:rsidP="00926D3D">
      <w:pPr>
        <w:overflowPunct w:val="0"/>
        <w:autoSpaceDE w:val="0"/>
        <w:autoSpaceDN w:val="0"/>
        <w:adjustRightInd w:val="0"/>
        <w:spacing w:line="360" w:lineRule="auto"/>
        <w:ind w:left="993" w:hanging="993"/>
        <w:jc w:val="both"/>
        <w:textAlignment w:val="baseline"/>
        <w:rPr>
          <w:lang w:val="en-US" w:eastAsia="en-US"/>
        </w:rPr>
      </w:pPr>
    </w:p>
    <w:p w:rsidR="00196C35" w:rsidRPr="00A85C5A" w:rsidRDefault="00196C35" w:rsidP="00926D3D">
      <w:pPr>
        <w:overflowPunct w:val="0"/>
        <w:autoSpaceDE w:val="0"/>
        <w:autoSpaceDN w:val="0"/>
        <w:adjustRightInd w:val="0"/>
        <w:spacing w:line="360" w:lineRule="auto"/>
        <w:ind w:left="993" w:hanging="993"/>
        <w:jc w:val="both"/>
        <w:textAlignment w:val="baseline"/>
        <w:rPr>
          <w:lang w:val="en-US" w:eastAsia="en-US"/>
        </w:rPr>
      </w:pPr>
    </w:p>
    <w:p w:rsidR="00BD10DB" w:rsidRPr="00A85C5A" w:rsidRDefault="00BD10DB" w:rsidP="00926D3D">
      <w:pPr>
        <w:overflowPunct w:val="0"/>
        <w:autoSpaceDE w:val="0"/>
        <w:autoSpaceDN w:val="0"/>
        <w:adjustRightInd w:val="0"/>
        <w:spacing w:line="360" w:lineRule="auto"/>
        <w:ind w:left="993" w:hanging="993"/>
        <w:jc w:val="both"/>
        <w:textAlignment w:val="baseline"/>
        <w:rPr>
          <w:lang w:val="en-US" w:eastAsia="en-US"/>
        </w:rPr>
      </w:pPr>
    </w:p>
    <w:tbl>
      <w:tblPr>
        <w:tblW w:w="8856" w:type="dxa"/>
        <w:jc w:val="center"/>
        <w:tblLook w:val="04A0" w:firstRow="1" w:lastRow="0" w:firstColumn="1" w:lastColumn="0" w:noHBand="0" w:noVBand="1"/>
      </w:tblPr>
      <w:tblGrid>
        <w:gridCol w:w="1256"/>
        <w:gridCol w:w="996"/>
        <w:gridCol w:w="996"/>
        <w:gridCol w:w="996"/>
        <w:gridCol w:w="996"/>
        <w:gridCol w:w="1001"/>
        <w:gridCol w:w="996"/>
        <w:gridCol w:w="1619"/>
      </w:tblGrid>
      <w:tr w:rsidR="00926D3D" w:rsidRPr="00A85C5A" w:rsidTr="000D6F59">
        <w:trPr>
          <w:trHeight w:val="300"/>
          <w:jc w:val="center"/>
        </w:trPr>
        <w:tc>
          <w:tcPr>
            <w:tcW w:w="8856" w:type="dxa"/>
            <w:gridSpan w:val="8"/>
            <w:tcBorders>
              <w:top w:val="nil"/>
              <w:left w:val="nil"/>
              <w:bottom w:val="single" w:sz="4" w:space="0" w:color="auto"/>
              <w:right w:val="nil"/>
            </w:tcBorders>
            <w:shd w:val="clear" w:color="auto" w:fill="auto"/>
            <w:noWrap/>
            <w:vAlign w:val="bottom"/>
            <w:hideMark/>
          </w:tcPr>
          <w:p w:rsidR="00926D3D" w:rsidRPr="00A85C5A" w:rsidRDefault="00540C65" w:rsidP="000D6F59">
            <w:pPr>
              <w:overflowPunct w:val="0"/>
              <w:autoSpaceDE w:val="0"/>
              <w:autoSpaceDN w:val="0"/>
              <w:adjustRightInd w:val="0"/>
              <w:spacing w:line="240" w:lineRule="auto"/>
              <w:jc w:val="both"/>
              <w:textAlignment w:val="baseline"/>
              <w:rPr>
                <w:b/>
                <w:bCs/>
                <w:lang w:eastAsia="en-US"/>
              </w:rPr>
            </w:pPr>
            <w:r w:rsidRPr="00A85C5A">
              <w:rPr>
                <w:b/>
                <w:bCs/>
                <w:lang w:eastAsia="en-US"/>
              </w:rPr>
              <w:t>Table S4</w:t>
            </w:r>
            <w:r w:rsidR="00926D3D" w:rsidRPr="00A85C5A">
              <w:rPr>
                <w:b/>
                <w:bCs/>
                <w:lang w:eastAsia="en-US"/>
              </w:rPr>
              <w:t xml:space="preserve">e </w:t>
            </w:r>
            <w:r w:rsidR="00926D3D" w:rsidRPr="00A85C5A">
              <w:rPr>
                <w:lang w:eastAsia="en-US"/>
              </w:rPr>
              <w:t>IC</w:t>
            </w:r>
            <w:r w:rsidR="00926D3D" w:rsidRPr="00A85C5A">
              <w:rPr>
                <w:vertAlign w:val="subscript"/>
                <w:lang w:eastAsia="en-US"/>
              </w:rPr>
              <w:t>50</w:t>
            </w:r>
            <w:r w:rsidR="00926D3D" w:rsidRPr="00A85C5A">
              <w:rPr>
                <w:lang w:eastAsia="en-US"/>
              </w:rPr>
              <w:t xml:space="preserve"> values of </w:t>
            </w:r>
            <w:r w:rsidR="004C5F21" w:rsidRPr="00A85C5A">
              <w:rPr>
                <w:lang w:eastAsia="en-IN"/>
              </w:rPr>
              <w:t xml:space="preserve">ferric </w:t>
            </w:r>
            <w:r w:rsidR="00926D3D" w:rsidRPr="00A85C5A">
              <w:rPr>
                <w:lang w:eastAsia="en-IN"/>
              </w:rPr>
              <w:t>reducing antioxidant power assay</w:t>
            </w:r>
            <w:r w:rsidR="00926D3D" w:rsidRPr="00A85C5A">
              <w:t xml:space="preserve"> (FRAP)</w:t>
            </w:r>
          </w:p>
        </w:tc>
      </w:tr>
      <w:tr w:rsidR="00926D3D" w:rsidRPr="00A85C5A" w:rsidTr="000D6F59">
        <w:trPr>
          <w:trHeight w:val="300"/>
          <w:jc w:val="center"/>
        </w:trPr>
        <w:tc>
          <w:tcPr>
            <w:tcW w:w="1256" w:type="dxa"/>
            <w:vMerge w:val="restart"/>
            <w:tcBorders>
              <w:top w:val="single" w:sz="12" w:space="0" w:color="auto"/>
              <w:left w:val="nil"/>
              <w:bottom w:val="single" w:sz="4"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xml:space="preserve">[Complex] </w:t>
            </w:r>
          </w:p>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10</w:t>
            </w:r>
            <w:r w:rsidRPr="00A85C5A">
              <w:rPr>
                <w:vertAlign w:val="superscript"/>
                <w:lang w:eastAsia="en-IN"/>
              </w:rPr>
              <w:t>-5</w:t>
            </w:r>
            <w:r w:rsidRPr="00A85C5A">
              <w:rPr>
                <w:lang w:eastAsia="en-IN"/>
              </w:rPr>
              <w:t xml:space="preserve"> M</w:t>
            </w:r>
          </w:p>
        </w:tc>
        <w:tc>
          <w:tcPr>
            <w:tcW w:w="7600" w:type="dxa"/>
            <w:gridSpan w:val="7"/>
            <w:tcBorders>
              <w:top w:val="single" w:sz="12" w:space="0" w:color="auto"/>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 Inhibition (IC</w:t>
            </w:r>
            <w:r w:rsidRPr="00A85C5A">
              <w:rPr>
                <w:vertAlign w:val="subscript"/>
                <w:lang w:eastAsia="en-IN"/>
              </w:rPr>
              <w:t>50</w:t>
            </w:r>
            <w:r w:rsidRPr="00A85C5A">
              <w:rPr>
                <w:lang w:eastAsia="en-IN"/>
              </w:rPr>
              <w:t>)</w:t>
            </w:r>
          </w:p>
        </w:tc>
      </w:tr>
      <w:tr w:rsidR="00926D3D" w:rsidRPr="00A85C5A" w:rsidTr="000D6F59">
        <w:trPr>
          <w:trHeight w:val="300"/>
          <w:jc w:val="center"/>
        </w:trPr>
        <w:tc>
          <w:tcPr>
            <w:tcW w:w="1256" w:type="dxa"/>
            <w:vMerge/>
            <w:tcBorders>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p>
        </w:tc>
        <w:tc>
          <w:tcPr>
            <w:tcW w:w="996"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1</w:t>
            </w:r>
            <w:r w:rsidRPr="00A85C5A">
              <w:rPr>
                <w:lang w:eastAsia="en-IN"/>
              </w:rPr>
              <w:t>)</w:t>
            </w:r>
          </w:p>
        </w:tc>
        <w:tc>
          <w:tcPr>
            <w:tcW w:w="996"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2</w:t>
            </w:r>
            <w:r w:rsidRPr="00A85C5A">
              <w:rPr>
                <w:lang w:eastAsia="en-IN"/>
              </w:rPr>
              <w:t>)</w:t>
            </w:r>
          </w:p>
        </w:tc>
        <w:tc>
          <w:tcPr>
            <w:tcW w:w="996"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3</w:t>
            </w:r>
            <w:r w:rsidRPr="00A85C5A">
              <w:rPr>
                <w:lang w:eastAsia="en-IN"/>
              </w:rPr>
              <w:t>)</w:t>
            </w:r>
          </w:p>
        </w:tc>
        <w:tc>
          <w:tcPr>
            <w:tcW w:w="996"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4</w:t>
            </w:r>
            <w:r w:rsidRPr="00A85C5A">
              <w:rPr>
                <w:lang w:eastAsia="en-IN"/>
              </w:rPr>
              <w:t>)</w:t>
            </w:r>
          </w:p>
        </w:tc>
        <w:tc>
          <w:tcPr>
            <w:tcW w:w="1001"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5</w:t>
            </w:r>
            <w:r w:rsidRPr="00A85C5A">
              <w:rPr>
                <w:lang w:eastAsia="en-IN"/>
              </w:rPr>
              <w:t>)</w:t>
            </w:r>
          </w:p>
        </w:tc>
        <w:tc>
          <w:tcPr>
            <w:tcW w:w="996"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LH</w:t>
            </w:r>
            <w:r w:rsidRPr="00A85C5A">
              <w:rPr>
                <w:lang w:eastAsia="en-IN"/>
              </w:rPr>
              <w:t>)</w:t>
            </w:r>
          </w:p>
        </w:tc>
        <w:tc>
          <w:tcPr>
            <w:tcW w:w="1619" w:type="dxa"/>
            <w:tcBorders>
              <w:top w:val="nil"/>
              <w:left w:val="nil"/>
              <w:bottom w:val="single" w:sz="12" w:space="0" w:color="auto"/>
              <w:right w:val="nil"/>
            </w:tcBorders>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Ascorbic acid</w:t>
            </w:r>
          </w:p>
        </w:tc>
      </w:tr>
      <w:tr w:rsidR="00926D3D" w:rsidRPr="00A85C5A" w:rsidTr="000D6F59">
        <w:trPr>
          <w:trHeight w:val="300"/>
          <w:jc w:val="center"/>
        </w:trPr>
        <w:tc>
          <w:tcPr>
            <w:tcW w:w="1256"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w:t>
            </w:r>
          </w:p>
        </w:tc>
        <w:tc>
          <w:tcPr>
            <w:tcW w:w="996"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17.7241</w:t>
            </w:r>
          </w:p>
        </w:tc>
        <w:tc>
          <w:tcPr>
            <w:tcW w:w="996"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15.6453</w:t>
            </w:r>
          </w:p>
        </w:tc>
        <w:tc>
          <w:tcPr>
            <w:tcW w:w="996"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11.7432</w:t>
            </w:r>
          </w:p>
        </w:tc>
        <w:tc>
          <w:tcPr>
            <w:tcW w:w="996"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14.3563</w:t>
            </w:r>
          </w:p>
        </w:tc>
        <w:tc>
          <w:tcPr>
            <w:tcW w:w="1001"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12.7583</w:t>
            </w:r>
          </w:p>
        </w:tc>
        <w:tc>
          <w:tcPr>
            <w:tcW w:w="996" w:type="dxa"/>
            <w:tcBorders>
              <w:top w:val="single" w:sz="12" w:space="0" w:color="auto"/>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13.8352</w:t>
            </w:r>
          </w:p>
        </w:tc>
        <w:tc>
          <w:tcPr>
            <w:tcW w:w="1619" w:type="dxa"/>
            <w:tcBorders>
              <w:top w:val="single" w:sz="12" w:space="0" w:color="auto"/>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28.6843</w:t>
            </w:r>
          </w:p>
        </w:tc>
      </w:tr>
      <w:tr w:rsidR="00926D3D" w:rsidRPr="00A85C5A" w:rsidTr="000D6F59">
        <w:trPr>
          <w:trHeight w:val="300"/>
          <w:jc w:val="center"/>
        </w:trPr>
        <w:tc>
          <w:tcPr>
            <w:tcW w:w="125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8</w:t>
            </w:r>
          </w:p>
        </w:tc>
        <w:tc>
          <w:tcPr>
            <w:tcW w:w="99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23.2341</w:t>
            </w:r>
          </w:p>
        </w:tc>
        <w:tc>
          <w:tcPr>
            <w:tcW w:w="99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22.6271</w:t>
            </w:r>
          </w:p>
        </w:tc>
        <w:tc>
          <w:tcPr>
            <w:tcW w:w="99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14.2381</w:t>
            </w:r>
          </w:p>
        </w:tc>
        <w:tc>
          <w:tcPr>
            <w:tcW w:w="99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20.7743</w:t>
            </w:r>
          </w:p>
        </w:tc>
        <w:tc>
          <w:tcPr>
            <w:tcW w:w="1001"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16.6543</w:t>
            </w:r>
          </w:p>
        </w:tc>
        <w:tc>
          <w:tcPr>
            <w:tcW w:w="99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18.6342</w:t>
            </w:r>
          </w:p>
        </w:tc>
        <w:tc>
          <w:tcPr>
            <w:tcW w:w="1619" w:type="dxa"/>
            <w:tcBorders>
              <w:top w:val="nil"/>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37.6453</w:t>
            </w:r>
          </w:p>
        </w:tc>
      </w:tr>
      <w:tr w:rsidR="00926D3D" w:rsidRPr="00A85C5A" w:rsidTr="000D6F59">
        <w:trPr>
          <w:trHeight w:val="300"/>
          <w:jc w:val="center"/>
        </w:trPr>
        <w:tc>
          <w:tcPr>
            <w:tcW w:w="125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12</w:t>
            </w:r>
          </w:p>
        </w:tc>
        <w:tc>
          <w:tcPr>
            <w:tcW w:w="99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30.6327</w:t>
            </w:r>
          </w:p>
        </w:tc>
        <w:tc>
          <w:tcPr>
            <w:tcW w:w="99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28.5332</w:t>
            </w:r>
          </w:p>
        </w:tc>
        <w:tc>
          <w:tcPr>
            <w:tcW w:w="99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20.7435</w:t>
            </w:r>
          </w:p>
        </w:tc>
        <w:tc>
          <w:tcPr>
            <w:tcW w:w="99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25.8148</w:t>
            </w:r>
          </w:p>
        </w:tc>
        <w:tc>
          <w:tcPr>
            <w:tcW w:w="1001"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24.7762</w:t>
            </w:r>
          </w:p>
        </w:tc>
        <w:tc>
          <w:tcPr>
            <w:tcW w:w="996" w:type="dxa"/>
            <w:tcBorders>
              <w:top w:val="nil"/>
              <w:left w:val="nil"/>
              <w:bottom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24.6329</w:t>
            </w:r>
          </w:p>
        </w:tc>
        <w:tc>
          <w:tcPr>
            <w:tcW w:w="1619" w:type="dxa"/>
            <w:tcBorders>
              <w:top w:val="nil"/>
              <w:left w:val="nil"/>
              <w:bottom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51.6453</w:t>
            </w:r>
          </w:p>
        </w:tc>
      </w:tr>
      <w:tr w:rsidR="00926D3D" w:rsidRPr="00A85C5A" w:rsidTr="000D6F59">
        <w:trPr>
          <w:trHeight w:val="300"/>
          <w:jc w:val="center"/>
        </w:trPr>
        <w:tc>
          <w:tcPr>
            <w:tcW w:w="125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16</w:t>
            </w:r>
          </w:p>
        </w:tc>
        <w:tc>
          <w:tcPr>
            <w:tcW w:w="99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40.5428</w:t>
            </w:r>
          </w:p>
        </w:tc>
        <w:tc>
          <w:tcPr>
            <w:tcW w:w="99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35.7632</w:t>
            </w:r>
          </w:p>
        </w:tc>
        <w:tc>
          <w:tcPr>
            <w:tcW w:w="99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30.5632</w:t>
            </w:r>
          </w:p>
        </w:tc>
        <w:tc>
          <w:tcPr>
            <w:tcW w:w="99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38.8251</w:t>
            </w:r>
          </w:p>
        </w:tc>
        <w:tc>
          <w:tcPr>
            <w:tcW w:w="1001"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37.7322</w:t>
            </w:r>
          </w:p>
        </w:tc>
        <w:tc>
          <w:tcPr>
            <w:tcW w:w="99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33.3520</w:t>
            </w:r>
          </w:p>
        </w:tc>
        <w:tc>
          <w:tcPr>
            <w:tcW w:w="1619" w:type="dxa"/>
            <w:tcBorders>
              <w:top w:val="nil"/>
              <w:left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68.7563</w:t>
            </w:r>
          </w:p>
        </w:tc>
      </w:tr>
      <w:tr w:rsidR="00926D3D" w:rsidRPr="00A85C5A" w:rsidTr="000D6F59">
        <w:trPr>
          <w:trHeight w:val="300"/>
          <w:jc w:val="center"/>
        </w:trPr>
        <w:tc>
          <w:tcPr>
            <w:tcW w:w="125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20</w:t>
            </w:r>
          </w:p>
        </w:tc>
        <w:tc>
          <w:tcPr>
            <w:tcW w:w="99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54.7283</w:t>
            </w:r>
          </w:p>
        </w:tc>
        <w:tc>
          <w:tcPr>
            <w:tcW w:w="99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51.3462</w:t>
            </w:r>
          </w:p>
        </w:tc>
        <w:tc>
          <w:tcPr>
            <w:tcW w:w="99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41.5621</w:t>
            </w:r>
          </w:p>
        </w:tc>
        <w:tc>
          <w:tcPr>
            <w:tcW w:w="99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50.9013</w:t>
            </w:r>
          </w:p>
        </w:tc>
        <w:tc>
          <w:tcPr>
            <w:tcW w:w="1001"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48.8435</w:t>
            </w:r>
          </w:p>
        </w:tc>
        <w:tc>
          <w:tcPr>
            <w:tcW w:w="996" w:type="dxa"/>
            <w:tcBorders>
              <w:top w:val="nil"/>
              <w:left w:val="nil"/>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50.8821</w:t>
            </w:r>
          </w:p>
        </w:tc>
        <w:tc>
          <w:tcPr>
            <w:tcW w:w="1619" w:type="dxa"/>
            <w:tcBorders>
              <w:top w:val="nil"/>
              <w:left w:val="nil"/>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79.4561</w:t>
            </w:r>
          </w:p>
        </w:tc>
      </w:tr>
      <w:tr w:rsidR="00926D3D" w:rsidRPr="00A85C5A" w:rsidTr="000D6F59">
        <w:trPr>
          <w:trHeight w:val="300"/>
          <w:jc w:val="center"/>
        </w:trPr>
        <w:tc>
          <w:tcPr>
            <w:tcW w:w="1256"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24</w:t>
            </w:r>
          </w:p>
        </w:tc>
        <w:tc>
          <w:tcPr>
            <w:tcW w:w="996"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63.7242</w:t>
            </w:r>
          </w:p>
        </w:tc>
        <w:tc>
          <w:tcPr>
            <w:tcW w:w="996"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58.7623</w:t>
            </w:r>
          </w:p>
        </w:tc>
        <w:tc>
          <w:tcPr>
            <w:tcW w:w="996"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56.3583</w:t>
            </w:r>
          </w:p>
        </w:tc>
        <w:tc>
          <w:tcPr>
            <w:tcW w:w="996"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56.5321</w:t>
            </w:r>
          </w:p>
        </w:tc>
        <w:tc>
          <w:tcPr>
            <w:tcW w:w="1001"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57.6634</w:t>
            </w:r>
          </w:p>
        </w:tc>
        <w:tc>
          <w:tcPr>
            <w:tcW w:w="996" w:type="dxa"/>
            <w:tcBorders>
              <w:top w:val="nil"/>
              <w:left w:val="nil"/>
              <w:bottom w:val="single" w:sz="12" w:space="0" w:color="auto"/>
              <w:right w:val="nil"/>
            </w:tcBorders>
            <w:shd w:val="clear" w:color="auto" w:fill="auto"/>
            <w:noWrap/>
            <w:vAlign w:val="bottom"/>
            <w:hideMark/>
          </w:tcPr>
          <w:p w:rsidR="00926D3D" w:rsidRPr="00A85C5A" w:rsidRDefault="00926D3D" w:rsidP="000D6F59">
            <w:pPr>
              <w:overflowPunct w:val="0"/>
              <w:autoSpaceDE w:val="0"/>
              <w:autoSpaceDN w:val="0"/>
              <w:adjustRightInd w:val="0"/>
              <w:spacing w:line="240" w:lineRule="auto"/>
              <w:jc w:val="right"/>
              <w:textAlignment w:val="baseline"/>
              <w:rPr>
                <w:lang w:eastAsia="en-IN"/>
              </w:rPr>
            </w:pPr>
            <w:r w:rsidRPr="00A85C5A">
              <w:rPr>
                <w:lang w:eastAsia="en-IN"/>
              </w:rPr>
              <w:t>55.2944</w:t>
            </w:r>
          </w:p>
        </w:tc>
        <w:tc>
          <w:tcPr>
            <w:tcW w:w="1619" w:type="dxa"/>
            <w:tcBorders>
              <w:top w:val="nil"/>
              <w:left w:val="nil"/>
              <w:bottom w:val="single" w:sz="12" w:space="0" w:color="auto"/>
              <w:right w:val="nil"/>
            </w:tcBorders>
            <w:vAlign w:val="bottom"/>
          </w:tcPr>
          <w:p w:rsidR="00926D3D" w:rsidRPr="00A85C5A" w:rsidRDefault="00926D3D" w:rsidP="000D6F59">
            <w:pPr>
              <w:overflowPunct w:val="0"/>
              <w:autoSpaceDE w:val="0"/>
              <w:autoSpaceDN w:val="0"/>
              <w:adjustRightInd w:val="0"/>
              <w:spacing w:line="240" w:lineRule="auto"/>
              <w:jc w:val="center"/>
              <w:textAlignment w:val="baseline"/>
              <w:rPr>
                <w:lang w:eastAsia="en-IN"/>
              </w:rPr>
            </w:pPr>
            <w:r w:rsidRPr="00A85C5A">
              <w:rPr>
                <w:lang w:eastAsia="en-IN"/>
              </w:rPr>
              <w:t>88.6743</w:t>
            </w:r>
          </w:p>
        </w:tc>
      </w:tr>
    </w:tbl>
    <w:p w:rsidR="00926D3D" w:rsidRPr="00A85C5A" w:rsidRDefault="00926D3D" w:rsidP="00926D3D">
      <w:pPr>
        <w:overflowPunct w:val="0"/>
        <w:autoSpaceDE w:val="0"/>
        <w:autoSpaceDN w:val="0"/>
        <w:adjustRightInd w:val="0"/>
        <w:spacing w:line="240" w:lineRule="auto"/>
        <w:jc w:val="center"/>
        <w:textAlignment w:val="baseline"/>
        <w:rPr>
          <w:shd w:val="clear" w:color="auto" w:fill="FFFFFF"/>
          <w:lang w:eastAsia="en-US"/>
        </w:rPr>
      </w:pPr>
    </w:p>
    <w:p w:rsidR="0063686E" w:rsidRPr="00A85C5A" w:rsidRDefault="0063686E" w:rsidP="00926D3D">
      <w:pPr>
        <w:overflowPunct w:val="0"/>
        <w:autoSpaceDE w:val="0"/>
        <w:autoSpaceDN w:val="0"/>
        <w:adjustRightInd w:val="0"/>
        <w:spacing w:line="240" w:lineRule="auto"/>
        <w:jc w:val="both"/>
        <w:textAlignment w:val="baseline"/>
        <w:rPr>
          <w:shd w:val="clear" w:color="auto" w:fill="FFFFFF"/>
          <w:lang w:eastAsia="en-US"/>
        </w:rPr>
      </w:pPr>
    </w:p>
    <w:p w:rsidR="00735DDC" w:rsidRPr="00A85C5A" w:rsidRDefault="00735DDC" w:rsidP="00735DDC">
      <w:pPr>
        <w:overflowPunct w:val="0"/>
        <w:autoSpaceDE w:val="0"/>
        <w:autoSpaceDN w:val="0"/>
        <w:adjustRightInd w:val="0"/>
        <w:spacing w:line="240" w:lineRule="auto"/>
        <w:contextualSpacing/>
        <w:jc w:val="both"/>
        <w:textAlignment w:val="baseline"/>
      </w:pPr>
    </w:p>
    <w:p w:rsidR="00BD10DB" w:rsidRPr="00A85C5A" w:rsidRDefault="00BD10DB" w:rsidP="00735DDC">
      <w:pPr>
        <w:overflowPunct w:val="0"/>
        <w:autoSpaceDE w:val="0"/>
        <w:autoSpaceDN w:val="0"/>
        <w:adjustRightInd w:val="0"/>
        <w:spacing w:line="240" w:lineRule="auto"/>
        <w:contextualSpacing/>
        <w:jc w:val="both"/>
        <w:textAlignment w:val="baseline"/>
      </w:pPr>
    </w:p>
    <w:p w:rsidR="00BD10DB" w:rsidRPr="00A85C5A" w:rsidRDefault="00BD10DB" w:rsidP="00735DDC">
      <w:pPr>
        <w:overflowPunct w:val="0"/>
        <w:autoSpaceDE w:val="0"/>
        <w:autoSpaceDN w:val="0"/>
        <w:adjustRightInd w:val="0"/>
        <w:spacing w:line="240" w:lineRule="auto"/>
        <w:contextualSpacing/>
        <w:jc w:val="both"/>
        <w:textAlignment w:val="baseline"/>
      </w:pPr>
    </w:p>
    <w:p w:rsidR="00BD10DB" w:rsidRPr="00A85C5A" w:rsidRDefault="00BD10DB" w:rsidP="00735DDC">
      <w:pPr>
        <w:overflowPunct w:val="0"/>
        <w:autoSpaceDE w:val="0"/>
        <w:autoSpaceDN w:val="0"/>
        <w:adjustRightInd w:val="0"/>
        <w:spacing w:line="240" w:lineRule="auto"/>
        <w:contextualSpacing/>
        <w:jc w:val="both"/>
        <w:textAlignment w:val="baseline"/>
      </w:pPr>
    </w:p>
    <w:p w:rsidR="00BD10DB" w:rsidRPr="00A85C5A" w:rsidRDefault="00BD10DB" w:rsidP="00735DDC">
      <w:pPr>
        <w:overflowPunct w:val="0"/>
        <w:autoSpaceDE w:val="0"/>
        <w:autoSpaceDN w:val="0"/>
        <w:adjustRightInd w:val="0"/>
        <w:spacing w:line="240" w:lineRule="auto"/>
        <w:contextualSpacing/>
        <w:jc w:val="both"/>
        <w:textAlignment w:val="baseline"/>
      </w:pPr>
    </w:p>
    <w:p w:rsidR="00BD10DB" w:rsidRPr="00A85C5A" w:rsidRDefault="00BD10DB" w:rsidP="00735DDC">
      <w:pPr>
        <w:overflowPunct w:val="0"/>
        <w:autoSpaceDE w:val="0"/>
        <w:autoSpaceDN w:val="0"/>
        <w:adjustRightInd w:val="0"/>
        <w:spacing w:line="240" w:lineRule="auto"/>
        <w:contextualSpacing/>
        <w:jc w:val="both"/>
        <w:textAlignment w:val="baseline"/>
      </w:pPr>
    </w:p>
    <w:tbl>
      <w:tblPr>
        <w:tblpPr w:leftFromText="180" w:rightFromText="180" w:vertAnchor="text" w:horzAnchor="page" w:tblpX="2245" w:tblpY="126"/>
        <w:tblW w:w="7905" w:type="dxa"/>
        <w:tblLook w:val="04A0" w:firstRow="1" w:lastRow="0" w:firstColumn="1" w:lastColumn="0" w:noHBand="0" w:noVBand="1"/>
      </w:tblPr>
      <w:tblGrid>
        <w:gridCol w:w="1377"/>
        <w:gridCol w:w="1222"/>
        <w:gridCol w:w="1276"/>
        <w:gridCol w:w="2268"/>
        <w:gridCol w:w="1843"/>
      </w:tblGrid>
      <w:tr w:rsidR="00735DDC" w:rsidRPr="00A85C5A" w:rsidTr="008069FD">
        <w:trPr>
          <w:trHeight w:val="285"/>
        </w:trPr>
        <w:tc>
          <w:tcPr>
            <w:tcW w:w="7905" w:type="dxa"/>
            <w:gridSpan w:val="5"/>
            <w:tcBorders>
              <w:top w:val="nil"/>
              <w:left w:val="nil"/>
              <w:bottom w:val="single" w:sz="4" w:space="0" w:color="auto"/>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both"/>
              <w:textAlignment w:val="baseline"/>
              <w:rPr>
                <w:lang w:eastAsia="en-IN"/>
              </w:rPr>
            </w:pPr>
            <w:r w:rsidRPr="00A85C5A">
              <w:rPr>
                <w:b/>
              </w:rPr>
              <w:t xml:space="preserve">Table </w:t>
            </w:r>
            <w:r w:rsidRPr="00A85C5A">
              <w:rPr>
                <w:b/>
                <w:bCs/>
              </w:rPr>
              <w:t>S</w:t>
            </w:r>
            <w:r w:rsidRPr="00A85C5A">
              <w:rPr>
                <w:b/>
              </w:rPr>
              <w:t>5</w:t>
            </w:r>
            <w:r w:rsidRPr="00A85C5A">
              <w:rPr>
                <w:b/>
                <w:bCs/>
              </w:rPr>
              <w:t xml:space="preserve"> </w:t>
            </w:r>
            <w:r w:rsidRPr="00A85C5A">
              <w:t xml:space="preserve">Frontier molecular orbital energy gap and </w:t>
            </w:r>
            <w:r w:rsidRPr="00A85C5A">
              <w:rPr>
                <w:lang w:eastAsia="en-IN"/>
              </w:rPr>
              <w:t xml:space="preserve">dipole moment values </w:t>
            </w:r>
            <w:r w:rsidRPr="00A85C5A">
              <w:t>of  ligand (</w:t>
            </w:r>
            <w:r w:rsidRPr="00A85C5A">
              <w:rPr>
                <w:b/>
                <w:bCs/>
              </w:rPr>
              <w:t>LH</w:t>
            </w:r>
            <w:r w:rsidRPr="00A85C5A">
              <w:t>) and its complexes (</w:t>
            </w:r>
            <w:r w:rsidRPr="00A85C5A">
              <w:rPr>
                <w:b/>
                <w:bCs/>
              </w:rPr>
              <w:t>1-5</w:t>
            </w:r>
            <w:r w:rsidRPr="00A85C5A">
              <w:t>)</w:t>
            </w:r>
          </w:p>
        </w:tc>
      </w:tr>
      <w:tr w:rsidR="00735DDC" w:rsidRPr="00A85C5A" w:rsidTr="008069FD">
        <w:trPr>
          <w:trHeight w:val="285"/>
        </w:trPr>
        <w:tc>
          <w:tcPr>
            <w:tcW w:w="1296" w:type="dxa"/>
            <w:tcBorders>
              <w:top w:val="single" w:sz="12" w:space="0" w:color="auto"/>
              <w:left w:val="nil"/>
              <w:bottom w:val="single" w:sz="12" w:space="0" w:color="auto"/>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Compounds</w:t>
            </w:r>
          </w:p>
        </w:tc>
        <w:tc>
          <w:tcPr>
            <w:tcW w:w="1222" w:type="dxa"/>
            <w:tcBorders>
              <w:top w:val="single" w:sz="12" w:space="0" w:color="auto"/>
              <w:left w:val="nil"/>
              <w:bottom w:val="single" w:sz="12" w:space="0" w:color="auto"/>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HOMO  (eV)</w:t>
            </w:r>
          </w:p>
        </w:tc>
        <w:tc>
          <w:tcPr>
            <w:tcW w:w="1276" w:type="dxa"/>
            <w:tcBorders>
              <w:top w:val="single" w:sz="12" w:space="0" w:color="auto"/>
              <w:left w:val="nil"/>
              <w:bottom w:val="single" w:sz="12" w:space="0" w:color="auto"/>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 xml:space="preserve">LUMO </w:t>
            </w:r>
          </w:p>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(eV)</w:t>
            </w:r>
          </w:p>
        </w:tc>
        <w:tc>
          <w:tcPr>
            <w:tcW w:w="2268" w:type="dxa"/>
            <w:tcBorders>
              <w:top w:val="single" w:sz="12" w:space="0" w:color="auto"/>
              <w:left w:val="nil"/>
              <w:bottom w:val="single" w:sz="12" w:space="0" w:color="auto"/>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both"/>
              <w:textAlignment w:val="baseline"/>
              <w:rPr>
                <w:lang w:eastAsia="en-IN"/>
              </w:rPr>
            </w:pPr>
            <w:r w:rsidRPr="00A85C5A">
              <w:rPr>
                <w:lang w:eastAsia="en-IN"/>
              </w:rPr>
              <w:t>HOMO-LUMO gap</w:t>
            </w:r>
          </w:p>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(eV)</w:t>
            </w:r>
          </w:p>
        </w:tc>
        <w:tc>
          <w:tcPr>
            <w:tcW w:w="1843" w:type="dxa"/>
            <w:tcBorders>
              <w:top w:val="single" w:sz="12" w:space="0" w:color="auto"/>
              <w:left w:val="nil"/>
              <w:bottom w:val="single" w:sz="12" w:space="0" w:color="auto"/>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Dipole moment  (Debye)</w:t>
            </w:r>
          </w:p>
        </w:tc>
      </w:tr>
      <w:tr w:rsidR="00735DDC" w:rsidRPr="00A85C5A" w:rsidTr="008069FD">
        <w:trPr>
          <w:trHeight w:val="285"/>
        </w:trPr>
        <w:tc>
          <w:tcPr>
            <w:tcW w:w="1296" w:type="dxa"/>
            <w:tcBorders>
              <w:top w:val="single" w:sz="12" w:space="0" w:color="auto"/>
              <w:left w:val="nil"/>
              <w:bottom w:val="nil"/>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bCs/>
                <w:lang w:eastAsia="en-IN"/>
              </w:rPr>
              <w:t>LH</w:t>
            </w:r>
            <w:r w:rsidRPr="00A85C5A">
              <w:rPr>
                <w:lang w:eastAsia="en-IN"/>
              </w:rPr>
              <w:t>)</w:t>
            </w:r>
          </w:p>
        </w:tc>
        <w:tc>
          <w:tcPr>
            <w:tcW w:w="1222" w:type="dxa"/>
            <w:tcBorders>
              <w:top w:val="single" w:sz="12" w:space="0" w:color="auto"/>
              <w:left w:val="nil"/>
              <w:bottom w:val="nil"/>
              <w:right w:val="nil"/>
            </w:tcBorders>
            <w:shd w:val="clear" w:color="auto" w:fill="auto"/>
            <w:noWrap/>
            <w:vAlign w:val="center"/>
            <w:hideMark/>
          </w:tcPr>
          <w:p w:rsidR="00735DDC" w:rsidRPr="00A85C5A" w:rsidRDefault="00735DDC" w:rsidP="008069FD">
            <w:pPr>
              <w:spacing w:line="240" w:lineRule="auto"/>
              <w:jc w:val="center"/>
            </w:pPr>
            <w:r w:rsidRPr="00A85C5A">
              <w:t>-5.71</w:t>
            </w:r>
          </w:p>
        </w:tc>
        <w:tc>
          <w:tcPr>
            <w:tcW w:w="1276" w:type="dxa"/>
            <w:tcBorders>
              <w:top w:val="single" w:sz="12" w:space="0" w:color="auto"/>
              <w:left w:val="nil"/>
              <w:bottom w:val="nil"/>
              <w:right w:val="nil"/>
            </w:tcBorders>
            <w:shd w:val="clear" w:color="auto" w:fill="auto"/>
            <w:noWrap/>
            <w:vAlign w:val="center"/>
            <w:hideMark/>
          </w:tcPr>
          <w:p w:rsidR="00735DDC" w:rsidRPr="00A85C5A" w:rsidRDefault="00735DDC" w:rsidP="008069FD">
            <w:pPr>
              <w:spacing w:line="240" w:lineRule="auto"/>
              <w:jc w:val="center"/>
            </w:pPr>
            <w:r w:rsidRPr="00A85C5A">
              <w:t>-0.91</w:t>
            </w:r>
          </w:p>
        </w:tc>
        <w:tc>
          <w:tcPr>
            <w:tcW w:w="2268" w:type="dxa"/>
            <w:tcBorders>
              <w:top w:val="single" w:sz="12" w:space="0" w:color="auto"/>
              <w:left w:val="nil"/>
              <w:bottom w:val="nil"/>
              <w:right w:val="nil"/>
            </w:tcBorders>
            <w:shd w:val="clear" w:color="auto" w:fill="auto"/>
            <w:noWrap/>
            <w:vAlign w:val="center"/>
            <w:hideMark/>
          </w:tcPr>
          <w:p w:rsidR="00735DDC" w:rsidRPr="00A85C5A" w:rsidRDefault="00735DDC" w:rsidP="008069FD">
            <w:pPr>
              <w:spacing w:line="240" w:lineRule="auto"/>
              <w:jc w:val="center"/>
            </w:pPr>
            <w:r w:rsidRPr="00A85C5A">
              <w:t>4.80</w:t>
            </w:r>
          </w:p>
        </w:tc>
        <w:tc>
          <w:tcPr>
            <w:tcW w:w="1843" w:type="dxa"/>
            <w:tcBorders>
              <w:top w:val="single" w:sz="12" w:space="0" w:color="auto"/>
              <w:left w:val="nil"/>
              <w:bottom w:val="nil"/>
              <w:right w:val="nil"/>
            </w:tcBorders>
            <w:shd w:val="clear" w:color="auto" w:fill="auto"/>
            <w:noWrap/>
            <w:vAlign w:val="center"/>
            <w:hideMark/>
          </w:tcPr>
          <w:p w:rsidR="00735DDC" w:rsidRPr="00A85C5A" w:rsidRDefault="00735DDC" w:rsidP="008069FD">
            <w:pPr>
              <w:spacing w:line="240" w:lineRule="auto"/>
              <w:jc w:val="center"/>
              <w:rPr>
                <w:bCs/>
              </w:rPr>
            </w:pPr>
            <w:r w:rsidRPr="00A85C5A">
              <w:rPr>
                <w:bCs/>
                <w:lang w:val="en-IN" w:bidi="ta-IN"/>
              </w:rPr>
              <w:t>2.00</w:t>
            </w:r>
          </w:p>
        </w:tc>
      </w:tr>
      <w:tr w:rsidR="00735DDC" w:rsidRPr="00A85C5A" w:rsidTr="008069FD">
        <w:trPr>
          <w:trHeight w:val="285"/>
        </w:trPr>
        <w:tc>
          <w:tcPr>
            <w:tcW w:w="1296" w:type="dxa"/>
            <w:tcBorders>
              <w:top w:val="nil"/>
              <w:left w:val="nil"/>
              <w:bottom w:val="nil"/>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lang w:eastAsia="en-IN"/>
              </w:rPr>
              <w:t>1</w:t>
            </w:r>
            <w:r w:rsidRPr="00A85C5A">
              <w:rPr>
                <w:lang w:eastAsia="en-IN"/>
              </w:rPr>
              <w:t>)</w:t>
            </w:r>
          </w:p>
        </w:tc>
        <w:tc>
          <w:tcPr>
            <w:tcW w:w="1222" w:type="dxa"/>
            <w:tcBorders>
              <w:top w:val="nil"/>
              <w:left w:val="nil"/>
              <w:bottom w:val="nil"/>
              <w:right w:val="nil"/>
            </w:tcBorders>
            <w:shd w:val="clear" w:color="auto" w:fill="auto"/>
            <w:noWrap/>
            <w:vAlign w:val="bottom"/>
            <w:hideMark/>
          </w:tcPr>
          <w:p w:rsidR="00735DDC" w:rsidRPr="00A85C5A" w:rsidRDefault="00735DDC" w:rsidP="008069FD">
            <w:pPr>
              <w:spacing w:line="240" w:lineRule="auto"/>
              <w:jc w:val="center"/>
            </w:pPr>
            <w:r w:rsidRPr="00A85C5A">
              <w:t>-4.40</w:t>
            </w:r>
          </w:p>
        </w:tc>
        <w:tc>
          <w:tcPr>
            <w:tcW w:w="1276" w:type="dxa"/>
            <w:tcBorders>
              <w:top w:val="nil"/>
              <w:left w:val="nil"/>
              <w:bottom w:val="nil"/>
              <w:right w:val="nil"/>
            </w:tcBorders>
            <w:shd w:val="clear" w:color="auto" w:fill="auto"/>
            <w:noWrap/>
            <w:vAlign w:val="bottom"/>
            <w:hideMark/>
          </w:tcPr>
          <w:p w:rsidR="00735DDC" w:rsidRPr="00A85C5A" w:rsidRDefault="00735DDC" w:rsidP="008069FD">
            <w:pPr>
              <w:spacing w:line="240" w:lineRule="auto"/>
              <w:jc w:val="center"/>
            </w:pPr>
            <w:r w:rsidRPr="00A85C5A">
              <w:t>-1.71</w:t>
            </w:r>
          </w:p>
        </w:tc>
        <w:tc>
          <w:tcPr>
            <w:tcW w:w="2268" w:type="dxa"/>
            <w:tcBorders>
              <w:top w:val="nil"/>
              <w:left w:val="nil"/>
              <w:bottom w:val="nil"/>
              <w:right w:val="nil"/>
            </w:tcBorders>
            <w:shd w:val="clear" w:color="auto" w:fill="auto"/>
            <w:noWrap/>
            <w:vAlign w:val="bottom"/>
            <w:hideMark/>
          </w:tcPr>
          <w:p w:rsidR="00735DDC" w:rsidRPr="00A85C5A" w:rsidRDefault="00735DDC" w:rsidP="008069FD">
            <w:pPr>
              <w:spacing w:line="240" w:lineRule="auto"/>
              <w:jc w:val="center"/>
            </w:pPr>
            <w:r w:rsidRPr="00A85C5A">
              <w:t>2.69</w:t>
            </w:r>
          </w:p>
        </w:tc>
        <w:tc>
          <w:tcPr>
            <w:tcW w:w="1843" w:type="dxa"/>
            <w:tcBorders>
              <w:top w:val="nil"/>
              <w:left w:val="nil"/>
              <w:bottom w:val="nil"/>
              <w:right w:val="nil"/>
            </w:tcBorders>
            <w:shd w:val="clear" w:color="auto" w:fill="auto"/>
            <w:noWrap/>
            <w:hideMark/>
          </w:tcPr>
          <w:p w:rsidR="00735DDC" w:rsidRPr="00A85C5A" w:rsidRDefault="00735DDC" w:rsidP="008069FD">
            <w:pPr>
              <w:spacing w:line="240" w:lineRule="auto"/>
              <w:jc w:val="center"/>
              <w:rPr>
                <w:bCs/>
              </w:rPr>
            </w:pPr>
            <w:r w:rsidRPr="00A85C5A">
              <w:rPr>
                <w:bCs/>
                <w:lang w:val="en-IN" w:bidi="ta-IN"/>
              </w:rPr>
              <w:t>1.10</w:t>
            </w:r>
          </w:p>
        </w:tc>
      </w:tr>
      <w:tr w:rsidR="00735DDC" w:rsidRPr="00A85C5A" w:rsidTr="008069FD">
        <w:trPr>
          <w:trHeight w:val="285"/>
        </w:trPr>
        <w:tc>
          <w:tcPr>
            <w:tcW w:w="1296" w:type="dxa"/>
            <w:tcBorders>
              <w:top w:val="nil"/>
              <w:left w:val="nil"/>
              <w:bottom w:val="nil"/>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lang w:eastAsia="en-IN"/>
              </w:rPr>
              <w:t>2</w:t>
            </w:r>
            <w:r w:rsidRPr="00A85C5A">
              <w:rPr>
                <w:lang w:eastAsia="en-IN"/>
              </w:rPr>
              <w:t>)</w:t>
            </w:r>
          </w:p>
        </w:tc>
        <w:tc>
          <w:tcPr>
            <w:tcW w:w="1222" w:type="dxa"/>
            <w:tcBorders>
              <w:top w:val="nil"/>
              <w:left w:val="nil"/>
              <w:bottom w:val="nil"/>
              <w:right w:val="nil"/>
            </w:tcBorders>
            <w:shd w:val="clear" w:color="auto" w:fill="auto"/>
            <w:noWrap/>
            <w:vAlign w:val="bottom"/>
            <w:hideMark/>
          </w:tcPr>
          <w:p w:rsidR="00735DDC" w:rsidRPr="00A85C5A" w:rsidRDefault="00735DDC" w:rsidP="008069FD">
            <w:pPr>
              <w:spacing w:line="240" w:lineRule="auto"/>
              <w:jc w:val="center"/>
            </w:pPr>
            <w:r w:rsidRPr="00A85C5A">
              <w:t>-3.73</w:t>
            </w:r>
          </w:p>
        </w:tc>
        <w:tc>
          <w:tcPr>
            <w:tcW w:w="1276" w:type="dxa"/>
            <w:tcBorders>
              <w:top w:val="nil"/>
              <w:left w:val="nil"/>
              <w:bottom w:val="nil"/>
              <w:right w:val="nil"/>
            </w:tcBorders>
            <w:shd w:val="clear" w:color="auto" w:fill="auto"/>
            <w:noWrap/>
            <w:vAlign w:val="bottom"/>
            <w:hideMark/>
          </w:tcPr>
          <w:p w:rsidR="00735DDC" w:rsidRPr="00A85C5A" w:rsidRDefault="00735DDC" w:rsidP="008069FD">
            <w:pPr>
              <w:spacing w:line="240" w:lineRule="auto"/>
              <w:jc w:val="center"/>
            </w:pPr>
            <w:r w:rsidRPr="00A85C5A">
              <w:t>-1.69</w:t>
            </w:r>
          </w:p>
        </w:tc>
        <w:tc>
          <w:tcPr>
            <w:tcW w:w="2268" w:type="dxa"/>
            <w:tcBorders>
              <w:top w:val="nil"/>
              <w:left w:val="nil"/>
              <w:bottom w:val="nil"/>
              <w:right w:val="nil"/>
            </w:tcBorders>
            <w:shd w:val="clear" w:color="auto" w:fill="auto"/>
            <w:noWrap/>
            <w:vAlign w:val="bottom"/>
            <w:hideMark/>
          </w:tcPr>
          <w:p w:rsidR="00735DDC" w:rsidRPr="00A85C5A" w:rsidRDefault="00735DDC" w:rsidP="008069FD">
            <w:pPr>
              <w:spacing w:line="240" w:lineRule="auto"/>
              <w:jc w:val="center"/>
            </w:pPr>
            <w:r w:rsidRPr="00A85C5A">
              <w:t>2.03</w:t>
            </w:r>
          </w:p>
        </w:tc>
        <w:tc>
          <w:tcPr>
            <w:tcW w:w="1843" w:type="dxa"/>
            <w:tcBorders>
              <w:top w:val="nil"/>
              <w:left w:val="nil"/>
              <w:bottom w:val="nil"/>
              <w:right w:val="nil"/>
            </w:tcBorders>
            <w:shd w:val="clear" w:color="auto" w:fill="auto"/>
            <w:noWrap/>
            <w:hideMark/>
          </w:tcPr>
          <w:p w:rsidR="00735DDC" w:rsidRPr="00A85C5A" w:rsidRDefault="00735DDC" w:rsidP="008069FD">
            <w:pPr>
              <w:spacing w:line="240" w:lineRule="auto"/>
              <w:jc w:val="center"/>
              <w:rPr>
                <w:bCs/>
              </w:rPr>
            </w:pPr>
            <w:r w:rsidRPr="00A85C5A">
              <w:rPr>
                <w:bCs/>
                <w:lang w:val="en-IN" w:bidi="ta-IN"/>
              </w:rPr>
              <w:t>1.03</w:t>
            </w:r>
          </w:p>
        </w:tc>
      </w:tr>
      <w:tr w:rsidR="00735DDC" w:rsidRPr="00A85C5A" w:rsidTr="008069FD">
        <w:trPr>
          <w:trHeight w:val="285"/>
        </w:trPr>
        <w:tc>
          <w:tcPr>
            <w:tcW w:w="1296" w:type="dxa"/>
            <w:tcBorders>
              <w:top w:val="nil"/>
              <w:left w:val="nil"/>
              <w:bottom w:val="nil"/>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lang w:eastAsia="en-IN"/>
              </w:rPr>
              <w:t>3</w:t>
            </w:r>
            <w:r w:rsidRPr="00A85C5A">
              <w:rPr>
                <w:lang w:eastAsia="en-IN"/>
              </w:rPr>
              <w:t>)</w:t>
            </w:r>
          </w:p>
        </w:tc>
        <w:tc>
          <w:tcPr>
            <w:tcW w:w="1222" w:type="dxa"/>
            <w:tcBorders>
              <w:top w:val="nil"/>
              <w:left w:val="nil"/>
              <w:bottom w:val="nil"/>
              <w:right w:val="nil"/>
            </w:tcBorders>
            <w:shd w:val="clear" w:color="auto" w:fill="auto"/>
            <w:noWrap/>
            <w:vAlign w:val="bottom"/>
            <w:hideMark/>
          </w:tcPr>
          <w:p w:rsidR="00735DDC" w:rsidRPr="00A85C5A" w:rsidRDefault="00735DDC" w:rsidP="008069FD">
            <w:pPr>
              <w:spacing w:line="240" w:lineRule="auto"/>
              <w:jc w:val="center"/>
            </w:pPr>
            <w:r w:rsidRPr="00A85C5A">
              <w:t>-3.19</w:t>
            </w:r>
          </w:p>
        </w:tc>
        <w:tc>
          <w:tcPr>
            <w:tcW w:w="1276" w:type="dxa"/>
            <w:tcBorders>
              <w:top w:val="nil"/>
              <w:left w:val="nil"/>
              <w:bottom w:val="nil"/>
              <w:right w:val="nil"/>
            </w:tcBorders>
            <w:shd w:val="clear" w:color="auto" w:fill="auto"/>
            <w:noWrap/>
            <w:vAlign w:val="bottom"/>
            <w:hideMark/>
          </w:tcPr>
          <w:p w:rsidR="00735DDC" w:rsidRPr="00A85C5A" w:rsidRDefault="00735DDC" w:rsidP="008069FD">
            <w:pPr>
              <w:spacing w:line="240" w:lineRule="auto"/>
              <w:jc w:val="center"/>
            </w:pPr>
            <w:r w:rsidRPr="00A85C5A">
              <w:t>-1.70</w:t>
            </w:r>
          </w:p>
        </w:tc>
        <w:tc>
          <w:tcPr>
            <w:tcW w:w="2268" w:type="dxa"/>
            <w:tcBorders>
              <w:top w:val="nil"/>
              <w:left w:val="nil"/>
              <w:bottom w:val="nil"/>
              <w:right w:val="nil"/>
            </w:tcBorders>
            <w:shd w:val="clear" w:color="auto" w:fill="auto"/>
            <w:noWrap/>
            <w:vAlign w:val="bottom"/>
            <w:hideMark/>
          </w:tcPr>
          <w:p w:rsidR="00735DDC" w:rsidRPr="00A85C5A" w:rsidRDefault="00735DDC" w:rsidP="008069FD">
            <w:pPr>
              <w:spacing w:line="240" w:lineRule="auto"/>
              <w:jc w:val="center"/>
            </w:pPr>
            <w:r w:rsidRPr="00A85C5A">
              <w:t>1.50</w:t>
            </w:r>
          </w:p>
        </w:tc>
        <w:tc>
          <w:tcPr>
            <w:tcW w:w="1843" w:type="dxa"/>
            <w:tcBorders>
              <w:top w:val="nil"/>
              <w:left w:val="nil"/>
              <w:bottom w:val="nil"/>
              <w:right w:val="nil"/>
            </w:tcBorders>
            <w:shd w:val="clear" w:color="auto" w:fill="auto"/>
            <w:noWrap/>
            <w:hideMark/>
          </w:tcPr>
          <w:p w:rsidR="00735DDC" w:rsidRPr="00A85C5A" w:rsidRDefault="00735DDC" w:rsidP="008069FD">
            <w:pPr>
              <w:spacing w:line="240" w:lineRule="auto"/>
              <w:jc w:val="center"/>
              <w:rPr>
                <w:bCs/>
              </w:rPr>
            </w:pPr>
            <w:r w:rsidRPr="00A85C5A">
              <w:rPr>
                <w:bCs/>
                <w:lang w:val="en-IN" w:bidi="ta-IN"/>
              </w:rPr>
              <w:t>1.22</w:t>
            </w:r>
          </w:p>
        </w:tc>
      </w:tr>
      <w:tr w:rsidR="00735DDC" w:rsidRPr="00A85C5A" w:rsidTr="008069FD">
        <w:trPr>
          <w:trHeight w:val="285"/>
        </w:trPr>
        <w:tc>
          <w:tcPr>
            <w:tcW w:w="1296" w:type="dxa"/>
            <w:tcBorders>
              <w:top w:val="nil"/>
              <w:left w:val="nil"/>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lang w:eastAsia="en-IN"/>
              </w:rPr>
              <w:t>4</w:t>
            </w:r>
            <w:r w:rsidRPr="00A85C5A">
              <w:rPr>
                <w:lang w:eastAsia="en-IN"/>
              </w:rPr>
              <w:t>)</w:t>
            </w:r>
          </w:p>
        </w:tc>
        <w:tc>
          <w:tcPr>
            <w:tcW w:w="1222" w:type="dxa"/>
            <w:tcBorders>
              <w:top w:val="nil"/>
              <w:left w:val="nil"/>
              <w:right w:val="nil"/>
            </w:tcBorders>
            <w:shd w:val="clear" w:color="auto" w:fill="auto"/>
            <w:noWrap/>
            <w:vAlign w:val="bottom"/>
            <w:hideMark/>
          </w:tcPr>
          <w:p w:rsidR="00735DDC" w:rsidRPr="00A85C5A" w:rsidRDefault="00735DDC" w:rsidP="008069FD">
            <w:pPr>
              <w:spacing w:line="240" w:lineRule="auto"/>
              <w:jc w:val="center"/>
            </w:pPr>
            <w:r w:rsidRPr="00A85C5A">
              <w:t>-4.87</w:t>
            </w:r>
          </w:p>
        </w:tc>
        <w:tc>
          <w:tcPr>
            <w:tcW w:w="1276" w:type="dxa"/>
            <w:tcBorders>
              <w:top w:val="nil"/>
              <w:left w:val="nil"/>
              <w:right w:val="nil"/>
            </w:tcBorders>
            <w:shd w:val="clear" w:color="auto" w:fill="auto"/>
            <w:noWrap/>
            <w:vAlign w:val="bottom"/>
            <w:hideMark/>
          </w:tcPr>
          <w:p w:rsidR="00735DDC" w:rsidRPr="00A85C5A" w:rsidRDefault="00735DDC" w:rsidP="008069FD">
            <w:pPr>
              <w:spacing w:line="240" w:lineRule="auto"/>
              <w:jc w:val="center"/>
            </w:pPr>
            <w:r w:rsidRPr="00A85C5A">
              <w:t>-1.74</w:t>
            </w:r>
          </w:p>
        </w:tc>
        <w:tc>
          <w:tcPr>
            <w:tcW w:w="2268" w:type="dxa"/>
            <w:tcBorders>
              <w:top w:val="nil"/>
              <w:left w:val="nil"/>
              <w:right w:val="nil"/>
            </w:tcBorders>
            <w:shd w:val="clear" w:color="auto" w:fill="auto"/>
            <w:noWrap/>
            <w:vAlign w:val="bottom"/>
            <w:hideMark/>
          </w:tcPr>
          <w:p w:rsidR="00735DDC" w:rsidRPr="00A85C5A" w:rsidRDefault="00735DDC" w:rsidP="008069FD">
            <w:pPr>
              <w:spacing w:line="240" w:lineRule="auto"/>
              <w:jc w:val="center"/>
            </w:pPr>
            <w:r w:rsidRPr="00A85C5A">
              <w:t>3.13</w:t>
            </w:r>
          </w:p>
        </w:tc>
        <w:tc>
          <w:tcPr>
            <w:tcW w:w="1843" w:type="dxa"/>
            <w:tcBorders>
              <w:top w:val="nil"/>
              <w:left w:val="nil"/>
              <w:right w:val="nil"/>
            </w:tcBorders>
            <w:shd w:val="clear" w:color="auto" w:fill="auto"/>
            <w:noWrap/>
            <w:hideMark/>
          </w:tcPr>
          <w:p w:rsidR="00735DDC" w:rsidRPr="00A85C5A" w:rsidRDefault="00735DDC" w:rsidP="008069FD">
            <w:pPr>
              <w:spacing w:line="240" w:lineRule="auto"/>
              <w:jc w:val="center"/>
              <w:rPr>
                <w:bCs/>
              </w:rPr>
            </w:pPr>
            <w:r w:rsidRPr="00A85C5A">
              <w:rPr>
                <w:bCs/>
                <w:lang w:val="en-IN" w:bidi="ta-IN"/>
              </w:rPr>
              <w:t>0.97</w:t>
            </w:r>
          </w:p>
        </w:tc>
      </w:tr>
      <w:tr w:rsidR="00735DDC" w:rsidRPr="00A85C5A" w:rsidTr="008069FD">
        <w:trPr>
          <w:trHeight w:val="285"/>
        </w:trPr>
        <w:tc>
          <w:tcPr>
            <w:tcW w:w="1296" w:type="dxa"/>
            <w:tcBorders>
              <w:top w:val="nil"/>
              <w:left w:val="nil"/>
              <w:bottom w:val="single" w:sz="12" w:space="0" w:color="auto"/>
              <w:right w:val="nil"/>
            </w:tcBorders>
            <w:shd w:val="clear" w:color="auto" w:fill="auto"/>
            <w:noWrap/>
            <w:vAlign w:val="center"/>
            <w:hideMark/>
          </w:tcPr>
          <w:p w:rsidR="00735DDC" w:rsidRPr="00A85C5A" w:rsidRDefault="00735DDC" w:rsidP="008069FD">
            <w:pPr>
              <w:overflowPunct w:val="0"/>
              <w:autoSpaceDE w:val="0"/>
              <w:autoSpaceDN w:val="0"/>
              <w:adjustRightInd w:val="0"/>
              <w:spacing w:line="240" w:lineRule="auto"/>
              <w:jc w:val="center"/>
              <w:textAlignment w:val="baseline"/>
              <w:rPr>
                <w:lang w:eastAsia="en-IN"/>
              </w:rPr>
            </w:pPr>
            <w:r w:rsidRPr="00A85C5A">
              <w:rPr>
                <w:lang w:eastAsia="en-IN"/>
              </w:rPr>
              <w:t>(</w:t>
            </w:r>
            <w:r w:rsidRPr="00A85C5A">
              <w:rPr>
                <w:b/>
                <w:lang w:eastAsia="en-IN"/>
              </w:rPr>
              <w:t>5</w:t>
            </w:r>
            <w:r w:rsidRPr="00A85C5A">
              <w:rPr>
                <w:lang w:eastAsia="en-IN"/>
              </w:rPr>
              <w:t>)</w:t>
            </w:r>
          </w:p>
        </w:tc>
        <w:tc>
          <w:tcPr>
            <w:tcW w:w="1222" w:type="dxa"/>
            <w:tcBorders>
              <w:top w:val="nil"/>
              <w:left w:val="nil"/>
              <w:bottom w:val="single" w:sz="12" w:space="0" w:color="auto"/>
              <w:right w:val="nil"/>
            </w:tcBorders>
            <w:shd w:val="clear" w:color="auto" w:fill="auto"/>
            <w:noWrap/>
            <w:vAlign w:val="bottom"/>
            <w:hideMark/>
          </w:tcPr>
          <w:p w:rsidR="00735DDC" w:rsidRPr="00A85C5A" w:rsidRDefault="00735DDC" w:rsidP="008069FD">
            <w:pPr>
              <w:spacing w:line="240" w:lineRule="auto"/>
              <w:jc w:val="center"/>
            </w:pPr>
            <w:r w:rsidRPr="00A85C5A">
              <w:t>-4.36</w:t>
            </w:r>
          </w:p>
        </w:tc>
        <w:tc>
          <w:tcPr>
            <w:tcW w:w="1276" w:type="dxa"/>
            <w:tcBorders>
              <w:top w:val="nil"/>
              <w:left w:val="nil"/>
              <w:bottom w:val="single" w:sz="12" w:space="0" w:color="auto"/>
              <w:right w:val="nil"/>
            </w:tcBorders>
            <w:shd w:val="clear" w:color="auto" w:fill="auto"/>
            <w:noWrap/>
            <w:vAlign w:val="bottom"/>
            <w:hideMark/>
          </w:tcPr>
          <w:p w:rsidR="00735DDC" w:rsidRPr="00A85C5A" w:rsidRDefault="00735DDC" w:rsidP="008069FD">
            <w:pPr>
              <w:spacing w:line="240" w:lineRule="auto"/>
              <w:jc w:val="center"/>
            </w:pPr>
            <w:r w:rsidRPr="00A85C5A">
              <w:t>-1.53</w:t>
            </w:r>
          </w:p>
        </w:tc>
        <w:tc>
          <w:tcPr>
            <w:tcW w:w="2268" w:type="dxa"/>
            <w:tcBorders>
              <w:top w:val="nil"/>
              <w:left w:val="nil"/>
              <w:bottom w:val="single" w:sz="12" w:space="0" w:color="auto"/>
              <w:right w:val="nil"/>
            </w:tcBorders>
            <w:shd w:val="clear" w:color="auto" w:fill="auto"/>
            <w:noWrap/>
            <w:vAlign w:val="bottom"/>
            <w:hideMark/>
          </w:tcPr>
          <w:p w:rsidR="00735DDC" w:rsidRPr="00A85C5A" w:rsidRDefault="00735DDC" w:rsidP="008069FD">
            <w:pPr>
              <w:spacing w:line="240" w:lineRule="auto"/>
              <w:jc w:val="center"/>
            </w:pPr>
            <w:r w:rsidRPr="00A85C5A">
              <w:t>2.83</w:t>
            </w:r>
          </w:p>
        </w:tc>
        <w:tc>
          <w:tcPr>
            <w:tcW w:w="1843" w:type="dxa"/>
            <w:tcBorders>
              <w:top w:val="nil"/>
              <w:left w:val="nil"/>
              <w:bottom w:val="single" w:sz="12" w:space="0" w:color="auto"/>
              <w:right w:val="nil"/>
            </w:tcBorders>
            <w:shd w:val="clear" w:color="auto" w:fill="auto"/>
            <w:noWrap/>
            <w:hideMark/>
          </w:tcPr>
          <w:p w:rsidR="00735DDC" w:rsidRPr="00A85C5A" w:rsidRDefault="00735DDC" w:rsidP="008069FD">
            <w:pPr>
              <w:spacing w:line="240" w:lineRule="auto"/>
              <w:jc w:val="center"/>
              <w:rPr>
                <w:bCs/>
              </w:rPr>
            </w:pPr>
            <w:r w:rsidRPr="00A85C5A">
              <w:rPr>
                <w:bCs/>
                <w:lang w:val="en-IN" w:bidi="ta-IN"/>
              </w:rPr>
              <w:t>1.38</w:t>
            </w:r>
          </w:p>
        </w:tc>
      </w:tr>
    </w:tbl>
    <w:p w:rsidR="00735DDC" w:rsidRPr="00A85C5A" w:rsidRDefault="00735DDC" w:rsidP="00735DDC">
      <w:pPr>
        <w:overflowPunct w:val="0"/>
        <w:autoSpaceDE w:val="0"/>
        <w:autoSpaceDN w:val="0"/>
        <w:adjustRightInd w:val="0"/>
        <w:spacing w:line="240" w:lineRule="auto"/>
        <w:contextualSpacing/>
        <w:jc w:val="both"/>
        <w:textAlignment w:val="baseline"/>
      </w:pPr>
    </w:p>
    <w:p w:rsidR="00735DDC" w:rsidRPr="00A85C5A" w:rsidRDefault="00735DDC" w:rsidP="00735DDC">
      <w:pPr>
        <w:overflowPunct w:val="0"/>
        <w:autoSpaceDE w:val="0"/>
        <w:autoSpaceDN w:val="0"/>
        <w:adjustRightInd w:val="0"/>
        <w:jc w:val="both"/>
        <w:textAlignment w:val="baseline"/>
        <w:rPr>
          <w:b/>
          <w:lang w:val="en-IN"/>
        </w:rPr>
      </w:pPr>
    </w:p>
    <w:sectPr w:rsidR="00735DDC" w:rsidRPr="00A85C5A" w:rsidSect="00712EBA">
      <w:headerReference w:type="even" r:id="rId18"/>
      <w:headerReference w:type="default" r:id="rId19"/>
      <w:footerReference w:type="default" r:id="rId20"/>
      <w:pgSz w:w="11901" w:h="16840" w:code="9"/>
      <w:pgMar w:top="1418" w:right="155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E4" w:rsidRDefault="00EA6BE4" w:rsidP="00AF2C92">
      <w:r>
        <w:separator/>
      </w:r>
    </w:p>
  </w:endnote>
  <w:endnote w:type="continuationSeparator" w:id="0">
    <w:p w:rsidR="00EA6BE4" w:rsidRDefault="00EA6BE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dvTimes">
    <w:altName w:val="Arial Unicode MS"/>
    <w:panose1 w:val="00000000000000000000"/>
    <w:charset w:val="81"/>
    <w:family w:val="auto"/>
    <w:notTrueType/>
    <w:pitch w:val="default"/>
    <w:sig w:usb0="00000003" w:usb1="09070000" w:usb2="00000010" w:usb3="00000000" w:csb0="000A0001" w:csb1="00000000"/>
  </w:font>
  <w:font w:name="Time-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9060"/>
      <w:docPartObj>
        <w:docPartGallery w:val="Page Numbers (Bottom of Page)"/>
        <w:docPartUnique/>
      </w:docPartObj>
    </w:sdtPr>
    <w:sdtEndPr/>
    <w:sdtContent>
      <w:p w:rsidR="00AA0628" w:rsidRDefault="00EA6BE4">
        <w:pPr>
          <w:pStyle w:val="Footer"/>
          <w:jc w:val="center"/>
        </w:pPr>
        <w:r>
          <w:fldChar w:fldCharType="begin"/>
        </w:r>
        <w:r>
          <w:instrText xml:space="preserve"> PAGE   \* MERGEFORMAT </w:instrText>
        </w:r>
        <w:r>
          <w:fldChar w:fldCharType="separate"/>
        </w:r>
        <w:r w:rsidR="00E52F2D">
          <w:rPr>
            <w:noProof/>
          </w:rPr>
          <w:t>1</w:t>
        </w:r>
        <w:r>
          <w:rPr>
            <w:noProof/>
          </w:rPr>
          <w:fldChar w:fldCharType="end"/>
        </w:r>
      </w:p>
    </w:sdtContent>
  </w:sdt>
  <w:p w:rsidR="00AA0628" w:rsidRDefault="00AA0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E4" w:rsidRDefault="00EA6BE4" w:rsidP="00AF2C92">
      <w:r>
        <w:separator/>
      </w:r>
    </w:p>
  </w:footnote>
  <w:footnote w:type="continuationSeparator" w:id="0">
    <w:p w:rsidR="00EA6BE4" w:rsidRDefault="00EA6BE4"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28" w:rsidRDefault="00B23D1C">
    <w:pPr>
      <w:framePr w:wrap="around" w:vAnchor="text" w:hAnchor="margin" w:xAlign="center" w:y="1"/>
      <w:rPr>
        <w:rStyle w:val="PageNumber"/>
      </w:rPr>
    </w:pPr>
    <w:r>
      <w:rPr>
        <w:rStyle w:val="PageNumber"/>
      </w:rPr>
      <w:fldChar w:fldCharType="begin"/>
    </w:r>
    <w:r w:rsidR="00AA0628">
      <w:rPr>
        <w:rStyle w:val="PageNumber"/>
      </w:rPr>
      <w:instrText xml:space="preserve">PAGE  </w:instrText>
    </w:r>
    <w:r>
      <w:rPr>
        <w:rStyle w:val="PageNumber"/>
      </w:rPr>
      <w:fldChar w:fldCharType="end"/>
    </w:r>
  </w:p>
  <w:p w:rsidR="00AA0628" w:rsidRDefault="00AA06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28" w:rsidRDefault="00AA0628">
    <w:pPr>
      <w:pStyle w:val="Header"/>
      <w:jc w:val="center"/>
    </w:pPr>
  </w:p>
  <w:p w:rsidR="00AA0628" w:rsidRDefault="00AA0628" w:rsidP="00FA79A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27E8"/>
    <w:multiLevelType w:val="hybridMultilevel"/>
    <w:tmpl w:val="CE74AC36"/>
    <w:lvl w:ilvl="0" w:tplc="F3406750">
      <w:start w:val="3"/>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9036E2"/>
    <w:multiLevelType w:val="hybridMultilevel"/>
    <w:tmpl w:val="596CFEB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D1C68E4"/>
    <w:multiLevelType w:val="hybridMultilevel"/>
    <w:tmpl w:val="EB48B1F4"/>
    <w:lvl w:ilvl="0" w:tplc="5D3ADB40">
      <w:start w:val="1"/>
      <w:numFmt w:val="decimal"/>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06852"/>
    <w:multiLevelType w:val="hybridMultilevel"/>
    <w:tmpl w:val="011CFAC2"/>
    <w:lvl w:ilvl="0" w:tplc="4ED242CC">
      <w:start w:val="1"/>
      <w:numFmt w:val="upperLetter"/>
      <w:lvlText w:val="%1."/>
      <w:lvlJc w:val="left"/>
      <w:pPr>
        <w:ind w:left="717" w:hanging="360"/>
      </w:pPr>
      <w:rPr>
        <w:rFonts w:hint="default"/>
        <w:b/>
        <w:color w:val="6A6A6A"/>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4">
    <w:nsid w:val="216C6E76"/>
    <w:multiLevelType w:val="hybridMultilevel"/>
    <w:tmpl w:val="C72ED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2F3F36"/>
    <w:multiLevelType w:val="hybridMultilevel"/>
    <w:tmpl w:val="84CE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65A42"/>
    <w:multiLevelType w:val="hybridMultilevel"/>
    <w:tmpl w:val="9DF652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C7A793D"/>
    <w:multiLevelType w:val="hybridMultilevel"/>
    <w:tmpl w:val="AA96C374"/>
    <w:lvl w:ilvl="0" w:tplc="9BE8BE6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D15CB2"/>
    <w:multiLevelType w:val="hybridMultilevel"/>
    <w:tmpl w:val="29DE6F6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31E60956"/>
    <w:multiLevelType w:val="hybridMultilevel"/>
    <w:tmpl w:val="99C819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1">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5634ED1"/>
    <w:multiLevelType w:val="hybridMultilevel"/>
    <w:tmpl w:val="B42467B8"/>
    <w:lvl w:ilvl="0" w:tplc="4009000F">
      <w:start w:val="5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5">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3C4405"/>
    <w:multiLevelType w:val="singleLevel"/>
    <w:tmpl w:val="5D9CBE1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8">
    <w:nsid w:val="41650784"/>
    <w:multiLevelType w:val="hybridMultilevel"/>
    <w:tmpl w:val="E8DA9C9A"/>
    <w:lvl w:ilvl="0" w:tplc="4009000F">
      <w:start w:val="2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20">
    <w:nsid w:val="43265E28"/>
    <w:multiLevelType w:val="hybridMultilevel"/>
    <w:tmpl w:val="37A045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CF92DAD"/>
    <w:multiLevelType w:val="hybridMultilevel"/>
    <w:tmpl w:val="DF58B2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1045014"/>
    <w:multiLevelType w:val="hybridMultilevel"/>
    <w:tmpl w:val="DED89F08"/>
    <w:lvl w:ilvl="0" w:tplc="575E239E">
      <w:start w:val="1"/>
      <w:numFmt w:val="lowerLetter"/>
      <w:lvlText w:val="(%1)"/>
      <w:lvlJc w:val="left"/>
      <w:pPr>
        <w:ind w:left="420" w:hanging="360"/>
      </w:pPr>
      <w:rPr>
        <w:rFonts w:hint="default"/>
        <w:color w:val="auto"/>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3">
    <w:nsid w:val="533140CA"/>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7E2539D"/>
    <w:multiLevelType w:val="hybridMultilevel"/>
    <w:tmpl w:val="E8BE6644"/>
    <w:lvl w:ilvl="0" w:tplc="04090009">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nsid w:val="59183EDD"/>
    <w:multiLevelType w:val="multilevel"/>
    <w:tmpl w:val="6B58A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BE4411"/>
    <w:multiLevelType w:val="hybridMultilevel"/>
    <w:tmpl w:val="7AA207EE"/>
    <w:lvl w:ilvl="0" w:tplc="9DD207D2">
      <w:start w:val="1"/>
      <w:numFmt w:val="decimal"/>
      <w:lvlText w:val="%1."/>
      <w:lvlJc w:val="left"/>
      <w:pPr>
        <w:ind w:left="1446" w:hanging="360"/>
      </w:pPr>
      <w:rPr>
        <w:b w:val="0"/>
        <w:bCs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5F77B0"/>
    <w:multiLevelType w:val="hybridMultilevel"/>
    <w:tmpl w:val="04BAC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8B3D8D"/>
    <w:multiLevelType w:val="hybridMultilevel"/>
    <w:tmpl w:val="23802764"/>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67514EF4"/>
    <w:multiLevelType w:val="hybridMultilevel"/>
    <w:tmpl w:val="F384C4D0"/>
    <w:lvl w:ilvl="0" w:tplc="EF149088">
      <w:start w:val="1"/>
      <w:numFmt w:val="decimal"/>
      <w:lvlText w:val="(%1)"/>
      <w:lvlJc w:val="left"/>
      <w:pPr>
        <w:tabs>
          <w:tab w:val="num" w:pos="360"/>
        </w:tabs>
        <w:ind w:left="360" w:hanging="360"/>
      </w:pPr>
      <w:rPr>
        <w:rFonts w:ascii="Times" w:hAnsi="Time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B32CF3"/>
    <w:multiLevelType w:val="hybridMultilevel"/>
    <w:tmpl w:val="257EB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E1901EF"/>
    <w:multiLevelType w:val="hybridMultilevel"/>
    <w:tmpl w:val="71F6796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7624222F"/>
    <w:multiLevelType w:val="hybridMultilevel"/>
    <w:tmpl w:val="9B6E519E"/>
    <w:lvl w:ilvl="0" w:tplc="29087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11097E"/>
    <w:multiLevelType w:val="hybridMultilevel"/>
    <w:tmpl w:val="BB265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8B33EC"/>
    <w:multiLevelType w:val="hybridMultilevel"/>
    <w:tmpl w:val="AF4A59F0"/>
    <w:lvl w:ilvl="0" w:tplc="D7B01CD0">
      <w:start w:val="1"/>
      <w:numFmt w:val="decimal"/>
      <w:lvlText w:val="%1."/>
      <w:lvlJc w:val="left"/>
      <w:pPr>
        <w:ind w:left="720" w:hanging="360"/>
      </w:pPr>
      <w:rPr>
        <w:rFonts w:ascii="Times New Roman" w:eastAsia="Calibr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27"/>
  </w:num>
  <w:num w:numId="3">
    <w:abstractNumId w:val="16"/>
  </w:num>
  <w:num w:numId="4">
    <w:abstractNumId w:val="34"/>
  </w:num>
  <w:num w:numId="5">
    <w:abstractNumId w:val="29"/>
  </w:num>
  <w:num w:numId="6">
    <w:abstractNumId w:val="17"/>
  </w:num>
  <w:num w:numId="7">
    <w:abstractNumId w:val="13"/>
  </w:num>
  <w:num w:numId="8">
    <w:abstractNumId w:val="19"/>
  </w:num>
  <w:num w:numId="9">
    <w:abstractNumId w:val="14"/>
  </w:num>
  <w:num w:numId="10">
    <w:abstractNumId w:val="11"/>
  </w:num>
  <w:num w:numId="11">
    <w:abstractNumId w:val="10"/>
  </w:num>
  <w:num w:numId="12">
    <w:abstractNumId w:val="28"/>
  </w:num>
  <w:num w:numId="13">
    <w:abstractNumId w:val="33"/>
  </w:num>
  <w:num w:numId="14">
    <w:abstractNumId w:val="21"/>
  </w:num>
  <w:num w:numId="15">
    <w:abstractNumId w:val="4"/>
  </w:num>
  <w:num w:numId="16">
    <w:abstractNumId w:val="30"/>
  </w:num>
  <w:num w:numId="17">
    <w:abstractNumId w:val="7"/>
  </w:num>
  <w:num w:numId="18">
    <w:abstractNumId w:val="2"/>
  </w:num>
  <w:num w:numId="19">
    <w:abstractNumId w:val="3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num>
  <w:num w:numId="23">
    <w:abstractNumId w:val="0"/>
  </w:num>
  <w:num w:numId="24">
    <w:abstractNumId w:val="1"/>
  </w:num>
  <w:num w:numId="25">
    <w:abstractNumId w:val="3"/>
  </w:num>
  <w:num w:numId="26">
    <w:abstractNumId w:val="20"/>
  </w:num>
  <w:num w:numId="27">
    <w:abstractNumId w:val="12"/>
  </w:num>
  <w:num w:numId="28">
    <w:abstractNumId w:val="26"/>
  </w:num>
  <w:num w:numId="29">
    <w:abstractNumId w:val="22"/>
  </w:num>
  <w:num w:numId="30">
    <w:abstractNumId w:val="18"/>
  </w:num>
  <w:num w:numId="31">
    <w:abstractNumId w:val="35"/>
  </w:num>
  <w:num w:numId="32">
    <w:abstractNumId w:val="8"/>
  </w:num>
  <w:num w:numId="33">
    <w:abstractNumId w:val="25"/>
  </w:num>
  <w:num w:numId="34">
    <w:abstractNumId w:val="23"/>
  </w:num>
  <w:num w:numId="35">
    <w:abstractNumId w:val="6"/>
  </w:num>
  <w:num w:numId="3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2F2D"/>
    <w:rsid w:val="00001899"/>
    <w:rsid w:val="000049AD"/>
    <w:rsid w:val="0000681B"/>
    <w:rsid w:val="00010EF2"/>
    <w:rsid w:val="000133C0"/>
    <w:rsid w:val="00014C4E"/>
    <w:rsid w:val="000150F2"/>
    <w:rsid w:val="00017107"/>
    <w:rsid w:val="000202E2"/>
    <w:rsid w:val="00022441"/>
    <w:rsid w:val="0002261E"/>
    <w:rsid w:val="000226B2"/>
    <w:rsid w:val="00024839"/>
    <w:rsid w:val="00026871"/>
    <w:rsid w:val="00031074"/>
    <w:rsid w:val="00031728"/>
    <w:rsid w:val="00037A98"/>
    <w:rsid w:val="00040FC3"/>
    <w:rsid w:val="000427FB"/>
    <w:rsid w:val="0004455E"/>
    <w:rsid w:val="00046F52"/>
    <w:rsid w:val="00047CB5"/>
    <w:rsid w:val="00051FAA"/>
    <w:rsid w:val="000572A9"/>
    <w:rsid w:val="00061325"/>
    <w:rsid w:val="000634FA"/>
    <w:rsid w:val="00065600"/>
    <w:rsid w:val="000733AC"/>
    <w:rsid w:val="00074B81"/>
    <w:rsid w:val="00074D22"/>
    <w:rsid w:val="00075081"/>
    <w:rsid w:val="0007528A"/>
    <w:rsid w:val="00075E61"/>
    <w:rsid w:val="000811AB"/>
    <w:rsid w:val="00083C5F"/>
    <w:rsid w:val="0009172C"/>
    <w:rsid w:val="000919DD"/>
    <w:rsid w:val="000930EC"/>
    <w:rsid w:val="00093CFC"/>
    <w:rsid w:val="00095E61"/>
    <w:rsid w:val="000966C1"/>
    <w:rsid w:val="000970AC"/>
    <w:rsid w:val="000970B3"/>
    <w:rsid w:val="000A1167"/>
    <w:rsid w:val="000A236A"/>
    <w:rsid w:val="000A4428"/>
    <w:rsid w:val="000A6D40"/>
    <w:rsid w:val="000A7BC3"/>
    <w:rsid w:val="000B1661"/>
    <w:rsid w:val="000B1F0B"/>
    <w:rsid w:val="000B2E88"/>
    <w:rsid w:val="000B4603"/>
    <w:rsid w:val="000C09BE"/>
    <w:rsid w:val="000C1380"/>
    <w:rsid w:val="000C42E6"/>
    <w:rsid w:val="000C554F"/>
    <w:rsid w:val="000D0DC5"/>
    <w:rsid w:val="000D15FF"/>
    <w:rsid w:val="000D28DF"/>
    <w:rsid w:val="000D3C4E"/>
    <w:rsid w:val="000D488B"/>
    <w:rsid w:val="000D68DF"/>
    <w:rsid w:val="000D6F59"/>
    <w:rsid w:val="000E138D"/>
    <w:rsid w:val="000E187A"/>
    <w:rsid w:val="000E2D61"/>
    <w:rsid w:val="000E450E"/>
    <w:rsid w:val="000E498C"/>
    <w:rsid w:val="000E6259"/>
    <w:rsid w:val="000F1FA1"/>
    <w:rsid w:val="000F2582"/>
    <w:rsid w:val="000F4677"/>
    <w:rsid w:val="000F5BE0"/>
    <w:rsid w:val="00100587"/>
    <w:rsid w:val="0010284E"/>
    <w:rsid w:val="00103122"/>
    <w:rsid w:val="0010336A"/>
    <w:rsid w:val="001050F1"/>
    <w:rsid w:val="00105AEA"/>
    <w:rsid w:val="00106DAF"/>
    <w:rsid w:val="00107A22"/>
    <w:rsid w:val="00114ABE"/>
    <w:rsid w:val="00116023"/>
    <w:rsid w:val="00127E18"/>
    <w:rsid w:val="00134A51"/>
    <w:rsid w:val="00140727"/>
    <w:rsid w:val="001533A7"/>
    <w:rsid w:val="00153F93"/>
    <w:rsid w:val="00154522"/>
    <w:rsid w:val="001553FC"/>
    <w:rsid w:val="00157CFB"/>
    <w:rsid w:val="00160628"/>
    <w:rsid w:val="00161344"/>
    <w:rsid w:val="00162195"/>
    <w:rsid w:val="0016322A"/>
    <w:rsid w:val="00165A21"/>
    <w:rsid w:val="001705CE"/>
    <w:rsid w:val="00171A26"/>
    <w:rsid w:val="0017714B"/>
    <w:rsid w:val="001804DF"/>
    <w:rsid w:val="00181BDC"/>
    <w:rsid w:val="00181C5C"/>
    <w:rsid w:val="00181DB0"/>
    <w:rsid w:val="001829E3"/>
    <w:rsid w:val="001924C0"/>
    <w:rsid w:val="001937E6"/>
    <w:rsid w:val="00196C35"/>
    <w:rsid w:val="0019731E"/>
    <w:rsid w:val="001A09FE"/>
    <w:rsid w:val="001A2DD4"/>
    <w:rsid w:val="001A3930"/>
    <w:rsid w:val="001A4ACF"/>
    <w:rsid w:val="001A67C9"/>
    <w:rsid w:val="001A69DE"/>
    <w:rsid w:val="001A713C"/>
    <w:rsid w:val="001A7CDA"/>
    <w:rsid w:val="001B1C7C"/>
    <w:rsid w:val="001B398F"/>
    <w:rsid w:val="001B46C6"/>
    <w:rsid w:val="001B4B48"/>
    <w:rsid w:val="001B4D1F"/>
    <w:rsid w:val="001B7681"/>
    <w:rsid w:val="001B7CAE"/>
    <w:rsid w:val="001C0772"/>
    <w:rsid w:val="001C0D4F"/>
    <w:rsid w:val="001C1BA3"/>
    <w:rsid w:val="001C1DEC"/>
    <w:rsid w:val="001C5736"/>
    <w:rsid w:val="001D00BB"/>
    <w:rsid w:val="001D4401"/>
    <w:rsid w:val="001D647F"/>
    <w:rsid w:val="001D6857"/>
    <w:rsid w:val="001D7967"/>
    <w:rsid w:val="001E0572"/>
    <w:rsid w:val="001E0A67"/>
    <w:rsid w:val="001E1028"/>
    <w:rsid w:val="001E14E2"/>
    <w:rsid w:val="001E6302"/>
    <w:rsid w:val="001E7DCB"/>
    <w:rsid w:val="001F3411"/>
    <w:rsid w:val="001F4287"/>
    <w:rsid w:val="001F4DBA"/>
    <w:rsid w:val="002034CA"/>
    <w:rsid w:val="0020415E"/>
    <w:rsid w:val="00204FF4"/>
    <w:rsid w:val="00205E8F"/>
    <w:rsid w:val="0021056E"/>
    <w:rsid w:val="0021075D"/>
    <w:rsid w:val="0021140B"/>
    <w:rsid w:val="0021165A"/>
    <w:rsid w:val="00211BC9"/>
    <w:rsid w:val="002161DC"/>
    <w:rsid w:val="0021620C"/>
    <w:rsid w:val="00216E78"/>
    <w:rsid w:val="00217275"/>
    <w:rsid w:val="00233FA0"/>
    <w:rsid w:val="002364F1"/>
    <w:rsid w:val="00236F4B"/>
    <w:rsid w:val="00242B0D"/>
    <w:rsid w:val="002467C6"/>
    <w:rsid w:val="0024692A"/>
    <w:rsid w:val="00252BBA"/>
    <w:rsid w:val="00253123"/>
    <w:rsid w:val="00264001"/>
    <w:rsid w:val="00266354"/>
    <w:rsid w:val="00267A18"/>
    <w:rsid w:val="00273462"/>
    <w:rsid w:val="0027395B"/>
    <w:rsid w:val="00275854"/>
    <w:rsid w:val="0027711C"/>
    <w:rsid w:val="00283104"/>
    <w:rsid w:val="00283B41"/>
    <w:rsid w:val="00285F28"/>
    <w:rsid w:val="00286398"/>
    <w:rsid w:val="00290E09"/>
    <w:rsid w:val="002960C7"/>
    <w:rsid w:val="002A3C42"/>
    <w:rsid w:val="002A5D75"/>
    <w:rsid w:val="002B0D15"/>
    <w:rsid w:val="002B1B1A"/>
    <w:rsid w:val="002B7228"/>
    <w:rsid w:val="002C31B3"/>
    <w:rsid w:val="002C53EE"/>
    <w:rsid w:val="002D24F7"/>
    <w:rsid w:val="002D2799"/>
    <w:rsid w:val="002D2CD7"/>
    <w:rsid w:val="002D4DDC"/>
    <w:rsid w:val="002D4F75"/>
    <w:rsid w:val="002D6493"/>
    <w:rsid w:val="002D7AB6"/>
    <w:rsid w:val="002E06D0"/>
    <w:rsid w:val="002E3946"/>
    <w:rsid w:val="002E3C27"/>
    <w:rsid w:val="002E403A"/>
    <w:rsid w:val="002E7415"/>
    <w:rsid w:val="002E7F3A"/>
    <w:rsid w:val="002F4EDB"/>
    <w:rsid w:val="002F6054"/>
    <w:rsid w:val="00306F33"/>
    <w:rsid w:val="00310E13"/>
    <w:rsid w:val="00313E60"/>
    <w:rsid w:val="00315713"/>
    <w:rsid w:val="0031686C"/>
    <w:rsid w:val="00316FE0"/>
    <w:rsid w:val="003204D2"/>
    <w:rsid w:val="00320727"/>
    <w:rsid w:val="0032445F"/>
    <w:rsid w:val="0032605E"/>
    <w:rsid w:val="003275D1"/>
    <w:rsid w:val="00330B2A"/>
    <w:rsid w:val="00330C3D"/>
    <w:rsid w:val="00331E17"/>
    <w:rsid w:val="00333063"/>
    <w:rsid w:val="003408E3"/>
    <w:rsid w:val="003423A3"/>
    <w:rsid w:val="00343480"/>
    <w:rsid w:val="00345325"/>
    <w:rsid w:val="00345E89"/>
    <w:rsid w:val="003522A1"/>
    <w:rsid w:val="0035254B"/>
    <w:rsid w:val="0035312D"/>
    <w:rsid w:val="00353555"/>
    <w:rsid w:val="003565D4"/>
    <w:rsid w:val="003607FB"/>
    <w:rsid w:val="00360FD5"/>
    <w:rsid w:val="0036340D"/>
    <w:rsid w:val="003634A5"/>
    <w:rsid w:val="00366868"/>
    <w:rsid w:val="00367506"/>
    <w:rsid w:val="00370085"/>
    <w:rsid w:val="00371CF8"/>
    <w:rsid w:val="003744A7"/>
    <w:rsid w:val="00376235"/>
    <w:rsid w:val="00376722"/>
    <w:rsid w:val="00381FB6"/>
    <w:rsid w:val="003836D3"/>
    <w:rsid w:val="00383A52"/>
    <w:rsid w:val="003910A9"/>
    <w:rsid w:val="00391652"/>
    <w:rsid w:val="00392F28"/>
    <w:rsid w:val="0039507F"/>
    <w:rsid w:val="0039785A"/>
    <w:rsid w:val="003A115C"/>
    <w:rsid w:val="003A1260"/>
    <w:rsid w:val="003A295F"/>
    <w:rsid w:val="003A41DD"/>
    <w:rsid w:val="003A561B"/>
    <w:rsid w:val="003A7033"/>
    <w:rsid w:val="003B47FE"/>
    <w:rsid w:val="003B5673"/>
    <w:rsid w:val="003B6287"/>
    <w:rsid w:val="003B62C9"/>
    <w:rsid w:val="003B6FEA"/>
    <w:rsid w:val="003B7E0B"/>
    <w:rsid w:val="003C7176"/>
    <w:rsid w:val="003D0929"/>
    <w:rsid w:val="003D11F1"/>
    <w:rsid w:val="003D4729"/>
    <w:rsid w:val="003D4FE4"/>
    <w:rsid w:val="003D7302"/>
    <w:rsid w:val="003D7DD6"/>
    <w:rsid w:val="003E5AAF"/>
    <w:rsid w:val="003E600D"/>
    <w:rsid w:val="003E64DF"/>
    <w:rsid w:val="003E6A5D"/>
    <w:rsid w:val="003E7332"/>
    <w:rsid w:val="003F193A"/>
    <w:rsid w:val="003F3F11"/>
    <w:rsid w:val="003F4207"/>
    <w:rsid w:val="003F5C46"/>
    <w:rsid w:val="003F7CBB"/>
    <w:rsid w:val="003F7D34"/>
    <w:rsid w:val="00405B64"/>
    <w:rsid w:val="00412765"/>
    <w:rsid w:val="00412C8E"/>
    <w:rsid w:val="0041518D"/>
    <w:rsid w:val="00417F38"/>
    <w:rsid w:val="0042221D"/>
    <w:rsid w:val="0042395B"/>
    <w:rsid w:val="00424DD3"/>
    <w:rsid w:val="00426358"/>
    <w:rsid w:val="004269C5"/>
    <w:rsid w:val="004333CF"/>
    <w:rsid w:val="00435939"/>
    <w:rsid w:val="00437CC7"/>
    <w:rsid w:val="00441C44"/>
    <w:rsid w:val="00442B9C"/>
    <w:rsid w:val="0044411B"/>
    <w:rsid w:val="00445EFA"/>
    <w:rsid w:val="0044738A"/>
    <w:rsid w:val="004473D3"/>
    <w:rsid w:val="00452231"/>
    <w:rsid w:val="00454E84"/>
    <w:rsid w:val="00457C3E"/>
    <w:rsid w:val="00460C13"/>
    <w:rsid w:val="00463228"/>
    <w:rsid w:val="00463782"/>
    <w:rsid w:val="004667E0"/>
    <w:rsid w:val="0046760E"/>
    <w:rsid w:val="00470E10"/>
    <w:rsid w:val="004721D0"/>
    <w:rsid w:val="00472BDA"/>
    <w:rsid w:val="00472F2D"/>
    <w:rsid w:val="00473666"/>
    <w:rsid w:val="00477A97"/>
    <w:rsid w:val="00481343"/>
    <w:rsid w:val="00482D0B"/>
    <w:rsid w:val="0048549E"/>
    <w:rsid w:val="00485C3A"/>
    <w:rsid w:val="0048793E"/>
    <w:rsid w:val="00493347"/>
    <w:rsid w:val="00494FA5"/>
    <w:rsid w:val="00496092"/>
    <w:rsid w:val="004A08DB"/>
    <w:rsid w:val="004A25D0"/>
    <w:rsid w:val="004A37E8"/>
    <w:rsid w:val="004A7549"/>
    <w:rsid w:val="004B09D4"/>
    <w:rsid w:val="004B2434"/>
    <w:rsid w:val="004B309D"/>
    <w:rsid w:val="004B330A"/>
    <w:rsid w:val="004B4B0F"/>
    <w:rsid w:val="004B6122"/>
    <w:rsid w:val="004B7C8E"/>
    <w:rsid w:val="004C3D3C"/>
    <w:rsid w:val="004C5F21"/>
    <w:rsid w:val="004C7B30"/>
    <w:rsid w:val="004D0EDC"/>
    <w:rsid w:val="004D1220"/>
    <w:rsid w:val="004D14B3"/>
    <w:rsid w:val="004D1529"/>
    <w:rsid w:val="004D2253"/>
    <w:rsid w:val="004D45A0"/>
    <w:rsid w:val="004D5514"/>
    <w:rsid w:val="004D56C3"/>
    <w:rsid w:val="004E0338"/>
    <w:rsid w:val="004E4FF3"/>
    <w:rsid w:val="004E56A8"/>
    <w:rsid w:val="004F3B55"/>
    <w:rsid w:val="004F4E46"/>
    <w:rsid w:val="004F6B7D"/>
    <w:rsid w:val="005015F6"/>
    <w:rsid w:val="005030C4"/>
    <w:rsid w:val="005031C5"/>
    <w:rsid w:val="00503303"/>
    <w:rsid w:val="0050469E"/>
    <w:rsid w:val="00504FDC"/>
    <w:rsid w:val="005120CC"/>
    <w:rsid w:val="00512B7B"/>
    <w:rsid w:val="00514EA1"/>
    <w:rsid w:val="00516992"/>
    <w:rsid w:val="0051798B"/>
    <w:rsid w:val="00521F5A"/>
    <w:rsid w:val="00525E06"/>
    <w:rsid w:val="00526454"/>
    <w:rsid w:val="00530081"/>
    <w:rsid w:val="00531823"/>
    <w:rsid w:val="00534563"/>
    <w:rsid w:val="00534ECC"/>
    <w:rsid w:val="0053720D"/>
    <w:rsid w:val="00540C65"/>
    <w:rsid w:val="00540EF5"/>
    <w:rsid w:val="00541BF3"/>
    <w:rsid w:val="00541CD3"/>
    <w:rsid w:val="005476FA"/>
    <w:rsid w:val="005514B9"/>
    <w:rsid w:val="0055595E"/>
    <w:rsid w:val="00557988"/>
    <w:rsid w:val="00562C49"/>
    <w:rsid w:val="00562DEF"/>
    <w:rsid w:val="0056321A"/>
    <w:rsid w:val="00563A35"/>
    <w:rsid w:val="00566596"/>
    <w:rsid w:val="005741E9"/>
    <w:rsid w:val="005748CF"/>
    <w:rsid w:val="005814F8"/>
    <w:rsid w:val="00581EA7"/>
    <w:rsid w:val="00582B9A"/>
    <w:rsid w:val="00584270"/>
    <w:rsid w:val="00584738"/>
    <w:rsid w:val="00585E6F"/>
    <w:rsid w:val="005920B0"/>
    <w:rsid w:val="0059380D"/>
    <w:rsid w:val="00595A8F"/>
    <w:rsid w:val="00596952"/>
    <w:rsid w:val="005977C2"/>
    <w:rsid w:val="00597BF2"/>
    <w:rsid w:val="005B134E"/>
    <w:rsid w:val="005B2039"/>
    <w:rsid w:val="005B344F"/>
    <w:rsid w:val="005B3FBA"/>
    <w:rsid w:val="005B4A1D"/>
    <w:rsid w:val="005B674D"/>
    <w:rsid w:val="005C0CBE"/>
    <w:rsid w:val="005C1FCF"/>
    <w:rsid w:val="005C58FB"/>
    <w:rsid w:val="005D1885"/>
    <w:rsid w:val="005D3ACC"/>
    <w:rsid w:val="005D4A38"/>
    <w:rsid w:val="005E2EEA"/>
    <w:rsid w:val="005E3708"/>
    <w:rsid w:val="005E3CCD"/>
    <w:rsid w:val="005E3D6B"/>
    <w:rsid w:val="005E5B55"/>
    <w:rsid w:val="005E5E4A"/>
    <w:rsid w:val="005E693D"/>
    <w:rsid w:val="005E6D52"/>
    <w:rsid w:val="005E75BF"/>
    <w:rsid w:val="005F57A5"/>
    <w:rsid w:val="005F57BA"/>
    <w:rsid w:val="005F6037"/>
    <w:rsid w:val="005F61E6"/>
    <w:rsid w:val="005F6C45"/>
    <w:rsid w:val="006028C8"/>
    <w:rsid w:val="00604DFC"/>
    <w:rsid w:val="00605623"/>
    <w:rsid w:val="00605A69"/>
    <w:rsid w:val="00606C54"/>
    <w:rsid w:val="00614375"/>
    <w:rsid w:val="00615B0A"/>
    <w:rsid w:val="006168CF"/>
    <w:rsid w:val="0062011B"/>
    <w:rsid w:val="006211EB"/>
    <w:rsid w:val="00621F66"/>
    <w:rsid w:val="00623C54"/>
    <w:rsid w:val="00625E81"/>
    <w:rsid w:val="00626DE0"/>
    <w:rsid w:val="00630901"/>
    <w:rsid w:val="00631F8E"/>
    <w:rsid w:val="0063686E"/>
    <w:rsid w:val="00636EE9"/>
    <w:rsid w:val="00640950"/>
    <w:rsid w:val="00641AE7"/>
    <w:rsid w:val="00642629"/>
    <w:rsid w:val="00642E4C"/>
    <w:rsid w:val="0065071E"/>
    <w:rsid w:val="0065293D"/>
    <w:rsid w:val="00653EFC"/>
    <w:rsid w:val="00654021"/>
    <w:rsid w:val="00660B13"/>
    <w:rsid w:val="00661045"/>
    <w:rsid w:val="00666DA8"/>
    <w:rsid w:val="00671057"/>
    <w:rsid w:val="00675AAF"/>
    <w:rsid w:val="0068031A"/>
    <w:rsid w:val="00680E11"/>
    <w:rsid w:val="00681B2F"/>
    <w:rsid w:val="0068335F"/>
    <w:rsid w:val="00686582"/>
    <w:rsid w:val="00686958"/>
    <w:rsid w:val="00687217"/>
    <w:rsid w:val="00693302"/>
    <w:rsid w:val="00693F7C"/>
    <w:rsid w:val="0069640B"/>
    <w:rsid w:val="006A1B83"/>
    <w:rsid w:val="006A21CD"/>
    <w:rsid w:val="006A5918"/>
    <w:rsid w:val="006A7087"/>
    <w:rsid w:val="006B21B2"/>
    <w:rsid w:val="006B4A4A"/>
    <w:rsid w:val="006C16B6"/>
    <w:rsid w:val="006C19B2"/>
    <w:rsid w:val="006C4409"/>
    <w:rsid w:val="006C5BB8"/>
    <w:rsid w:val="006C6760"/>
    <w:rsid w:val="006C67CD"/>
    <w:rsid w:val="006C6936"/>
    <w:rsid w:val="006C7B01"/>
    <w:rsid w:val="006D0FE8"/>
    <w:rsid w:val="006D4B2B"/>
    <w:rsid w:val="006D4F3C"/>
    <w:rsid w:val="006D5C66"/>
    <w:rsid w:val="006E1B3C"/>
    <w:rsid w:val="006E23FB"/>
    <w:rsid w:val="006E325A"/>
    <w:rsid w:val="006E33EC"/>
    <w:rsid w:val="006E3802"/>
    <w:rsid w:val="006E43FF"/>
    <w:rsid w:val="006E6217"/>
    <w:rsid w:val="006E6C02"/>
    <w:rsid w:val="006F231A"/>
    <w:rsid w:val="006F6B55"/>
    <w:rsid w:val="006F788D"/>
    <w:rsid w:val="006F78E1"/>
    <w:rsid w:val="00701072"/>
    <w:rsid w:val="007016BE"/>
    <w:rsid w:val="00702054"/>
    <w:rsid w:val="007035A4"/>
    <w:rsid w:val="00711799"/>
    <w:rsid w:val="00712B78"/>
    <w:rsid w:val="00712EBA"/>
    <w:rsid w:val="0071393B"/>
    <w:rsid w:val="00713EE2"/>
    <w:rsid w:val="007177FC"/>
    <w:rsid w:val="00717C93"/>
    <w:rsid w:val="00720C5E"/>
    <w:rsid w:val="00721701"/>
    <w:rsid w:val="00724DE8"/>
    <w:rsid w:val="00727D45"/>
    <w:rsid w:val="00731835"/>
    <w:rsid w:val="00731BA5"/>
    <w:rsid w:val="007341F8"/>
    <w:rsid w:val="00734372"/>
    <w:rsid w:val="00734EB8"/>
    <w:rsid w:val="00735DDC"/>
    <w:rsid w:val="00735F8B"/>
    <w:rsid w:val="00736312"/>
    <w:rsid w:val="00742D1F"/>
    <w:rsid w:val="00743EBA"/>
    <w:rsid w:val="00744C8E"/>
    <w:rsid w:val="0074707E"/>
    <w:rsid w:val="00747584"/>
    <w:rsid w:val="007516DC"/>
    <w:rsid w:val="00752E58"/>
    <w:rsid w:val="00754B80"/>
    <w:rsid w:val="00757340"/>
    <w:rsid w:val="00761918"/>
    <w:rsid w:val="00762F03"/>
    <w:rsid w:val="0076413B"/>
    <w:rsid w:val="007648AE"/>
    <w:rsid w:val="00764BF8"/>
    <w:rsid w:val="0076514D"/>
    <w:rsid w:val="00765217"/>
    <w:rsid w:val="00770135"/>
    <w:rsid w:val="007731DF"/>
    <w:rsid w:val="00773D59"/>
    <w:rsid w:val="00774811"/>
    <w:rsid w:val="00781003"/>
    <w:rsid w:val="00783674"/>
    <w:rsid w:val="007911FD"/>
    <w:rsid w:val="0079158D"/>
    <w:rsid w:val="00793930"/>
    <w:rsid w:val="00793DD1"/>
    <w:rsid w:val="00794FEC"/>
    <w:rsid w:val="007A003E"/>
    <w:rsid w:val="007A0959"/>
    <w:rsid w:val="007A1965"/>
    <w:rsid w:val="007A2ED1"/>
    <w:rsid w:val="007A4A09"/>
    <w:rsid w:val="007A4BE6"/>
    <w:rsid w:val="007B04F2"/>
    <w:rsid w:val="007B0DC6"/>
    <w:rsid w:val="007B0FAF"/>
    <w:rsid w:val="007B1094"/>
    <w:rsid w:val="007B1762"/>
    <w:rsid w:val="007B3320"/>
    <w:rsid w:val="007C301F"/>
    <w:rsid w:val="007C4540"/>
    <w:rsid w:val="007C65AF"/>
    <w:rsid w:val="007C73C0"/>
    <w:rsid w:val="007D135D"/>
    <w:rsid w:val="007D5BFD"/>
    <w:rsid w:val="007D730F"/>
    <w:rsid w:val="007D7CD8"/>
    <w:rsid w:val="007E0E8A"/>
    <w:rsid w:val="007E3AA7"/>
    <w:rsid w:val="007E5C4C"/>
    <w:rsid w:val="007F41CE"/>
    <w:rsid w:val="007F737D"/>
    <w:rsid w:val="007F78D0"/>
    <w:rsid w:val="00802402"/>
    <w:rsid w:val="008027F0"/>
    <w:rsid w:val="0080308E"/>
    <w:rsid w:val="00805303"/>
    <w:rsid w:val="00806705"/>
    <w:rsid w:val="00806738"/>
    <w:rsid w:val="008069FD"/>
    <w:rsid w:val="00810656"/>
    <w:rsid w:val="008116C7"/>
    <w:rsid w:val="00815581"/>
    <w:rsid w:val="008166EA"/>
    <w:rsid w:val="00816B39"/>
    <w:rsid w:val="008216D5"/>
    <w:rsid w:val="008249CE"/>
    <w:rsid w:val="00831A50"/>
    <w:rsid w:val="00831B3C"/>
    <w:rsid w:val="00831C89"/>
    <w:rsid w:val="00832114"/>
    <w:rsid w:val="008334A8"/>
    <w:rsid w:val="00834C46"/>
    <w:rsid w:val="00837097"/>
    <w:rsid w:val="0084093E"/>
    <w:rsid w:val="00841CE1"/>
    <w:rsid w:val="008473D8"/>
    <w:rsid w:val="00850C1A"/>
    <w:rsid w:val="008528DC"/>
    <w:rsid w:val="00852B8C"/>
    <w:rsid w:val="00854981"/>
    <w:rsid w:val="008569FC"/>
    <w:rsid w:val="0085794A"/>
    <w:rsid w:val="00860817"/>
    <w:rsid w:val="00864B2E"/>
    <w:rsid w:val="00865963"/>
    <w:rsid w:val="00867F16"/>
    <w:rsid w:val="0087070F"/>
    <w:rsid w:val="00871C1D"/>
    <w:rsid w:val="0087450E"/>
    <w:rsid w:val="00875A82"/>
    <w:rsid w:val="00876CA3"/>
    <w:rsid w:val="008772FE"/>
    <w:rsid w:val="008775F1"/>
    <w:rsid w:val="008812D9"/>
    <w:rsid w:val="008817E7"/>
    <w:rsid w:val="008821AE"/>
    <w:rsid w:val="00883D3A"/>
    <w:rsid w:val="008854F7"/>
    <w:rsid w:val="00885A9D"/>
    <w:rsid w:val="008929D2"/>
    <w:rsid w:val="00893636"/>
    <w:rsid w:val="00893B94"/>
    <w:rsid w:val="0089429C"/>
    <w:rsid w:val="00896E9D"/>
    <w:rsid w:val="00896F11"/>
    <w:rsid w:val="008A03A5"/>
    <w:rsid w:val="008A1049"/>
    <w:rsid w:val="008A1C98"/>
    <w:rsid w:val="008A322D"/>
    <w:rsid w:val="008A4977"/>
    <w:rsid w:val="008A4D72"/>
    <w:rsid w:val="008A6285"/>
    <w:rsid w:val="008A63B2"/>
    <w:rsid w:val="008B345D"/>
    <w:rsid w:val="008C1FC2"/>
    <w:rsid w:val="008C2980"/>
    <w:rsid w:val="008C398E"/>
    <w:rsid w:val="008C4DD6"/>
    <w:rsid w:val="008C5AFB"/>
    <w:rsid w:val="008C6299"/>
    <w:rsid w:val="008C6644"/>
    <w:rsid w:val="008D07FB"/>
    <w:rsid w:val="008D0C02"/>
    <w:rsid w:val="008D0E51"/>
    <w:rsid w:val="008D1A4F"/>
    <w:rsid w:val="008D357D"/>
    <w:rsid w:val="008D435A"/>
    <w:rsid w:val="008E387B"/>
    <w:rsid w:val="008E6087"/>
    <w:rsid w:val="008E724E"/>
    <w:rsid w:val="008E758D"/>
    <w:rsid w:val="008F10A7"/>
    <w:rsid w:val="008F755D"/>
    <w:rsid w:val="008F7A39"/>
    <w:rsid w:val="009021E8"/>
    <w:rsid w:val="00904677"/>
    <w:rsid w:val="00905EE2"/>
    <w:rsid w:val="00911440"/>
    <w:rsid w:val="00911712"/>
    <w:rsid w:val="00911B27"/>
    <w:rsid w:val="00914156"/>
    <w:rsid w:val="009170BE"/>
    <w:rsid w:val="00920B55"/>
    <w:rsid w:val="009262C9"/>
    <w:rsid w:val="00926D3D"/>
    <w:rsid w:val="00930541"/>
    <w:rsid w:val="00930EB9"/>
    <w:rsid w:val="00933DC7"/>
    <w:rsid w:val="009418F4"/>
    <w:rsid w:val="00942BBC"/>
    <w:rsid w:val="00943357"/>
    <w:rsid w:val="00944180"/>
    <w:rsid w:val="00944AA0"/>
    <w:rsid w:val="00947DA2"/>
    <w:rsid w:val="00951177"/>
    <w:rsid w:val="00963F63"/>
    <w:rsid w:val="009673E8"/>
    <w:rsid w:val="00974128"/>
    <w:rsid w:val="00974DB8"/>
    <w:rsid w:val="009759B6"/>
    <w:rsid w:val="00980661"/>
    <w:rsid w:val="0098093B"/>
    <w:rsid w:val="009876D4"/>
    <w:rsid w:val="009914A5"/>
    <w:rsid w:val="00992EA8"/>
    <w:rsid w:val="009945CF"/>
    <w:rsid w:val="0099548E"/>
    <w:rsid w:val="00996456"/>
    <w:rsid w:val="00996A12"/>
    <w:rsid w:val="00997AB4"/>
    <w:rsid w:val="00997B0F"/>
    <w:rsid w:val="009A0CC3"/>
    <w:rsid w:val="009A1CAD"/>
    <w:rsid w:val="009A3440"/>
    <w:rsid w:val="009A4115"/>
    <w:rsid w:val="009A5832"/>
    <w:rsid w:val="009A6838"/>
    <w:rsid w:val="009B1FB8"/>
    <w:rsid w:val="009B24B5"/>
    <w:rsid w:val="009B2AA1"/>
    <w:rsid w:val="009B4EBC"/>
    <w:rsid w:val="009B5ABB"/>
    <w:rsid w:val="009B73CE"/>
    <w:rsid w:val="009C19C6"/>
    <w:rsid w:val="009C2461"/>
    <w:rsid w:val="009C6FE2"/>
    <w:rsid w:val="009C7674"/>
    <w:rsid w:val="009D004A"/>
    <w:rsid w:val="009D4AA0"/>
    <w:rsid w:val="009D5880"/>
    <w:rsid w:val="009E1FD4"/>
    <w:rsid w:val="009E3B07"/>
    <w:rsid w:val="009E51D1"/>
    <w:rsid w:val="009E5531"/>
    <w:rsid w:val="009F171E"/>
    <w:rsid w:val="009F3133"/>
    <w:rsid w:val="009F3D2F"/>
    <w:rsid w:val="009F7052"/>
    <w:rsid w:val="009F7337"/>
    <w:rsid w:val="009F778A"/>
    <w:rsid w:val="00A02668"/>
    <w:rsid w:val="00A02801"/>
    <w:rsid w:val="00A06A39"/>
    <w:rsid w:val="00A07F58"/>
    <w:rsid w:val="00A10822"/>
    <w:rsid w:val="00A125E8"/>
    <w:rsid w:val="00A131CB"/>
    <w:rsid w:val="00A14847"/>
    <w:rsid w:val="00A16D6D"/>
    <w:rsid w:val="00A21383"/>
    <w:rsid w:val="00A2199F"/>
    <w:rsid w:val="00A21B31"/>
    <w:rsid w:val="00A2360E"/>
    <w:rsid w:val="00A23C4F"/>
    <w:rsid w:val="00A26429"/>
    <w:rsid w:val="00A26E0C"/>
    <w:rsid w:val="00A31426"/>
    <w:rsid w:val="00A32FCB"/>
    <w:rsid w:val="00A34C25"/>
    <w:rsid w:val="00A3507D"/>
    <w:rsid w:val="00A3717A"/>
    <w:rsid w:val="00A37CE6"/>
    <w:rsid w:val="00A40061"/>
    <w:rsid w:val="00A4088C"/>
    <w:rsid w:val="00A4456B"/>
    <w:rsid w:val="00A448D4"/>
    <w:rsid w:val="00A452E0"/>
    <w:rsid w:val="00A463DA"/>
    <w:rsid w:val="00A51EA5"/>
    <w:rsid w:val="00A53742"/>
    <w:rsid w:val="00A557A1"/>
    <w:rsid w:val="00A55955"/>
    <w:rsid w:val="00A63059"/>
    <w:rsid w:val="00A63AE3"/>
    <w:rsid w:val="00A64298"/>
    <w:rsid w:val="00A651A4"/>
    <w:rsid w:val="00A6521D"/>
    <w:rsid w:val="00A655DD"/>
    <w:rsid w:val="00A71361"/>
    <w:rsid w:val="00A746E2"/>
    <w:rsid w:val="00A76730"/>
    <w:rsid w:val="00A76B1A"/>
    <w:rsid w:val="00A81FF2"/>
    <w:rsid w:val="00A83904"/>
    <w:rsid w:val="00A85C5A"/>
    <w:rsid w:val="00A90A79"/>
    <w:rsid w:val="00A96B30"/>
    <w:rsid w:val="00AA0628"/>
    <w:rsid w:val="00AA59B5"/>
    <w:rsid w:val="00AA7777"/>
    <w:rsid w:val="00AA7B84"/>
    <w:rsid w:val="00AB02A8"/>
    <w:rsid w:val="00AC0B4C"/>
    <w:rsid w:val="00AC1164"/>
    <w:rsid w:val="00AC1AB4"/>
    <w:rsid w:val="00AC2296"/>
    <w:rsid w:val="00AC2754"/>
    <w:rsid w:val="00AC48B0"/>
    <w:rsid w:val="00AC4ACD"/>
    <w:rsid w:val="00AC5DFB"/>
    <w:rsid w:val="00AD13DC"/>
    <w:rsid w:val="00AD3BC5"/>
    <w:rsid w:val="00AD6DE2"/>
    <w:rsid w:val="00AD7167"/>
    <w:rsid w:val="00AD788D"/>
    <w:rsid w:val="00AE0A40"/>
    <w:rsid w:val="00AE1ED4"/>
    <w:rsid w:val="00AE21E1"/>
    <w:rsid w:val="00AE2F8D"/>
    <w:rsid w:val="00AE3BAE"/>
    <w:rsid w:val="00AE46B3"/>
    <w:rsid w:val="00AE6A21"/>
    <w:rsid w:val="00AF1C8F"/>
    <w:rsid w:val="00AF2B68"/>
    <w:rsid w:val="00AF2C92"/>
    <w:rsid w:val="00AF3EC1"/>
    <w:rsid w:val="00AF5025"/>
    <w:rsid w:val="00AF519F"/>
    <w:rsid w:val="00AF5387"/>
    <w:rsid w:val="00AF55F5"/>
    <w:rsid w:val="00AF76E8"/>
    <w:rsid w:val="00AF7E86"/>
    <w:rsid w:val="00B024B9"/>
    <w:rsid w:val="00B04844"/>
    <w:rsid w:val="00B077FA"/>
    <w:rsid w:val="00B127D7"/>
    <w:rsid w:val="00B13B0C"/>
    <w:rsid w:val="00B1453A"/>
    <w:rsid w:val="00B17ABE"/>
    <w:rsid w:val="00B20F82"/>
    <w:rsid w:val="00B23D1C"/>
    <w:rsid w:val="00B25BD5"/>
    <w:rsid w:val="00B328E1"/>
    <w:rsid w:val="00B34079"/>
    <w:rsid w:val="00B3793A"/>
    <w:rsid w:val="00B401BA"/>
    <w:rsid w:val="00B407E4"/>
    <w:rsid w:val="00B425B6"/>
    <w:rsid w:val="00B42A72"/>
    <w:rsid w:val="00B441AE"/>
    <w:rsid w:val="00B4527D"/>
    <w:rsid w:val="00B45A65"/>
    <w:rsid w:val="00B45F33"/>
    <w:rsid w:val="00B46D50"/>
    <w:rsid w:val="00B51D42"/>
    <w:rsid w:val="00B52233"/>
    <w:rsid w:val="00B53170"/>
    <w:rsid w:val="00B548B9"/>
    <w:rsid w:val="00B56DBE"/>
    <w:rsid w:val="00B62999"/>
    <w:rsid w:val="00B63BE3"/>
    <w:rsid w:val="00B63FE6"/>
    <w:rsid w:val="00B64885"/>
    <w:rsid w:val="00B66810"/>
    <w:rsid w:val="00B72BE3"/>
    <w:rsid w:val="00B73B80"/>
    <w:rsid w:val="00B740FD"/>
    <w:rsid w:val="00B770C7"/>
    <w:rsid w:val="00B80F26"/>
    <w:rsid w:val="00B822BD"/>
    <w:rsid w:val="00B8302F"/>
    <w:rsid w:val="00B842F4"/>
    <w:rsid w:val="00B91A7B"/>
    <w:rsid w:val="00B929DD"/>
    <w:rsid w:val="00B93AF6"/>
    <w:rsid w:val="00B95405"/>
    <w:rsid w:val="00B963F1"/>
    <w:rsid w:val="00BA020A"/>
    <w:rsid w:val="00BA0D0E"/>
    <w:rsid w:val="00BA595B"/>
    <w:rsid w:val="00BB025A"/>
    <w:rsid w:val="00BB02A4"/>
    <w:rsid w:val="00BB1270"/>
    <w:rsid w:val="00BB1E44"/>
    <w:rsid w:val="00BB5267"/>
    <w:rsid w:val="00BB52B8"/>
    <w:rsid w:val="00BB59D8"/>
    <w:rsid w:val="00BB7E69"/>
    <w:rsid w:val="00BC0E51"/>
    <w:rsid w:val="00BC3C1F"/>
    <w:rsid w:val="00BC4A3F"/>
    <w:rsid w:val="00BC7CE7"/>
    <w:rsid w:val="00BC7FAE"/>
    <w:rsid w:val="00BD10DB"/>
    <w:rsid w:val="00BD295E"/>
    <w:rsid w:val="00BD4664"/>
    <w:rsid w:val="00BE1193"/>
    <w:rsid w:val="00BE1C46"/>
    <w:rsid w:val="00BE47EA"/>
    <w:rsid w:val="00BF4849"/>
    <w:rsid w:val="00BF4EA7"/>
    <w:rsid w:val="00C00EDB"/>
    <w:rsid w:val="00C01064"/>
    <w:rsid w:val="00C02863"/>
    <w:rsid w:val="00C0383A"/>
    <w:rsid w:val="00C067FF"/>
    <w:rsid w:val="00C121B8"/>
    <w:rsid w:val="00C12862"/>
    <w:rsid w:val="00C13AA0"/>
    <w:rsid w:val="00C13D28"/>
    <w:rsid w:val="00C14585"/>
    <w:rsid w:val="00C165A0"/>
    <w:rsid w:val="00C20094"/>
    <w:rsid w:val="00C216CE"/>
    <w:rsid w:val="00C2184F"/>
    <w:rsid w:val="00C22A78"/>
    <w:rsid w:val="00C23C7E"/>
    <w:rsid w:val="00C246C5"/>
    <w:rsid w:val="00C25A82"/>
    <w:rsid w:val="00C2683A"/>
    <w:rsid w:val="00C30A2A"/>
    <w:rsid w:val="00C33993"/>
    <w:rsid w:val="00C355E0"/>
    <w:rsid w:val="00C4069E"/>
    <w:rsid w:val="00C41ADC"/>
    <w:rsid w:val="00C44149"/>
    <w:rsid w:val="00C44410"/>
    <w:rsid w:val="00C44A15"/>
    <w:rsid w:val="00C4630A"/>
    <w:rsid w:val="00C47678"/>
    <w:rsid w:val="00C523F0"/>
    <w:rsid w:val="00C526D2"/>
    <w:rsid w:val="00C53A91"/>
    <w:rsid w:val="00C5794E"/>
    <w:rsid w:val="00C60968"/>
    <w:rsid w:val="00C63D39"/>
    <w:rsid w:val="00C63EDD"/>
    <w:rsid w:val="00C64AC6"/>
    <w:rsid w:val="00C65B36"/>
    <w:rsid w:val="00C713EF"/>
    <w:rsid w:val="00C71761"/>
    <w:rsid w:val="00C7292E"/>
    <w:rsid w:val="00C74E88"/>
    <w:rsid w:val="00C80924"/>
    <w:rsid w:val="00C8105E"/>
    <w:rsid w:val="00C8286B"/>
    <w:rsid w:val="00C947F8"/>
    <w:rsid w:val="00C9491E"/>
    <w:rsid w:val="00C9515F"/>
    <w:rsid w:val="00C963C5"/>
    <w:rsid w:val="00C965D6"/>
    <w:rsid w:val="00CA030C"/>
    <w:rsid w:val="00CA1F41"/>
    <w:rsid w:val="00CA32EE"/>
    <w:rsid w:val="00CA5771"/>
    <w:rsid w:val="00CA6A1A"/>
    <w:rsid w:val="00CC0E4C"/>
    <w:rsid w:val="00CC1E75"/>
    <w:rsid w:val="00CC2E0E"/>
    <w:rsid w:val="00CC361C"/>
    <w:rsid w:val="00CC474B"/>
    <w:rsid w:val="00CC4CDB"/>
    <w:rsid w:val="00CC5B0F"/>
    <w:rsid w:val="00CC658C"/>
    <w:rsid w:val="00CC67BF"/>
    <w:rsid w:val="00CD0843"/>
    <w:rsid w:val="00CD1431"/>
    <w:rsid w:val="00CD4E31"/>
    <w:rsid w:val="00CD5A78"/>
    <w:rsid w:val="00CD6C37"/>
    <w:rsid w:val="00CD7345"/>
    <w:rsid w:val="00CE372E"/>
    <w:rsid w:val="00CF0A1B"/>
    <w:rsid w:val="00CF19F6"/>
    <w:rsid w:val="00CF2F4F"/>
    <w:rsid w:val="00CF536D"/>
    <w:rsid w:val="00CF7068"/>
    <w:rsid w:val="00D02E9D"/>
    <w:rsid w:val="00D067FC"/>
    <w:rsid w:val="00D06CF0"/>
    <w:rsid w:val="00D10C48"/>
    <w:rsid w:val="00D10CB8"/>
    <w:rsid w:val="00D12806"/>
    <w:rsid w:val="00D12D44"/>
    <w:rsid w:val="00D15018"/>
    <w:rsid w:val="00D158AC"/>
    <w:rsid w:val="00D16502"/>
    <w:rsid w:val="00D1694C"/>
    <w:rsid w:val="00D20F5E"/>
    <w:rsid w:val="00D22A24"/>
    <w:rsid w:val="00D23B76"/>
    <w:rsid w:val="00D24B4A"/>
    <w:rsid w:val="00D26083"/>
    <w:rsid w:val="00D369B6"/>
    <w:rsid w:val="00D379A3"/>
    <w:rsid w:val="00D45FF3"/>
    <w:rsid w:val="00D512CF"/>
    <w:rsid w:val="00D528B9"/>
    <w:rsid w:val="00D53186"/>
    <w:rsid w:val="00D5487D"/>
    <w:rsid w:val="00D60140"/>
    <w:rsid w:val="00D6024A"/>
    <w:rsid w:val="00D608B5"/>
    <w:rsid w:val="00D62444"/>
    <w:rsid w:val="00D634ED"/>
    <w:rsid w:val="00D63CCB"/>
    <w:rsid w:val="00D64739"/>
    <w:rsid w:val="00D71F99"/>
    <w:rsid w:val="00D73CA4"/>
    <w:rsid w:val="00D73D71"/>
    <w:rsid w:val="00D74396"/>
    <w:rsid w:val="00D80284"/>
    <w:rsid w:val="00D81F71"/>
    <w:rsid w:val="00D849C1"/>
    <w:rsid w:val="00D8642D"/>
    <w:rsid w:val="00D90A5E"/>
    <w:rsid w:val="00D90C53"/>
    <w:rsid w:val="00D91A68"/>
    <w:rsid w:val="00D95A68"/>
    <w:rsid w:val="00DA17C7"/>
    <w:rsid w:val="00DA6A9A"/>
    <w:rsid w:val="00DB06F2"/>
    <w:rsid w:val="00DB1EFD"/>
    <w:rsid w:val="00DB3EAF"/>
    <w:rsid w:val="00DB46C6"/>
    <w:rsid w:val="00DB6881"/>
    <w:rsid w:val="00DC3203"/>
    <w:rsid w:val="00DC3C99"/>
    <w:rsid w:val="00DC52F5"/>
    <w:rsid w:val="00DC5D50"/>
    <w:rsid w:val="00DC5FD0"/>
    <w:rsid w:val="00DD0354"/>
    <w:rsid w:val="00DD17D8"/>
    <w:rsid w:val="00DD27D7"/>
    <w:rsid w:val="00DD458C"/>
    <w:rsid w:val="00DD72E9"/>
    <w:rsid w:val="00DD7605"/>
    <w:rsid w:val="00DE2020"/>
    <w:rsid w:val="00DE3476"/>
    <w:rsid w:val="00DE7BEA"/>
    <w:rsid w:val="00DF5B84"/>
    <w:rsid w:val="00DF6D5B"/>
    <w:rsid w:val="00DF771B"/>
    <w:rsid w:val="00DF7EE2"/>
    <w:rsid w:val="00E006F4"/>
    <w:rsid w:val="00E00E36"/>
    <w:rsid w:val="00E01355"/>
    <w:rsid w:val="00E01BAA"/>
    <w:rsid w:val="00E0282A"/>
    <w:rsid w:val="00E02F9B"/>
    <w:rsid w:val="00E07E14"/>
    <w:rsid w:val="00E14F94"/>
    <w:rsid w:val="00E158F9"/>
    <w:rsid w:val="00E17336"/>
    <w:rsid w:val="00E17D15"/>
    <w:rsid w:val="00E22B95"/>
    <w:rsid w:val="00E22B9A"/>
    <w:rsid w:val="00E231EA"/>
    <w:rsid w:val="00E268FF"/>
    <w:rsid w:val="00E30331"/>
    <w:rsid w:val="00E30BB8"/>
    <w:rsid w:val="00E31F9C"/>
    <w:rsid w:val="00E40488"/>
    <w:rsid w:val="00E42525"/>
    <w:rsid w:val="00E50348"/>
    <w:rsid w:val="00E50367"/>
    <w:rsid w:val="00E51ABA"/>
    <w:rsid w:val="00E524CB"/>
    <w:rsid w:val="00E52F2D"/>
    <w:rsid w:val="00E603CC"/>
    <w:rsid w:val="00E61600"/>
    <w:rsid w:val="00E646DD"/>
    <w:rsid w:val="00E65456"/>
    <w:rsid w:val="00E65969"/>
    <w:rsid w:val="00E65A91"/>
    <w:rsid w:val="00E66188"/>
    <w:rsid w:val="00E664FB"/>
    <w:rsid w:val="00E672F0"/>
    <w:rsid w:val="00E67603"/>
    <w:rsid w:val="00E67BDE"/>
    <w:rsid w:val="00E70373"/>
    <w:rsid w:val="00E72E40"/>
    <w:rsid w:val="00E73665"/>
    <w:rsid w:val="00E73999"/>
    <w:rsid w:val="00E73BDC"/>
    <w:rsid w:val="00E73E9E"/>
    <w:rsid w:val="00E81660"/>
    <w:rsid w:val="00E84387"/>
    <w:rsid w:val="00E854FE"/>
    <w:rsid w:val="00E906CC"/>
    <w:rsid w:val="00E9215F"/>
    <w:rsid w:val="00E939A0"/>
    <w:rsid w:val="00E97E4E"/>
    <w:rsid w:val="00EA1CC2"/>
    <w:rsid w:val="00EA2D76"/>
    <w:rsid w:val="00EA4644"/>
    <w:rsid w:val="00EA6BE4"/>
    <w:rsid w:val="00EA758A"/>
    <w:rsid w:val="00EA7A5E"/>
    <w:rsid w:val="00EB096F"/>
    <w:rsid w:val="00EB0C7A"/>
    <w:rsid w:val="00EB199F"/>
    <w:rsid w:val="00EB27C4"/>
    <w:rsid w:val="00EB5387"/>
    <w:rsid w:val="00EB5C10"/>
    <w:rsid w:val="00EB7322"/>
    <w:rsid w:val="00EC0FE9"/>
    <w:rsid w:val="00EC198B"/>
    <w:rsid w:val="00EC3D99"/>
    <w:rsid w:val="00EC426D"/>
    <w:rsid w:val="00EC4C84"/>
    <w:rsid w:val="00EC571B"/>
    <w:rsid w:val="00EC57D7"/>
    <w:rsid w:val="00EC6385"/>
    <w:rsid w:val="00EC678E"/>
    <w:rsid w:val="00EC6E98"/>
    <w:rsid w:val="00ED1DE9"/>
    <w:rsid w:val="00ED23D4"/>
    <w:rsid w:val="00ED5E0B"/>
    <w:rsid w:val="00EE37B6"/>
    <w:rsid w:val="00EF0F45"/>
    <w:rsid w:val="00EF53A4"/>
    <w:rsid w:val="00EF7463"/>
    <w:rsid w:val="00EF7971"/>
    <w:rsid w:val="00F002EF"/>
    <w:rsid w:val="00F01EE9"/>
    <w:rsid w:val="00F029EB"/>
    <w:rsid w:val="00F02B89"/>
    <w:rsid w:val="00F02BD6"/>
    <w:rsid w:val="00F040EE"/>
    <w:rsid w:val="00F04900"/>
    <w:rsid w:val="00F065A4"/>
    <w:rsid w:val="00F06FD4"/>
    <w:rsid w:val="00F126B9"/>
    <w:rsid w:val="00F12715"/>
    <w:rsid w:val="00F144D5"/>
    <w:rsid w:val="00F146F0"/>
    <w:rsid w:val="00F15039"/>
    <w:rsid w:val="00F15AD8"/>
    <w:rsid w:val="00F16B69"/>
    <w:rsid w:val="00F20FF3"/>
    <w:rsid w:val="00F2190B"/>
    <w:rsid w:val="00F228B5"/>
    <w:rsid w:val="00F2389C"/>
    <w:rsid w:val="00F25C67"/>
    <w:rsid w:val="00F30A46"/>
    <w:rsid w:val="00F30DFF"/>
    <w:rsid w:val="00F32B80"/>
    <w:rsid w:val="00F340EB"/>
    <w:rsid w:val="00F35285"/>
    <w:rsid w:val="00F43B9D"/>
    <w:rsid w:val="00F44D5E"/>
    <w:rsid w:val="00F45A60"/>
    <w:rsid w:val="00F511AA"/>
    <w:rsid w:val="00F53A35"/>
    <w:rsid w:val="00F55A3D"/>
    <w:rsid w:val="00F5744B"/>
    <w:rsid w:val="00F61209"/>
    <w:rsid w:val="00F6259E"/>
    <w:rsid w:val="00F65499"/>
    <w:rsid w:val="00F65DD4"/>
    <w:rsid w:val="00F672B2"/>
    <w:rsid w:val="00F72C66"/>
    <w:rsid w:val="00F74C07"/>
    <w:rsid w:val="00F77DEB"/>
    <w:rsid w:val="00F81086"/>
    <w:rsid w:val="00F83973"/>
    <w:rsid w:val="00F86A07"/>
    <w:rsid w:val="00F87FA3"/>
    <w:rsid w:val="00F926DA"/>
    <w:rsid w:val="00F93D8C"/>
    <w:rsid w:val="00F97DFF"/>
    <w:rsid w:val="00FA3102"/>
    <w:rsid w:val="00FA48D4"/>
    <w:rsid w:val="00FA50FA"/>
    <w:rsid w:val="00FA54FA"/>
    <w:rsid w:val="00FA6D39"/>
    <w:rsid w:val="00FA7479"/>
    <w:rsid w:val="00FA79AC"/>
    <w:rsid w:val="00FB227E"/>
    <w:rsid w:val="00FB3D61"/>
    <w:rsid w:val="00FB44CE"/>
    <w:rsid w:val="00FB5009"/>
    <w:rsid w:val="00FB6E33"/>
    <w:rsid w:val="00FB742B"/>
    <w:rsid w:val="00FB76AB"/>
    <w:rsid w:val="00FD03FE"/>
    <w:rsid w:val="00FD126E"/>
    <w:rsid w:val="00FD3C36"/>
    <w:rsid w:val="00FD4D81"/>
    <w:rsid w:val="00FD7498"/>
    <w:rsid w:val="00FD7FB3"/>
    <w:rsid w:val="00FE4713"/>
    <w:rsid w:val="00FE56A4"/>
    <w:rsid w:val="00FF1F44"/>
    <w:rsid w:val="00FF225E"/>
    <w:rsid w:val="00FF4E9B"/>
    <w:rsid w:val="00FF672C"/>
    <w:rsid w:val="00FF6CE8"/>
    <w:rsid w:val="00FF7FE9"/>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ADAF8-FF83-4508-892C-C7EDD48A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qFormat/>
    <w:rsid w:val="00065600"/>
    <w:pPr>
      <w:keepNext/>
      <w:overflowPunct w:val="0"/>
      <w:autoSpaceDE w:val="0"/>
      <w:autoSpaceDN w:val="0"/>
      <w:adjustRightInd w:val="0"/>
      <w:spacing w:line="240" w:lineRule="auto"/>
      <w:jc w:val="both"/>
      <w:textAlignment w:val="baseline"/>
      <w:outlineLvl w:val="4"/>
    </w:pPr>
    <w:rPr>
      <w:b/>
      <w:szCs w:val="20"/>
      <w:lang w:eastAsia="en-US"/>
    </w:rPr>
  </w:style>
  <w:style w:type="paragraph" w:styleId="Heading6">
    <w:name w:val="heading 6"/>
    <w:basedOn w:val="Normal"/>
    <w:next w:val="Normal"/>
    <w:link w:val="Heading6Char"/>
    <w:qFormat/>
    <w:rsid w:val="00065600"/>
    <w:pPr>
      <w:keepNext/>
      <w:overflowPunct w:val="0"/>
      <w:autoSpaceDE w:val="0"/>
      <w:autoSpaceDN w:val="0"/>
      <w:adjustRightInd w:val="0"/>
      <w:spacing w:line="360" w:lineRule="auto"/>
      <w:jc w:val="both"/>
      <w:textAlignment w:val="baseline"/>
      <w:outlineLvl w:val="5"/>
    </w:pPr>
    <w:rPr>
      <w:i/>
      <w:szCs w:val="20"/>
      <w:lang w:val="sk-SK" w:eastAsia="en-US"/>
    </w:rPr>
  </w:style>
  <w:style w:type="paragraph" w:styleId="Heading7">
    <w:name w:val="heading 7"/>
    <w:basedOn w:val="Normal"/>
    <w:next w:val="Normal"/>
    <w:link w:val="Heading7Char"/>
    <w:qFormat/>
    <w:rsid w:val="00065600"/>
    <w:pPr>
      <w:keepNext/>
      <w:overflowPunct w:val="0"/>
      <w:autoSpaceDE w:val="0"/>
      <w:autoSpaceDN w:val="0"/>
      <w:adjustRightInd w:val="0"/>
      <w:spacing w:line="360" w:lineRule="auto"/>
      <w:jc w:val="both"/>
      <w:textAlignment w:val="baseline"/>
      <w:outlineLvl w:val="6"/>
    </w:pPr>
    <w:rPr>
      <w:i/>
      <w:szCs w:val="20"/>
      <w:lang w:val="sk-SK" w:eastAsia="en-US"/>
    </w:rPr>
  </w:style>
  <w:style w:type="paragraph" w:styleId="Heading8">
    <w:name w:val="heading 8"/>
    <w:basedOn w:val="Normal"/>
    <w:next w:val="Normal"/>
    <w:link w:val="Heading8Char"/>
    <w:qFormat/>
    <w:rsid w:val="00065600"/>
    <w:pPr>
      <w:overflowPunct w:val="0"/>
      <w:autoSpaceDE w:val="0"/>
      <w:autoSpaceDN w:val="0"/>
      <w:adjustRightInd w:val="0"/>
      <w:spacing w:before="240" w:after="60" w:line="240" w:lineRule="auto"/>
      <w:jc w:val="both"/>
      <w:textAlignment w:val="baseline"/>
      <w:outlineLvl w:val="7"/>
    </w:pPr>
    <w:rPr>
      <w:rFonts w:ascii="Arial" w:hAnsi="Arial"/>
      <w:i/>
      <w:sz w:val="20"/>
      <w:szCs w:val="20"/>
      <w:lang w:val="cs-CZ" w:eastAsia="en-US"/>
    </w:rPr>
  </w:style>
  <w:style w:type="paragraph" w:styleId="Heading9">
    <w:name w:val="heading 9"/>
    <w:basedOn w:val="Normal"/>
    <w:next w:val="Normal"/>
    <w:link w:val="Heading9Char"/>
    <w:qFormat/>
    <w:rsid w:val="00065600"/>
    <w:pPr>
      <w:overflowPunct w:val="0"/>
      <w:autoSpaceDE w:val="0"/>
      <w:autoSpaceDN w:val="0"/>
      <w:adjustRightInd w:val="0"/>
      <w:spacing w:before="240" w:after="60" w:line="240" w:lineRule="auto"/>
      <w:jc w:val="both"/>
      <w:textAlignment w:val="baseline"/>
      <w:outlineLvl w:val="8"/>
    </w:pPr>
    <w:rPr>
      <w:rFonts w:ascii="Arial" w:hAnsi="Arial"/>
      <w:b/>
      <w:i/>
      <w:sz w:val="18"/>
      <w:szCs w:val="20"/>
      <w:lang w:val="cs-C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uiPriority w:val="99"/>
    <w:semiHidden/>
    <w:unhideWhenUsed/>
    <w:rsid w:val="006865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82"/>
    <w:rPr>
      <w:rFonts w:ascii="Tahoma" w:hAnsi="Tahoma" w:cs="Tahoma"/>
      <w:sz w:val="16"/>
      <w:szCs w:val="16"/>
    </w:rPr>
  </w:style>
  <w:style w:type="paragraph" w:customStyle="1" w:styleId="AuthorsStyle">
    <w:name w:val="AuthorsStyle"/>
    <w:basedOn w:val="Normal"/>
    <w:rsid w:val="00686582"/>
    <w:pPr>
      <w:overflowPunct w:val="0"/>
      <w:autoSpaceDE w:val="0"/>
      <w:autoSpaceDN w:val="0"/>
      <w:adjustRightInd w:val="0"/>
      <w:jc w:val="center"/>
      <w:textAlignment w:val="baseline"/>
    </w:pPr>
    <w:rPr>
      <w:caps/>
      <w:szCs w:val="20"/>
      <w:lang w:eastAsia="en-US"/>
    </w:rPr>
  </w:style>
  <w:style w:type="paragraph" w:customStyle="1" w:styleId="MiscellaneousStyle">
    <w:name w:val="MiscellaneousStyle"/>
    <w:basedOn w:val="Normal"/>
    <w:link w:val="MiscellaneousStyleChar"/>
    <w:rsid w:val="00686582"/>
    <w:pPr>
      <w:overflowPunct w:val="0"/>
      <w:autoSpaceDE w:val="0"/>
      <w:autoSpaceDN w:val="0"/>
      <w:adjustRightInd w:val="0"/>
      <w:ind w:left="993" w:hanging="993"/>
      <w:jc w:val="both"/>
      <w:textAlignment w:val="baseline"/>
    </w:pPr>
    <w:rPr>
      <w:szCs w:val="20"/>
      <w:lang w:eastAsia="en-US"/>
    </w:rPr>
  </w:style>
  <w:style w:type="character" w:styleId="Hyperlink">
    <w:name w:val="Hyperlink"/>
    <w:basedOn w:val="DefaultParagraphFont"/>
    <w:uiPriority w:val="99"/>
    <w:rsid w:val="00686582"/>
    <w:rPr>
      <w:color w:val="0000FF"/>
      <w:u w:val="single"/>
    </w:rPr>
  </w:style>
  <w:style w:type="character" w:customStyle="1" w:styleId="MiscellaneousStyleChar">
    <w:name w:val="MiscellaneousStyle Char"/>
    <w:basedOn w:val="DefaultParagraphFont"/>
    <w:link w:val="MiscellaneousStyle"/>
    <w:rsid w:val="00686582"/>
    <w:rPr>
      <w:sz w:val="24"/>
      <w:lang w:eastAsia="en-US"/>
    </w:rPr>
  </w:style>
  <w:style w:type="table" w:styleId="TableGrid">
    <w:name w:val="Table Grid"/>
    <w:basedOn w:val="TableNormal"/>
    <w:uiPriority w:val="59"/>
    <w:rsid w:val="00686582"/>
    <w:rPr>
      <w:lang w:val="en-IN" w:eastAsia="en-IN"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MainText">
    <w:name w:val="TA_Main_Text"/>
    <w:basedOn w:val="Normal"/>
    <w:rsid w:val="00686582"/>
    <w:pPr>
      <w:ind w:firstLine="202"/>
      <w:jc w:val="both"/>
    </w:pPr>
    <w:rPr>
      <w:rFonts w:ascii="Times" w:hAnsi="Times"/>
      <w:szCs w:val="20"/>
      <w:lang w:val="en-US" w:eastAsia="en-US"/>
    </w:rPr>
  </w:style>
  <w:style w:type="table" w:customStyle="1" w:styleId="TableGrid1">
    <w:name w:val="Table Grid1"/>
    <w:basedOn w:val="TableNormal"/>
    <w:next w:val="TableGrid"/>
    <w:uiPriority w:val="59"/>
    <w:rsid w:val="00686582"/>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rsid w:val="00065600"/>
    <w:rPr>
      <w:b/>
      <w:sz w:val="24"/>
      <w:lang w:eastAsia="en-US"/>
    </w:rPr>
  </w:style>
  <w:style w:type="character" w:customStyle="1" w:styleId="Heading6Char">
    <w:name w:val="Heading 6 Char"/>
    <w:basedOn w:val="DefaultParagraphFont"/>
    <w:link w:val="Heading6"/>
    <w:rsid w:val="00065600"/>
    <w:rPr>
      <w:i/>
      <w:sz w:val="24"/>
      <w:lang w:val="sk-SK" w:eastAsia="en-US"/>
    </w:rPr>
  </w:style>
  <w:style w:type="character" w:customStyle="1" w:styleId="Heading7Char">
    <w:name w:val="Heading 7 Char"/>
    <w:basedOn w:val="DefaultParagraphFont"/>
    <w:link w:val="Heading7"/>
    <w:rsid w:val="00065600"/>
    <w:rPr>
      <w:i/>
      <w:sz w:val="24"/>
      <w:lang w:val="sk-SK" w:eastAsia="en-US"/>
    </w:rPr>
  </w:style>
  <w:style w:type="character" w:customStyle="1" w:styleId="Heading8Char">
    <w:name w:val="Heading 8 Char"/>
    <w:basedOn w:val="DefaultParagraphFont"/>
    <w:link w:val="Heading8"/>
    <w:rsid w:val="00065600"/>
    <w:rPr>
      <w:rFonts w:ascii="Arial" w:hAnsi="Arial"/>
      <w:i/>
      <w:lang w:val="cs-CZ" w:eastAsia="en-US"/>
    </w:rPr>
  </w:style>
  <w:style w:type="character" w:customStyle="1" w:styleId="Heading9Char">
    <w:name w:val="Heading 9 Char"/>
    <w:basedOn w:val="DefaultParagraphFont"/>
    <w:link w:val="Heading9"/>
    <w:rsid w:val="00065600"/>
    <w:rPr>
      <w:rFonts w:ascii="Arial" w:hAnsi="Arial"/>
      <w:b/>
      <w:i/>
      <w:sz w:val="18"/>
      <w:lang w:val="cs-CZ" w:eastAsia="en-US"/>
    </w:rPr>
  </w:style>
  <w:style w:type="numbering" w:customStyle="1" w:styleId="NoList1">
    <w:name w:val="No List1"/>
    <w:next w:val="NoList"/>
    <w:uiPriority w:val="99"/>
    <w:semiHidden/>
    <w:unhideWhenUsed/>
    <w:rsid w:val="00065600"/>
  </w:style>
  <w:style w:type="character" w:styleId="PageNumber">
    <w:name w:val="page number"/>
    <w:basedOn w:val="DefaultParagraphFont"/>
    <w:rsid w:val="00065600"/>
  </w:style>
  <w:style w:type="character" w:styleId="CommentReference">
    <w:name w:val="annotation reference"/>
    <w:basedOn w:val="DefaultParagraphFont"/>
    <w:semiHidden/>
    <w:rsid w:val="00065600"/>
    <w:rPr>
      <w:sz w:val="16"/>
      <w:szCs w:val="16"/>
    </w:rPr>
  </w:style>
  <w:style w:type="paragraph" w:styleId="CommentText">
    <w:name w:val="annotation text"/>
    <w:basedOn w:val="Normal"/>
    <w:link w:val="CommentTextChar"/>
    <w:semiHidden/>
    <w:rsid w:val="00065600"/>
    <w:pPr>
      <w:overflowPunct w:val="0"/>
      <w:autoSpaceDE w:val="0"/>
      <w:autoSpaceDN w:val="0"/>
      <w:adjustRightInd w:val="0"/>
      <w:spacing w:line="240" w:lineRule="auto"/>
      <w:jc w:val="both"/>
      <w:textAlignment w:val="baseline"/>
    </w:pPr>
    <w:rPr>
      <w:sz w:val="20"/>
      <w:szCs w:val="20"/>
      <w:lang w:eastAsia="en-US"/>
    </w:rPr>
  </w:style>
  <w:style w:type="character" w:customStyle="1" w:styleId="CommentTextChar">
    <w:name w:val="Comment Text Char"/>
    <w:basedOn w:val="DefaultParagraphFont"/>
    <w:link w:val="CommentText"/>
    <w:semiHidden/>
    <w:rsid w:val="00065600"/>
    <w:rPr>
      <w:lang w:eastAsia="en-US"/>
    </w:rPr>
  </w:style>
  <w:style w:type="character" w:styleId="LineNumber">
    <w:name w:val="line number"/>
    <w:basedOn w:val="DefaultParagraphFont"/>
    <w:rsid w:val="00065600"/>
    <w:rPr>
      <w:b/>
      <w:color w:val="999999"/>
      <w:sz w:val="16"/>
    </w:rPr>
  </w:style>
  <w:style w:type="paragraph" w:customStyle="1" w:styleId="TitleStyle">
    <w:name w:val="TitleStyle"/>
    <w:basedOn w:val="Normal"/>
    <w:rsid w:val="00065600"/>
    <w:pPr>
      <w:overflowPunct w:val="0"/>
      <w:autoSpaceDE w:val="0"/>
      <w:autoSpaceDN w:val="0"/>
      <w:adjustRightInd w:val="0"/>
      <w:jc w:val="center"/>
      <w:textAlignment w:val="baseline"/>
    </w:pPr>
    <w:rPr>
      <w:b/>
      <w:sz w:val="28"/>
      <w:szCs w:val="20"/>
      <w:lang w:eastAsia="en-US"/>
    </w:rPr>
  </w:style>
  <w:style w:type="paragraph" w:customStyle="1" w:styleId="AffiliationStyle">
    <w:name w:val="AffiliationStyle"/>
    <w:basedOn w:val="Normal"/>
    <w:rsid w:val="00065600"/>
    <w:pPr>
      <w:overflowPunct w:val="0"/>
      <w:autoSpaceDE w:val="0"/>
      <w:autoSpaceDN w:val="0"/>
      <w:adjustRightInd w:val="0"/>
      <w:jc w:val="center"/>
      <w:textAlignment w:val="baseline"/>
    </w:pPr>
    <w:rPr>
      <w:i/>
      <w:szCs w:val="20"/>
      <w:lang w:eastAsia="en-US"/>
    </w:rPr>
  </w:style>
  <w:style w:type="paragraph" w:customStyle="1" w:styleId="ReceivedStyle">
    <w:name w:val="ReceivedStyle"/>
    <w:basedOn w:val="Normal"/>
    <w:rsid w:val="00065600"/>
    <w:pPr>
      <w:overflowPunct w:val="0"/>
      <w:autoSpaceDE w:val="0"/>
      <w:autoSpaceDN w:val="0"/>
      <w:adjustRightInd w:val="0"/>
      <w:jc w:val="center"/>
      <w:textAlignment w:val="baseline"/>
    </w:pPr>
    <w:rPr>
      <w:szCs w:val="20"/>
      <w:lang w:eastAsia="en-US"/>
    </w:rPr>
  </w:style>
  <w:style w:type="paragraph" w:customStyle="1" w:styleId="TextStyle">
    <w:name w:val="TextStyle"/>
    <w:basedOn w:val="Normal"/>
    <w:rsid w:val="00065600"/>
    <w:pPr>
      <w:overflowPunct w:val="0"/>
      <w:autoSpaceDE w:val="0"/>
      <w:autoSpaceDN w:val="0"/>
      <w:adjustRightInd w:val="0"/>
      <w:ind w:firstLine="708"/>
      <w:jc w:val="both"/>
      <w:textAlignment w:val="baseline"/>
    </w:pPr>
    <w:rPr>
      <w:szCs w:val="20"/>
      <w:lang w:eastAsia="en-US"/>
    </w:rPr>
  </w:style>
  <w:style w:type="paragraph" w:customStyle="1" w:styleId="ChapterHeadingStyle">
    <w:name w:val="ChapterHeadingStyle"/>
    <w:basedOn w:val="Heading4"/>
    <w:rsid w:val="00065600"/>
    <w:pPr>
      <w:keepNext/>
      <w:widowControl/>
      <w:overflowPunct w:val="0"/>
      <w:autoSpaceDE w:val="0"/>
      <w:autoSpaceDN w:val="0"/>
      <w:adjustRightInd w:val="0"/>
      <w:spacing w:before="0"/>
      <w:jc w:val="center"/>
      <w:textAlignment w:val="baseline"/>
    </w:pPr>
    <w:rPr>
      <w:b/>
      <w:szCs w:val="20"/>
      <w:lang w:eastAsia="en-US"/>
    </w:rPr>
  </w:style>
  <w:style w:type="paragraph" w:customStyle="1" w:styleId="EquationStyle">
    <w:name w:val="EquationStyle"/>
    <w:basedOn w:val="Normal"/>
    <w:rsid w:val="00065600"/>
    <w:pPr>
      <w:tabs>
        <w:tab w:val="center" w:pos="4500"/>
        <w:tab w:val="left" w:pos="8460"/>
      </w:tabs>
      <w:jc w:val="center"/>
    </w:pPr>
    <w:rPr>
      <w:szCs w:val="20"/>
      <w:lang w:eastAsia="en-US"/>
    </w:rPr>
  </w:style>
  <w:style w:type="paragraph" w:customStyle="1" w:styleId="SectionStyle">
    <w:name w:val="SectionStyle"/>
    <w:basedOn w:val="Normal"/>
    <w:rsid w:val="00065600"/>
    <w:pPr>
      <w:overflowPunct w:val="0"/>
      <w:autoSpaceDE w:val="0"/>
      <w:autoSpaceDN w:val="0"/>
      <w:adjustRightInd w:val="0"/>
      <w:jc w:val="both"/>
      <w:textAlignment w:val="baseline"/>
    </w:pPr>
    <w:rPr>
      <w:b/>
      <w:bCs/>
      <w:iCs/>
      <w:szCs w:val="20"/>
      <w:lang w:eastAsia="en-US"/>
    </w:rPr>
  </w:style>
  <w:style w:type="paragraph" w:customStyle="1" w:styleId="AcknowledgementsStyle">
    <w:name w:val="AcknowledgementsStyle"/>
    <w:basedOn w:val="Normal"/>
    <w:rsid w:val="00065600"/>
    <w:pPr>
      <w:overflowPunct w:val="0"/>
      <w:autoSpaceDE w:val="0"/>
      <w:autoSpaceDN w:val="0"/>
      <w:adjustRightInd w:val="0"/>
      <w:ind w:firstLine="708"/>
      <w:jc w:val="both"/>
      <w:textAlignment w:val="baseline"/>
    </w:pPr>
    <w:rPr>
      <w:i/>
      <w:szCs w:val="20"/>
      <w:lang w:eastAsia="en-US"/>
    </w:rPr>
  </w:style>
  <w:style w:type="character" w:styleId="FollowedHyperlink">
    <w:name w:val="FollowedHyperlink"/>
    <w:basedOn w:val="DefaultParagraphFont"/>
    <w:uiPriority w:val="99"/>
    <w:rsid w:val="00065600"/>
    <w:rPr>
      <w:color w:val="800080"/>
      <w:u w:val="single"/>
    </w:rPr>
  </w:style>
  <w:style w:type="paragraph" w:styleId="Title">
    <w:name w:val="Title"/>
    <w:basedOn w:val="Normal"/>
    <w:link w:val="TitleChar"/>
    <w:qFormat/>
    <w:rsid w:val="00065600"/>
    <w:pPr>
      <w:spacing w:line="360" w:lineRule="auto"/>
      <w:jc w:val="center"/>
    </w:pPr>
    <w:rPr>
      <w:b/>
      <w:bCs/>
      <w:u w:val="single"/>
      <w:lang w:val="en-US" w:eastAsia="sk-SK"/>
    </w:rPr>
  </w:style>
  <w:style w:type="character" w:customStyle="1" w:styleId="TitleChar">
    <w:name w:val="Title Char"/>
    <w:basedOn w:val="DefaultParagraphFont"/>
    <w:link w:val="Title"/>
    <w:rsid w:val="00065600"/>
    <w:rPr>
      <w:b/>
      <w:bCs/>
      <w:sz w:val="24"/>
      <w:szCs w:val="24"/>
      <w:u w:val="single"/>
      <w:lang w:val="en-US" w:eastAsia="sk-SK"/>
    </w:rPr>
  </w:style>
  <w:style w:type="paragraph" w:customStyle="1" w:styleId="Akapitzlist">
    <w:name w:val="Akapit z listą"/>
    <w:basedOn w:val="Normal"/>
    <w:qFormat/>
    <w:rsid w:val="00065600"/>
    <w:pPr>
      <w:spacing w:line="240" w:lineRule="auto"/>
      <w:ind w:left="708"/>
    </w:pPr>
    <w:rPr>
      <w:rFonts w:ascii="Trebuchet MS" w:hAnsi="Trebuchet MS"/>
      <w:szCs w:val="20"/>
      <w:lang w:val="en-US" w:eastAsia="en-US"/>
    </w:rPr>
  </w:style>
  <w:style w:type="paragraph" w:styleId="CommentSubject">
    <w:name w:val="annotation subject"/>
    <w:basedOn w:val="CommentText"/>
    <w:next w:val="CommentText"/>
    <w:link w:val="CommentSubjectChar"/>
    <w:rsid w:val="00065600"/>
    <w:rPr>
      <w:b/>
      <w:bCs/>
    </w:rPr>
  </w:style>
  <w:style w:type="character" w:customStyle="1" w:styleId="CommentSubjectChar">
    <w:name w:val="Comment Subject Char"/>
    <w:basedOn w:val="CommentTextChar"/>
    <w:link w:val="CommentSubject"/>
    <w:rsid w:val="00065600"/>
    <w:rPr>
      <w:b/>
      <w:bCs/>
      <w:lang w:eastAsia="en-US"/>
    </w:rPr>
  </w:style>
  <w:style w:type="character" w:customStyle="1" w:styleId="apple-style-span">
    <w:name w:val="apple-style-span"/>
    <w:basedOn w:val="DefaultParagraphFont"/>
    <w:rsid w:val="00065600"/>
  </w:style>
  <w:style w:type="character" w:styleId="Strong">
    <w:name w:val="Strong"/>
    <w:basedOn w:val="DefaultParagraphFont"/>
    <w:qFormat/>
    <w:rsid w:val="00065600"/>
    <w:rPr>
      <w:b/>
      <w:bCs/>
    </w:rPr>
  </w:style>
  <w:style w:type="character" w:customStyle="1" w:styleId="apple-converted-space">
    <w:name w:val="apple-converted-space"/>
    <w:basedOn w:val="DefaultParagraphFont"/>
    <w:rsid w:val="00065600"/>
  </w:style>
  <w:style w:type="character" w:customStyle="1" w:styleId="st">
    <w:name w:val="st"/>
    <w:basedOn w:val="DefaultParagraphFont"/>
    <w:rsid w:val="00065600"/>
  </w:style>
  <w:style w:type="paragraph" w:styleId="BodyText">
    <w:name w:val="Body Text"/>
    <w:basedOn w:val="Normal"/>
    <w:link w:val="BodyTextChar"/>
    <w:rsid w:val="00065600"/>
    <w:pPr>
      <w:spacing w:after="200" w:line="240" w:lineRule="auto"/>
      <w:jc w:val="center"/>
    </w:pPr>
    <w:rPr>
      <w:rFonts w:ascii="Times" w:hAnsi="Times" w:cs="Latha"/>
      <w:b/>
      <w:sz w:val="40"/>
      <w:szCs w:val="20"/>
      <w:lang w:val="en-US" w:eastAsia="en-US" w:bidi="ta-IN"/>
    </w:rPr>
  </w:style>
  <w:style w:type="character" w:customStyle="1" w:styleId="BodyTextChar">
    <w:name w:val="Body Text Char"/>
    <w:basedOn w:val="DefaultParagraphFont"/>
    <w:link w:val="BodyText"/>
    <w:rsid w:val="00065600"/>
    <w:rPr>
      <w:rFonts w:ascii="Times" w:hAnsi="Times" w:cs="Latha"/>
      <w:b/>
      <w:sz w:val="40"/>
      <w:lang w:val="en-US" w:eastAsia="en-US" w:bidi="ta-IN"/>
    </w:rPr>
  </w:style>
  <w:style w:type="paragraph" w:customStyle="1" w:styleId="TFReferencesSection">
    <w:name w:val="TF_References_Section"/>
    <w:basedOn w:val="Normal"/>
    <w:rsid w:val="00065600"/>
    <w:pPr>
      <w:spacing w:after="200"/>
      <w:ind w:firstLine="187"/>
      <w:jc w:val="both"/>
    </w:pPr>
    <w:rPr>
      <w:rFonts w:ascii="Times" w:hAnsi="Times"/>
      <w:szCs w:val="20"/>
      <w:lang w:val="en-US" w:eastAsia="en-US"/>
    </w:rPr>
  </w:style>
  <w:style w:type="paragraph" w:customStyle="1" w:styleId="BATitle">
    <w:name w:val="BA_Title"/>
    <w:basedOn w:val="Normal"/>
    <w:next w:val="BBAuthorName"/>
    <w:rsid w:val="00065600"/>
    <w:pPr>
      <w:spacing w:before="720" w:after="360"/>
      <w:jc w:val="center"/>
    </w:pPr>
    <w:rPr>
      <w:sz w:val="44"/>
      <w:szCs w:val="20"/>
      <w:lang w:val="en-US" w:eastAsia="en-US"/>
    </w:rPr>
  </w:style>
  <w:style w:type="paragraph" w:customStyle="1" w:styleId="BBAuthorName">
    <w:name w:val="BB_Author_Name"/>
    <w:basedOn w:val="Normal"/>
    <w:next w:val="BCAuthorAddress"/>
    <w:rsid w:val="00065600"/>
    <w:pPr>
      <w:spacing w:after="240"/>
      <w:jc w:val="center"/>
    </w:pPr>
    <w:rPr>
      <w:rFonts w:ascii="Times" w:hAnsi="Times"/>
      <w:i/>
      <w:szCs w:val="20"/>
      <w:lang w:val="en-US" w:eastAsia="en-US"/>
    </w:rPr>
  </w:style>
  <w:style w:type="paragraph" w:customStyle="1" w:styleId="BCAuthorAddress">
    <w:name w:val="BC_Author_Address"/>
    <w:basedOn w:val="Normal"/>
    <w:next w:val="BIEmailAddress"/>
    <w:rsid w:val="00065600"/>
    <w:pPr>
      <w:spacing w:after="240"/>
      <w:jc w:val="center"/>
    </w:pPr>
    <w:rPr>
      <w:rFonts w:ascii="Times" w:hAnsi="Times"/>
      <w:szCs w:val="20"/>
      <w:lang w:val="en-US" w:eastAsia="en-US"/>
    </w:rPr>
  </w:style>
  <w:style w:type="paragraph" w:customStyle="1" w:styleId="BIEmailAddress">
    <w:name w:val="BI_Email_Address"/>
    <w:basedOn w:val="Normal"/>
    <w:next w:val="AIReceivedDate"/>
    <w:rsid w:val="00065600"/>
    <w:pPr>
      <w:spacing w:after="200"/>
      <w:jc w:val="both"/>
    </w:pPr>
    <w:rPr>
      <w:rFonts w:ascii="Times" w:hAnsi="Times"/>
      <w:szCs w:val="20"/>
      <w:lang w:val="en-US" w:eastAsia="en-US"/>
    </w:rPr>
  </w:style>
  <w:style w:type="paragraph" w:customStyle="1" w:styleId="AIReceivedDate">
    <w:name w:val="AI_Received_Date"/>
    <w:basedOn w:val="Normal"/>
    <w:next w:val="BDAbstract"/>
    <w:rsid w:val="00065600"/>
    <w:pPr>
      <w:spacing w:after="240"/>
      <w:jc w:val="both"/>
    </w:pPr>
    <w:rPr>
      <w:rFonts w:ascii="Times" w:hAnsi="Times"/>
      <w:b/>
      <w:szCs w:val="20"/>
      <w:lang w:val="en-US" w:eastAsia="en-US"/>
    </w:rPr>
  </w:style>
  <w:style w:type="paragraph" w:customStyle="1" w:styleId="BDAbstract">
    <w:name w:val="BD_Abstract"/>
    <w:basedOn w:val="Normal"/>
    <w:next w:val="TAMainText"/>
    <w:rsid w:val="00065600"/>
    <w:pPr>
      <w:spacing w:before="360" w:after="360"/>
      <w:jc w:val="both"/>
    </w:pPr>
    <w:rPr>
      <w:rFonts w:ascii="Times" w:hAnsi="Times"/>
      <w:szCs w:val="20"/>
      <w:lang w:val="en-US" w:eastAsia="en-US"/>
    </w:rPr>
  </w:style>
  <w:style w:type="paragraph" w:customStyle="1" w:styleId="TDAcknowledgments">
    <w:name w:val="TD_Acknowledgments"/>
    <w:basedOn w:val="Normal"/>
    <w:next w:val="Normal"/>
    <w:rsid w:val="00065600"/>
    <w:pPr>
      <w:spacing w:before="200" w:after="200"/>
      <w:ind w:firstLine="202"/>
      <w:jc w:val="both"/>
    </w:pPr>
    <w:rPr>
      <w:rFonts w:ascii="Times" w:hAnsi="Times"/>
      <w:szCs w:val="20"/>
      <w:lang w:val="en-US" w:eastAsia="en-US"/>
    </w:rPr>
  </w:style>
  <w:style w:type="paragraph" w:customStyle="1" w:styleId="TESupportingInformation">
    <w:name w:val="TE_Supporting_Information"/>
    <w:basedOn w:val="Normal"/>
    <w:next w:val="Normal"/>
    <w:rsid w:val="00065600"/>
    <w:pPr>
      <w:spacing w:after="200"/>
      <w:ind w:firstLine="187"/>
      <w:jc w:val="both"/>
    </w:pPr>
    <w:rPr>
      <w:rFonts w:ascii="Times" w:hAnsi="Times"/>
      <w:szCs w:val="20"/>
      <w:lang w:val="en-US" w:eastAsia="en-US"/>
    </w:rPr>
  </w:style>
  <w:style w:type="paragraph" w:customStyle="1" w:styleId="VCSchemeTitle">
    <w:name w:val="VC_Scheme_Title"/>
    <w:basedOn w:val="Normal"/>
    <w:next w:val="Normal"/>
    <w:rsid w:val="00065600"/>
    <w:pPr>
      <w:spacing w:after="200"/>
      <w:jc w:val="both"/>
    </w:pPr>
    <w:rPr>
      <w:rFonts w:ascii="Times" w:hAnsi="Times"/>
      <w:szCs w:val="20"/>
      <w:lang w:val="en-US" w:eastAsia="en-US"/>
    </w:rPr>
  </w:style>
  <w:style w:type="paragraph" w:customStyle="1" w:styleId="VDTableTitle">
    <w:name w:val="VD_Table_Title"/>
    <w:basedOn w:val="Normal"/>
    <w:next w:val="Normal"/>
    <w:rsid w:val="00065600"/>
    <w:pPr>
      <w:spacing w:after="200"/>
      <w:jc w:val="both"/>
    </w:pPr>
    <w:rPr>
      <w:rFonts w:ascii="Times" w:hAnsi="Times"/>
      <w:szCs w:val="20"/>
      <w:lang w:val="en-US" w:eastAsia="en-US"/>
    </w:rPr>
  </w:style>
  <w:style w:type="paragraph" w:customStyle="1" w:styleId="VAFigureCaption">
    <w:name w:val="VA_Figure_Caption"/>
    <w:basedOn w:val="Normal"/>
    <w:next w:val="Normal"/>
    <w:rsid w:val="00065600"/>
    <w:pPr>
      <w:spacing w:after="200"/>
      <w:jc w:val="both"/>
    </w:pPr>
    <w:rPr>
      <w:rFonts w:ascii="Times" w:hAnsi="Times"/>
      <w:szCs w:val="20"/>
      <w:lang w:val="en-US" w:eastAsia="en-US"/>
    </w:rPr>
  </w:style>
  <w:style w:type="paragraph" w:customStyle="1" w:styleId="VBChartTitle">
    <w:name w:val="VB_Chart_Title"/>
    <w:basedOn w:val="Normal"/>
    <w:next w:val="Normal"/>
    <w:rsid w:val="00065600"/>
    <w:pPr>
      <w:spacing w:after="200"/>
      <w:jc w:val="both"/>
    </w:pPr>
    <w:rPr>
      <w:rFonts w:ascii="Times" w:hAnsi="Times"/>
      <w:szCs w:val="20"/>
      <w:lang w:val="en-US" w:eastAsia="en-US"/>
    </w:rPr>
  </w:style>
  <w:style w:type="paragraph" w:customStyle="1" w:styleId="FETableFootnote">
    <w:name w:val="FE_Table_Footnote"/>
    <w:basedOn w:val="Normal"/>
    <w:next w:val="Normal"/>
    <w:rsid w:val="00065600"/>
    <w:pPr>
      <w:spacing w:after="200" w:line="240" w:lineRule="auto"/>
      <w:ind w:firstLine="187"/>
      <w:jc w:val="both"/>
    </w:pPr>
    <w:rPr>
      <w:rFonts w:ascii="Times" w:hAnsi="Times"/>
      <w:szCs w:val="20"/>
      <w:lang w:val="en-US" w:eastAsia="en-US"/>
    </w:rPr>
  </w:style>
  <w:style w:type="paragraph" w:customStyle="1" w:styleId="FCChartFootnote">
    <w:name w:val="FC_Chart_Footnote"/>
    <w:basedOn w:val="Normal"/>
    <w:next w:val="Normal"/>
    <w:rsid w:val="00065600"/>
    <w:pPr>
      <w:spacing w:after="200" w:line="240" w:lineRule="auto"/>
      <w:ind w:firstLine="187"/>
      <w:jc w:val="both"/>
    </w:pPr>
    <w:rPr>
      <w:rFonts w:ascii="Times" w:hAnsi="Times"/>
      <w:szCs w:val="20"/>
      <w:lang w:val="en-US" w:eastAsia="en-US"/>
    </w:rPr>
  </w:style>
  <w:style w:type="paragraph" w:customStyle="1" w:styleId="FDSchemeFootnote">
    <w:name w:val="FD_Scheme_Footnote"/>
    <w:basedOn w:val="Normal"/>
    <w:next w:val="Normal"/>
    <w:rsid w:val="00065600"/>
    <w:pPr>
      <w:spacing w:after="200" w:line="240" w:lineRule="auto"/>
      <w:ind w:firstLine="187"/>
      <w:jc w:val="both"/>
    </w:pPr>
    <w:rPr>
      <w:rFonts w:ascii="Times" w:hAnsi="Times"/>
      <w:szCs w:val="20"/>
      <w:lang w:val="en-US" w:eastAsia="en-US"/>
    </w:rPr>
  </w:style>
  <w:style w:type="paragraph" w:customStyle="1" w:styleId="TCTableBody">
    <w:name w:val="TC_Table_Body"/>
    <w:basedOn w:val="Normal"/>
    <w:rsid w:val="00065600"/>
    <w:pPr>
      <w:spacing w:after="200" w:line="240" w:lineRule="auto"/>
      <w:jc w:val="both"/>
    </w:pPr>
    <w:rPr>
      <w:rFonts w:ascii="Times" w:hAnsi="Times"/>
      <w:szCs w:val="20"/>
      <w:lang w:val="en-US" w:eastAsia="en-US"/>
    </w:rPr>
  </w:style>
  <w:style w:type="paragraph" w:customStyle="1" w:styleId="AFTitleRunningHead">
    <w:name w:val="AF_Title_Running_Head"/>
    <w:basedOn w:val="Normal"/>
    <w:next w:val="TAMainText"/>
    <w:rsid w:val="00065600"/>
    <w:pPr>
      <w:spacing w:after="200"/>
      <w:jc w:val="both"/>
    </w:pPr>
    <w:rPr>
      <w:rFonts w:ascii="Times" w:hAnsi="Times"/>
      <w:szCs w:val="20"/>
      <w:lang w:val="en-US" w:eastAsia="en-US"/>
    </w:rPr>
  </w:style>
  <w:style w:type="paragraph" w:customStyle="1" w:styleId="BEAuthorBiography">
    <w:name w:val="BE_Author_Biography"/>
    <w:basedOn w:val="Normal"/>
    <w:rsid w:val="00065600"/>
    <w:pPr>
      <w:spacing w:after="200"/>
      <w:jc w:val="both"/>
    </w:pPr>
    <w:rPr>
      <w:rFonts w:ascii="Times" w:hAnsi="Times"/>
      <w:szCs w:val="20"/>
      <w:lang w:val="en-US" w:eastAsia="en-US"/>
    </w:rPr>
  </w:style>
  <w:style w:type="paragraph" w:customStyle="1" w:styleId="FACorrespondingAuthorFootnote">
    <w:name w:val="FA_Corresponding_Author_Footnote"/>
    <w:basedOn w:val="Normal"/>
    <w:next w:val="TAMainText"/>
    <w:rsid w:val="00065600"/>
    <w:pPr>
      <w:spacing w:after="200"/>
      <w:jc w:val="both"/>
    </w:pPr>
    <w:rPr>
      <w:rFonts w:ascii="Times" w:hAnsi="Times"/>
      <w:szCs w:val="20"/>
      <w:lang w:val="en-US" w:eastAsia="en-US"/>
    </w:rPr>
  </w:style>
  <w:style w:type="paragraph" w:customStyle="1" w:styleId="SNSynopsisTOC">
    <w:name w:val="SN_Synopsis_TOC"/>
    <w:basedOn w:val="Normal"/>
    <w:rsid w:val="00065600"/>
    <w:pPr>
      <w:spacing w:after="200"/>
      <w:jc w:val="both"/>
    </w:pPr>
    <w:rPr>
      <w:rFonts w:ascii="Times" w:hAnsi="Times"/>
      <w:szCs w:val="20"/>
      <w:lang w:val="en-US" w:eastAsia="en-US"/>
    </w:rPr>
  </w:style>
  <w:style w:type="paragraph" w:customStyle="1" w:styleId="BGKeywords">
    <w:name w:val="BG_Keywords"/>
    <w:basedOn w:val="Normal"/>
    <w:rsid w:val="00065600"/>
    <w:pPr>
      <w:spacing w:after="200"/>
      <w:jc w:val="both"/>
    </w:pPr>
    <w:rPr>
      <w:rFonts w:ascii="Times" w:hAnsi="Times"/>
      <w:szCs w:val="20"/>
      <w:lang w:val="en-US" w:eastAsia="en-US"/>
    </w:rPr>
  </w:style>
  <w:style w:type="paragraph" w:customStyle="1" w:styleId="BHBriefs">
    <w:name w:val="BH_Briefs"/>
    <w:basedOn w:val="Normal"/>
    <w:rsid w:val="00065600"/>
    <w:pPr>
      <w:spacing w:after="200"/>
      <w:jc w:val="both"/>
    </w:pPr>
    <w:rPr>
      <w:rFonts w:ascii="Times" w:hAnsi="Times"/>
      <w:szCs w:val="20"/>
      <w:lang w:val="en-US" w:eastAsia="en-US"/>
    </w:rPr>
  </w:style>
  <w:style w:type="paragraph" w:styleId="BodyTextIndent">
    <w:name w:val="Body Text Indent"/>
    <w:basedOn w:val="Normal"/>
    <w:link w:val="BodyTextIndentChar"/>
    <w:rsid w:val="00065600"/>
    <w:pPr>
      <w:spacing w:after="200"/>
      <w:ind w:firstLine="180"/>
      <w:jc w:val="both"/>
    </w:pPr>
    <w:rPr>
      <w:rFonts w:ascii="Times" w:hAnsi="Times" w:cs="Latha"/>
      <w:szCs w:val="20"/>
      <w:lang w:val="en-US" w:eastAsia="en-US" w:bidi="ta-IN"/>
    </w:rPr>
  </w:style>
  <w:style w:type="character" w:customStyle="1" w:styleId="BodyTextIndentChar">
    <w:name w:val="Body Text Indent Char"/>
    <w:basedOn w:val="DefaultParagraphFont"/>
    <w:link w:val="BodyTextIndent"/>
    <w:rsid w:val="00065600"/>
    <w:rPr>
      <w:rFonts w:ascii="Times" w:hAnsi="Times" w:cs="Latha"/>
      <w:sz w:val="24"/>
      <w:lang w:val="en-US" w:eastAsia="en-US" w:bidi="ta-IN"/>
    </w:rPr>
  </w:style>
  <w:style w:type="paragraph" w:styleId="DocumentMap">
    <w:name w:val="Document Map"/>
    <w:basedOn w:val="Normal"/>
    <w:link w:val="DocumentMapChar"/>
    <w:rsid w:val="00065600"/>
    <w:pPr>
      <w:shd w:val="clear" w:color="auto" w:fill="000080"/>
      <w:spacing w:after="200" w:line="240" w:lineRule="auto"/>
      <w:jc w:val="both"/>
    </w:pPr>
    <w:rPr>
      <w:rFonts w:ascii="Tahoma" w:hAnsi="Tahoma" w:cs="Latha"/>
      <w:sz w:val="20"/>
      <w:szCs w:val="20"/>
      <w:lang w:val="en-US" w:eastAsia="en-US" w:bidi="ta-IN"/>
    </w:rPr>
  </w:style>
  <w:style w:type="character" w:customStyle="1" w:styleId="DocumentMapChar">
    <w:name w:val="Document Map Char"/>
    <w:basedOn w:val="DefaultParagraphFont"/>
    <w:link w:val="DocumentMap"/>
    <w:rsid w:val="00065600"/>
    <w:rPr>
      <w:rFonts w:ascii="Tahoma" w:hAnsi="Tahoma" w:cs="Latha"/>
      <w:shd w:val="clear" w:color="auto" w:fill="000080"/>
      <w:lang w:val="en-US" w:eastAsia="en-US" w:bidi="ta-IN"/>
    </w:rPr>
  </w:style>
  <w:style w:type="character" w:customStyle="1" w:styleId="BDAbstractChar">
    <w:name w:val="BD_Abstract Char"/>
    <w:rsid w:val="00065600"/>
    <w:rPr>
      <w:rFonts w:ascii="Times" w:hAnsi="Times"/>
      <w:sz w:val="24"/>
      <w:lang w:val="en-US" w:eastAsia="en-US" w:bidi="ar-SA"/>
    </w:rPr>
  </w:style>
  <w:style w:type="character" w:customStyle="1" w:styleId="TAMainTextChar">
    <w:name w:val="TA_Main_Text Char"/>
    <w:rsid w:val="00065600"/>
    <w:rPr>
      <w:rFonts w:ascii="Times" w:hAnsi="Times"/>
      <w:sz w:val="24"/>
      <w:lang w:val="en-US" w:eastAsia="en-US" w:bidi="ar-SA"/>
    </w:rPr>
  </w:style>
  <w:style w:type="paragraph" w:customStyle="1" w:styleId="04AHeading">
    <w:name w:val="04 A Heading"/>
    <w:next w:val="Normal"/>
    <w:rsid w:val="00065600"/>
    <w:pPr>
      <w:spacing w:before="240" w:after="120" w:line="240" w:lineRule="exact"/>
    </w:pPr>
    <w:rPr>
      <w:b/>
      <w:noProof/>
      <w:sz w:val="22"/>
    </w:rPr>
  </w:style>
  <w:style w:type="character" w:customStyle="1" w:styleId="TDAcknowledgmentsChar">
    <w:name w:val="TD_Acknowledgments Char"/>
    <w:rsid w:val="00065600"/>
    <w:rPr>
      <w:rFonts w:ascii="Times" w:hAnsi="Times"/>
      <w:sz w:val="24"/>
      <w:lang w:val="en-US" w:eastAsia="en-US" w:bidi="ar-SA"/>
    </w:rPr>
  </w:style>
  <w:style w:type="paragraph" w:customStyle="1" w:styleId="02PaperAuthors">
    <w:name w:val="02 Paper Authors"/>
    <w:rsid w:val="00065600"/>
    <w:pPr>
      <w:spacing w:line="240" w:lineRule="exact"/>
    </w:pPr>
    <w:rPr>
      <w:b/>
      <w:noProof/>
      <w:sz w:val="22"/>
      <w:szCs w:val="22"/>
    </w:rPr>
  </w:style>
  <w:style w:type="table" w:customStyle="1" w:styleId="TableGrid2">
    <w:name w:val="Table Grid2"/>
    <w:basedOn w:val="TableNormal"/>
    <w:next w:val="TableGrid"/>
    <w:uiPriority w:val="59"/>
    <w:rsid w:val="00065600"/>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600"/>
    <w:rPr>
      <w:rFonts w:ascii="Calibri" w:eastAsia="Calibri" w:hAnsi="Calibri"/>
      <w:sz w:val="22"/>
      <w:szCs w:val="22"/>
      <w:lang w:val="en-US" w:eastAsia="en-US"/>
    </w:rPr>
  </w:style>
  <w:style w:type="table" w:customStyle="1" w:styleId="TableGrid11">
    <w:name w:val="Table Grid11"/>
    <w:basedOn w:val="TableNormal"/>
    <w:next w:val="TableGrid"/>
    <w:uiPriority w:val="59"/>
    <w:rsid w:val="00065600"/>
    <w:rPr>
      <w:rFonts w:ascii="Calibri" w:eastAsia="Calibri" w:hAnsi="Calibri" w:cs="Latha"/>
      <w:sz w:val="22"/>
      <w:szCs w:val="22"/>
      <w:lang w:val="en-I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5600"/>
    <w:pPr>
      <w:autoSpaceDE w:val="0"/>
      <w:autoSpaceDN w:val="0"/>
      <w:adjustRightInd w:val="0"/>
    </w:pPr>
    <w:rPr>
      <w:rFonts w:ascii="Arial" w:eastAsia="Calibri" w:hAnsi="Arial" w:cs="Arial"/>
      <w:color w:val="000000"/>
      <w:sz w:val="24"/>
      <w:szCs w:val="24"/>
      <w:lang w:val="en-IN" w:eastAsia="en-US" w:bidi="ta-IN"/>
    </w:rPr>
  </w:style>
  <w:style w:type="paragraph" w:styleId="ListParagraph">
    <w:name w:val="List Paragraph"/>
    <w:basedOn w:val="Normal"/>
    <w:uiPriority w:val="34"/>
    <w:qFormat/>
    <w:rsid w:val="00065600"/>
    <w:pPr>
      <w:spacing w:after="200" w:line="276" w:lineRule="auto"/>
      <w:ind w:left="720"/>
      <w:contextualSpacing/>
    </w:pPr>
    <w:rPr>
      <w:rFonts w:ascii="Calibri" w:eastAsia="Calibri" w:hAnsi="Calibri" w:cs="Latha"/>
      <w:sz w:val="22"/>
      <w:szCs w:val="22"/>
      <w:lang w:val="en-US" w:eastAsia="en-US"/>
    </w:rPr>
  </w:style>
  <w:style w:type="character" w:customStyle="1" w:styleId="hl">
    <w:name w:val="hl"/>
    <w:basedOn w:val="DefaultParagraphFont"/>
    <w:rsid w:val="00065600"/>
  </w:style>
  <w:style w:type="table" w:customStyle="1" w:styleId="TableGrid21">
    <w:name w:val="Table Grid21"/>
    <w:basedOn w:val="TableNormal"/>
    <w:next w:val="TableGrid"/>
    <w:uiPriority w:val="59"/>
    <w:rsid w:val="00065600"/>
    <w:pPr>
      <w:jc w:val="both"/>
    </w:pPr>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065600"/>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065600"/>
  </w:style>
  <w:style w:type="character" w:styleId="SubtleEmphasis">
    <w:name w:val="Subtle Emphasis"/>
    <w:basedOn w:val="DefaultParagraphFont"/>
    <w:uiPriority w:val="19"/>
    <w:qFormat/>
    <w:rsid w:val="00065600"/>
    <w:rPr>
      <w:i/>
      <w:iCs/>
      <w:color w:val="808080"/>
    </w:rPr>
  </w:style>
  <w:style w:type="table" w:customStyle="1" w:styleId="TableGrid3">
    <w:name w:val="Table Grid3"/>
    <w:basedOn w:val="TableNormal"/>
    <w:next w:val="TableGrid"/>
    <w:uiPriority w:val="59"/>
    <w:rsid w:val="00065600"/>
    <w:pPr>
      <w:jc w:val="both"/>
    </w:pPr>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65600"/>
    <w:pPr>
      <w:spacing w:before="100" w:beforeAutospacing="1" w:after="100" w:afterAutospacing="1" w:line="240" w:lineRule="auto"/>
    </w:pPr>
    <w:rPr>
      <w:lang w:val="en-IN" w:eastAsia="en-IN" w:bidi="ta-IN"/>
    </w:rPr>
  </w:style>
  <w:style w:type="table" w:customStyle="1" w:styleId="TableGrid22">
    <w:name w:val="Table Grid22"/>
    <w:basedOn w:val="TableNormal"/>
    <w:next w:val="TableGrid"/>
    <w:uiPriority w:val="59"/>
    <w:rsid w:val="00065600"/>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imple11">
    <w:name w:val="Table Simple 11"/>
    <w:basedOn w:val="TableNormal"/>
    <w:next w:val="TableSimple1"/>
    <w:rsid w:val="00065600"/>
    <w:pPr>
      <w:jc w:val="center"/>
    </w:pPr>
    <w:rPr>
      <w:lang w:val="en-US" w:eastAsia="en-US" w:bidi="ta-IN"/>
    </w:rPr>
    <w:tblPr>
      <w:tblBorders>
        <w:top w:val="single" w:sz="4" w:space="0" w:color="auto"/>
        <w:bottom w:val="single" w:sz="4" w:space="0" w:color="auto"/>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nhideWhenUsed/>
    <w:rsid w:val="00065600"/>
    <w:pPr>
      <w:jc w:val="both"/>
    </w:pPr>
    <w:rPr>
      <w:rFonts w:ascii="Calibri" w:eastAsia="Calibri" w:hAnsi="Calibri" w:cs="Latha"/>
      <w:sz w:val="22"/>
      <w:szCs w:val="22"/>
      <w:lang w:val="en-IN" w:eastAsia="en-US" w:bidi="ta-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111">
    <w:name w:val="No List111"/>
    <w:next w:val="NoList"/>
    <w:uiPriority w:val="99"/>
    <w:semiHidden/>
    <w:unhideWhenUsed/>
    <w:rsid w:val="00065600"/>
  </w:style>
  <w:style w:type="character" w:customStyle="1" w:styleId="FollowedHyperlink1">
    <w:name w:val="FollowedHyperlink1"/>
    <w:basedOn w:val="DefaultParagraphFont"/>
    <w:uiPriority w:val="99"/>
    <w:semiHidden/>
    <w:unhideWhenUsed/>
    <w:rsid w:val="00065600"/>
    <w:rPr>
      <w:color w:val="800080"/>
      <w:u w:val="single"/>
    </w:rPr>
  </w:style>
  <w:style w:type="paragraph" w:customStyle="1" w:styleId="Caption1">
    <w:name w:val="Caption1"/>
    <w:basedOn w:val="Normal"/>
    <w:next w:val="Normal"/>
    <w:uiPriority w:val="35"/>
    <w:semiHidden/>
    <w:unhideWhenUsed/>
    <w:qFormat/>
    <w:rsid w:val="00065600"/>
    <w:pPr>
      <w:spacing w:after="200" w:line="240" w:lineRule="auto"/>
      <w:jc w:val="both"/>
    </w:pPr>
    <w:rPr>
      <w:rFonts w:ascii="Calibri" w:eastAsia="Calibri" w:hAnsi="Calibri" w:cs="Latha"/>
      <w:b/>
      <w:bCs/>
      <w:color w:val="4F81BD"/>
      <w:sz w:val="18"/>
      <w:szCs w:val="18"/>
      <w:lang w:val="en-IN" w:eastAsia="en-US" w:bidi="ta-IN"/>
    </w:rPr>
  </w:style>
  <w:style w:type="character" w:styleId="PlaceholderText">
    <w:name w:val="Placeholder Text"/>
    <w:basedOn w:val="DefaultParagraphFont"/>
    <w:uiPriority w:val="99"/>
    <w:rsid w:val="00065600"/>
    <w:rPr>
      <w:color w:val="808080"/>
    </w:rPr>
  </w:style>
  <w:style w:type="numbering" w:customStyle="1" w:styleId="NoList2">
    <w:name w:val="No List2"/>
    <w:next w:val="NoList"/>
    <w:uiPriority w:val="99"/>
    <w:semiHidden/>
    <w:unhideWhenUsed/>
    <w:rsid w:val="00065600"/>
  </w:style>
  <w:style w:type="paragraph" w:customStyle="1" w:styleId="Caption2">
    <w:name w:val="Caption2"/>
    <w:basedOn w:val="Normal"/>
    <w:next w:val="Normal"/>
    <w:uiPriority w:val="35"/>
    <w:unhideWhenUsed/>
    <w:qFormat/>
    <w:rsid w:val="00065600"/>
    <w:pPr>
      <w:spacing w:after="200" w:line="240" w:lineRule="auto"/>
      <w:jc w:val="both"/>
    </w:pPr>
    <w:rPr>
      <w:rFonts w:ascii="Calibri" w:eastAsia="Calibri" w:hAnsi="Calibri" w:cs="Latha"/>
      <w:b/>
      <w:bCs/>
      <w:color w:val="4F81BD"/>
      <w:sz w:val="18"/>
      <w:szCs w:val="18"/>
      <w:lang w:val="en-IN" w:eastAsia="en-US" w:bidi="ta-IN"/>
    </w:rPr>
  </w:style>
  <w:style w:type="table" w:customStyle="1" w:styleId="Calendar1">
    <w:name w:val="Calendar 1"/>
    <w:basedOn w:val="TableNormal"/>
    <w:uiPriority w:val="99"/>
    <w:qFormat/>
    <w:rsid w:val="00065600"/>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23">
    <w:name w:val="Table Grid23"/>
    <w:basedOn w:val="TableNormal"/>
    <w:uiPriority w:val="59"/>
    <w:rsid w:val="00065600"/>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uiPriority w:val="59"/>
    <w:rsid w:val="00065600"/>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065600"/>
  </w:style>
  <w:style w:type="numbering" w:customStyle="1" w:styleId="NoList12">
    <w:name w:val="No List12"/>
    <w:next w:val="NoList"/>
    <w:uiPriority w:val="99"/>
    <w:semiHidden/>
    <w:unhideWhenUsed/>
    <w:rsid w:val="00065600"/>
  </w:style>
  <w:style w:type="table" w:customStyle="1" w:styleId="TableSimple12">
    <w:name w:val="Table Simple 12"/>
    <w:basedOn w:val="TableNormal"/>
    <w:next w:val="TableSimple1"/>
    <w:semiHidden/>
    <w:unhideWhenUsed/>
    <w:rsid w:val="00065600"/>
    <w:pPr>
      <w:jc w:val="center"/>
    </w:pPr>
    <w:rPr>
      <w:lang w:val="en-IN" w:eastAsia="en-US" w:bidi="ta-IN"/>
    </w:rPr>
    <w:tblPr>
      <w:tblBorders>
        <w:top w:val="single" w:sz="4" w:space="0" w:color="auto"/>
        <w:bottom w:val="single" w:sz="4" w:space="0" w:color="auto"/>
      </w:tblBorders>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llowedHyperlink2">
    <w:name w:val="FollowedHyperlink2"/>
    <w:basedOn w:val="DefaultParagraphFont"/>
    <w:uiPriority w:val="99"/>
    <w:semiHidden/>
    <w:unhideWhenUsed/>
    <w:rsid w:val="00065600"/>
    <w:rPr>
      <w:color w:val="800080"/>
      <w:u w:val="single"/>
    </w:rPr>
  </w:style>
  <w:style w:type="table" w:customStyle="1" w:styleId="TableGrid4">
    <w:name w:val="Table Grid4"/>
    <w:basedOn w:val="TableNormal"/>
    <w:next w:val="TableGrid"/>
    <w:uiPriority w:val="59"/>
    <w:rsid w:val="00065600"/>
    <w:rPr>
      <w:rFonts w:ascii="Calibri" w:eastAsia="Calibri" w:hAnsi="Calibri" w:cs="Lath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65600"/>
  </w:style>
  <w:style w:type="table" w:customStyle="1" w:styleId="TableGrid25">
    <w:name w:val="Table Grid25"/>
    <w:basedOn w:val="TableNormal"/>
    <w:next w:val="TableGrid"/>
    <w:uiPriority w:val="59"/>
    <w:rsid w:val="00065600"/>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65600"/>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65600"/>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11">
    <w:name w:val="Calendar 11"/>
    <w:basedOn w:val="TableNormal"/>
    <w:uiPriority w:val="99"/>
    <w:qFormat/>
    <w:rsid w:val="00065600"/>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Emphasis">
    <w:name w:val="Emphasis"/>
    <w:basedOn w:val="DefaultParagraphFont"/>
    <w:uiPriority w:val="20"/>
    <w:qFormat/>
    <w:rsid w:val="00065600"/>
    <w:rPr>
      <w:i/>
      <w:iCs/>
    </w:rPr>
  </w:style>
  <w:style w:type="numbering" w:customStyle="1" w:styleId="NoList4">
    <w:name w:val="No List4"/>
    <w:next w:val="NoList"/>
    <w:uiPriority w:val="99"/>
    <w:semiHidden/>
    <w:unhideWhenUsed/>
    <w:rsid w:val="00065600"/>
  </w:style>
  <w:style w:type="table" w:customStyle="1" w:styleId="TableGrid6">
    <w:name w:val="Table Grid6"/>
    <w:basedOn w:val="TableNormal"/>
    <w:next w:val="TableGrid"/>
    <w:uiPriority w:val="59"/>
    <w:rsid w:val="00065600"/>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065600"/>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065600"/>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65600"/>
  </w:style>
  <w:style w:type="table" w:customStyle="1" w:styleId="TableGrid31">
    <w:name w:val="Table Grid31"/>
    <w:basedOn w:val="TableNormal"/>
    <w:next w:val="TableGrid"/>
    <w:uiPriority w:val="59"/>
    <w:rsid w:val="00065600"/>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065600"/>
    <w:rPr>
      <w:rFonts w:ascii="Calibri" w:eastAsia="Calibri" w:hAnsi="Calibri" w:cs="Latha"/>
      <w:sz w:val="22"/>
      <w:szCs w:val="22"/>
      <w:lang w:val="en-I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uiPriority w:val="59"/>
    <w:rsid w:val="00065600"/>
    <w:pPr>
      <w:jc w:val="both"/>
    </w:pPr>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1">
    <w:name w:val="Table Grid21111"/>
    <w:basedOn w:val="TableNormal"/>
    <w:next w:val="TableGrid"/>
    <w:uiPriority w:val="59"/>
    <w:rsid w:val="00065600"/>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065600"/>
  </w:style>
  <w:style w:type="table" w:customStyle="1" w:styleId="TableGrid311">
    <w:name w:val="Table Grid311"/>
    <w:basedOn w:val="TableNormal"/>
    <w:next w:val="TableGrid"/>
    <w:uiPriority w:val="59"/>
    <w:rsid w:val="00065600"/>
    <w:pPr>
      <w:jc w:val="both"/>
    </w:pPr>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065600"/>
  </w:style>
  <w:style w:type="numbering" w:customStyle="1" w:styleId="NoList22">
    <w:name w:val="No List22"/>
    <w:next w:val="NoList"/>
    <w:uiPriority w:val="99"/>
    <w:semiHidden/>
    <w:unhideWhenUsed/>
    <w:rsid w:val="00065600"/>
  </w:style>
  <w:style w:type="table" w:customStyle="1" w:styleId="Calendar12">
    <w:name w:val="Calendar 12"/>
    <w:basedOn w:val="TableNormal"/>
    <w:uiPriority w:val="99"/>
    <w:qFormat/>
    <w:rsid w:val="00065600"/>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31">
    <w:name w:val="No List31"/>
    <w:next w:val="NoList"/>
    <w:uiPriority w:val="99"/>
    <w:semiHidden/>
    <w:unhideWhenUsed/>
    <w:rsid w:val="00065600"/>
  </w:style>
  <w:style w:type="numbering" w:customStyle="1" w:styleId="NoList121">
    <w:name w:val="No List121"/>
    <w:next w:val="NoList"/>
    <w:uiPriority w:val="99"/>
    <w:semiHidden/>
    <w:unhideWhenUsed/>
    <w:rsid w:val="00065600"/>
  </w:style>
  <w:style w:type="numbering" w:customStyle="1" w:styleId="NoList211">
    <w:name w:val="No List211"/>
    <w:next w:val="NoList"/>
    <w:uiPriority w:val="99"/>
    <w:semiHidden/>
    <w:unhideWhenUsed/>
    <w:rsid w:val="00065600"/>
  </w:style>
  <w:style w:type="table" w:customStyle="1" w:styleId="TableGrid7">
    <w:name w:val="Table Grid7"/>
    <w:basedOn w:val="TableNormal"/>
    <w:next w:val="TableGrid"/>
    <w:uiPriority w:val="59"/>
    <w:rsid w:val="00712EBA"/>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2434"/>
  </w:style>
  <w:style w:type="table" w:customStyle="1" w:styleId="TableGrid8">
    <w:name w:val="Table Grid8"/>
    <w:basedOn w:val="TableNormal"/>
    <w:next w:val="TableGrid"/>
    <w:uiPriority w:val="59"/>
    <w:rsid w:val="004B2434"/>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B2434"/>
    <w:rPr>
      <w:rFonts w:ascii="Calibri" w:eastAsia="Calibri" w:hAnsi="Calibri" w:cs="Latha"/>
      <w:sz w:val="22"/>
      <w:szCs w:val="22"/>
      <w:lang w:val="en-I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B2434"/>
    <w:pPr>
      <w:jc w:val="both"/>
    </w:pPr>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4B243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4B2434"/>
  </w:style>
  <w:style w:type="numbering" w:customStyle="1" w:styleId="NoList112">
    <w:name w:val="No List112"/>
    <w:next w:val="NoList"/>
    <w:uiPriority w:val="99"/>
    <w:semiHidden/>
    <w:unhideWhenUsed/>
    <w:rsid w:val="004B2434"/>
  </w:style>
  <w:style w:type="numbering" w:customStyle="1" w:styleId="NoList23">
    <w:name w:val="No List23"/>
    <w:next w:val="NoList"/>
    <w:uiPriority w:val="99"/>
    <w:semiHidden/>
    <w:unhideWhenUsed/>
    <w:rsid w:val="004B2434"/>
  </w:style>
  <w:style w:type="table" w:customStyle="1" w:styleId="Calendar13">
    <w:name w:val="Calendar 13"/>
    <w:basedOn w:val="TableNormal"/>
    <w:uiPriority w:val="99"/>
    <w:qFormat/>
    <w:rsid w:val="004B2434"/>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231">
    <w:name w:val="Table Grid231"/>
    <w:basedOn w:val="TableNormal"/>
    <w:uiPriority w:val="59"/>
    <w:rsid w:val="004B243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
    <w:name w:val="Table Grid241"/>
    <w:basedOn w:val="TableNormal"/>
    <w:uiPriority w:val="59"/>
    <w:rsid w:val="004B243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4B2434"/>
  </w:style>
  <w:style w:type="numbering" w:customStyle="1" w:styleId="NoList122">
    <w:name w:val="No List122"/>
    <w:next w:val="NoList"/>
    <w:uiPriority w:val="99"/>
    <w:semiHidden/>
    <w:unhideWhenUsed/>
    <w:rsid w:val="004B2434"/>
  </w:style>
  <w:style w:type="table" w:customStyle="1" w:styleId="TableGrid41">
    <w:name w:val="Table Grid41"/>
    <w:basedOn w:val="TableNormal"/>
    <w:next w:val="TableGrid"/>
    <w:uiPriority w:val="59"/>
    <w:rsid w:val="004B2434"/>
    <w:rPr>
      <w:rFonts w:ascii="Calibri" w:eastAsia="Calibri" w:hAnsi="Calibri" w:cs="Lath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B2434"/>
  </w:style>
  <w:style w:type="table" w:customStyle="1" w:styleId="TableGrid251">
    <w:name w:val="Table Grid251"/>
    <w:basedOn w:val="TableNormal"/>
    <w:next w:val="TableGrid"/>
    <w:uiPriority w:val="59"/>
    <w:rsid w:val="004B243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4B2434"/>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4B243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111">
    <w:name w:val="Calendar 111"/>
    <w:basedOn w:val="TableNormal"/>
    <w:uiPriority w:val="99"/>
    <w:qFormat/>
    <w:rsid w:val="004B2434"/>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41">
    <w:name w:val="No List41"/>
    <w:next w:val="NoList"/>
    <w:uiPriority w:val="99"/>
    <w:semiHidden/>
    <w:unhideWhenUsed/>
    <w:rsid w:val="004B2434"/>
  </w:style>
  <w:style w:type="table" w:customStyle="1" w:styleId="TableGrid61">
    <w:name w:val="Table Grid61"/>
    <w:basedOn w:val="TableNormal"/>
    <w:next w:val="TableGrid"/>
    <w:uiPriority w:val="59"/>
    <w:rsid w:val="004B243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B2434"/>
  </w:style>
  <w:style w:type="table" w:customStyle="1" w:styleId="TableGrid1112">
    <w:name w:val="Table Grid1112"/>
    <w:basedOn w:val="TableNormal"/>
    <w:next w:val="TableGrid"/>
    <w:uiPriority w:val="59"/>
    <w:rsid w:val="004B2434"/>
    <w:rPr>
      <w:rFonts w:ascii="Calibri" w:eastAsia="Calibri" w:hAnsi="Calibri" w:cs="Latha"/>
      <w:sz w:val="22"/>
      <w:szCs w:val="22"/>
      <w:lang w:val="en-I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59"/>
    <w:rsid w:val="004B2434"/>
    <w:pPr>
      <w:jc w:val="both"/>
    </w:pPr>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2">
    <w:name w:val="Table Grid21112"/>
    <w:basedOn w:val="TableNormal"/>
    <w:next w:val="TableGrid"/>
    <w:uiPriority w:val="59"/>
    <w:rsid w:val="004B243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4B2434"/>
  </w:style>
  <w:style w:type="numbering" w:customStyle="1" w:styleId="NoList11112">
    <w:name w:val="No List11112"/>
    <w:next w:val="NoList"/>
    <w:uiPriority w:val="99"/>
    <w:semiHidden/>
    <w:unhideWhenUsed/>
    <w:rsid w:val="004B2434"/>
  </w:style>
  <w:style w:type="numbering" w:customStyle="1" w:styleId="NoList221">
    <w:name w:val="No List221"/>
    <w:next w:val="NoList"/>
    <w:uiPriority w:val="99"/>
    <w:semiHidden/>
    <w:unhideWhenUsed/>
    <w:rsid w:val="004B2434"/>
  </w:style>
  <w:style w:type="table" w:customStyle="1" w:styleId="Calendar121">
    <w:name w:val="Calendar 121"/>
    <w:basedOn w:val="TableNormal"/>
    <w:uiPriority w:val="99"/>
    <w:qFormat/>
    <w:rsid w:val="004B2434"/>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311">
    <w:name w:val="No List311"/>
    <w:next w:val="NoList"/>
    <w:uiPriority w:val="99"/>
    <w:semiHidden/>
    <w:unhideWhenUsed/>
    <w:rsid w:val="004B2434"/>
  </w:style>
  <w:style w:type="numbering" w:customStyle="1" w:styleId="NoList1211">
    <w:name w:val="No List1211"/>
    <w:next w:val="NoList"/>
    <w:uiPriority w:val="99"/>
    <w:semiHidden/>
    <w:unhideWhenUsed/>
    <w:rsid w:val="004B2434"/>
  </w:style>
  <w:style w:type="numbering" w:customStyle="1" w:styleId="NoList2111">
    <w:name w:val="No List2111"/>
    <w:next w:val="NoList"/>
    <w:uiPriority w:val="99"/>
    <w:semiHidden/>
    <w:unhideWhenUsed/>
    <w:rsid w:val="004B2434"/>
  </w:style>
  <w:style w:type="numbering" w:customStyle="1" w:styleId="NoList6">
    <w:name w:val="No List6"/>
    <w:next w:val="NoList"/>
    <w:uiPriority w:val="99"/>
    <w:semiHidden/>
    <w:unhideWhenUsed/>
    <w:rsid w:val="009945CF"/>
  </w:style>
  <w:style w:type="table" w:customStyle="1" w:styleId="TableGrid9">
    <w:name w:val="Table Grid9"/>
    <w:basedOn w:val="TableNormal"/>
    <w:next w:val="TableGrid"/>
    <w:uiPriority w:val="59"/>
    <w:rsid w:val="009945CF"/>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945CF"/>
    <w:rPr>
      <w:rFonts w:ascii="Calibri" w:eastAsia="Calibri" w:hAnsi="Calibri" w:cs="Latha"/>
      <w:sz w:val="22"/>
      <w:szCs w:val="22"/>
      <w:lang w:val="en-I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9945CF"/>
    <w:pPr>
      <w:jc w:val="both"/>
    </w:pPr>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9945CF"/>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9945CF"/>
  </w:style>
  <w:style w:type="numbering" w:customStyle="1" w:styleId="NoList113">
    <w:name w:val="No List113"/>
    <w:next w:val="NoList"/>
    <w:uiPriority w:val="99"/>
    <w:semiHidden/>
    <w:unhideWhenUsed/>
    <w:rsid w:val="009945CF"/>
  </w:style>
  <w:style w:type="numbering" w:customStyle="1" w:styleId="NoList24">
    <w:name w:val="No List24"/>
    <w:next w:val="NoList"/>
    <w:uiPriority w:val="99"/>
    <w:semiHidden/>
    <w:unhideWhenUsed/>
    <w:rsid w:val="009945CF"/>
  </w:style>
  <w:style w:type="table" w:customStyle="1" w:styleId="Calendar14">
    <w:name w:val="Calendar 14"/>
    <w:basedOn w:val="TableNormal"/>
    <w:uiPriority w:val="99"/>
    <w:qFormat/>
    <w:rsid w:val="009945CF"/>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232">
    <w:name w:val="Table Grid232"/>
    <w:basedOn w:val="TableNormal"/>
    <w:uiPriority w:val="59"/>
    <w:rsid w:val="009945CF"/>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2">
    <w:name w:val="Table Grid242"/>
    <w:basedOn w:val="TableNormal"/>
    <w:uiPriority w:val="59"/>
    <w:rsid w:val="009945CF"/>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9945CF"/>
  </w:style>
  <w:style w:type="numbering" w:customStyle="1" w:styleId="NoList123">
    <w:name w:val="No List123"/>
    <w:next w:val="NoList"/>
    <w:uiPriority w:val="99"/>
    <w:semiHidden/>
    <w:unhideWhenUsed/>
    <w:rsid w:val="009945CF"/>
  </w:style>
  <w:style w:type="table" w:customStyle="1" w:styleId="TableGrid42">
    <w:name w:val="Table Grid42"/>
    <w:basedOn w:val="TableNormal"/>
    <w:next w:val="TableGrid"/>
    <w:uiPriority w:val="59"/>
    <w:rsid w:val="009945CF"/>
    <w:rPr>
      <w:rFonts w:ascii="Calibri" w:eastAsia="Calibri" w:hAnsi="Calibri" w:cs="Lath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945CF"/>
  </w:style>
  <w:style w:type="table" w:customStyle="1" w:styleId="TableGrid252">
    <w:name w:val="Table Grid252"/>
    <w:basedOn w:val="TableNormal"/>
    <w:next w:val="TableGrid"/>
    <w:uiPriority w:val="59"/>
    <w:rsid w:val="009945CF"/>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9945CF"/>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945CF"/>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112">
    <w:name w:val="Calendar 112"/>
    <w:basedOn w:val="TableNormal"/>
    <w:uiPriority w:val="99"/>
    <w:qFormat/>
    <w:rsid w:val="009945CF"/>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42">
    <w:name w:val="No List42"/>
    <w:next w:val="NoList"/>
    <w:uiPriority w:val="99"/>
    <w:semiHidden/>
    <w:unhideWhenUsed/>
    <w:rsid w:val="009945CF"/>
  </w:style>
  <w:style w:type="table" w:customStyle="1" w:styleId="TableGrid62">
    <w:name w:val="Table Grid62"/>
    <w:basedOn w:val="TableNormal"/>
    <w:next w:val="TableGrid"/>
    <w:uiPriority w:val="59"/>
    <w:rsid w:val="009945CF"/>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9945CF"/>
  </w:style>
  <w:style w:type="table" w:customStyle="1" w:styleId="TableGrid1113">
    <w:name w:val="Table Grid1113"/>
    <w:basedOn w:val="TableNormal"/>
    <w:next w:val="TableGrid"/>
    <w:uiPriority w:val="59"/>
    <w:rsid w:val="009945CF"/>
    <w:rPr>
      <w:rFonts w:ascii="Calibri" w:eastAsia="Calibri" w:hAnsi="Calibri" w:cs="Latha"/>
      <w:sz w:val="22"/>
      <w:szCs w:val="22"/>
      <w:lang w:val="en-I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3">
    <w:name w:val="Table Grid2113"/>
    <w:basedOn w:val="TableNormal"/>
    <w:next w:val="TableGrid"/>
    <w:uiPriority w:val="59"/>
    <w:rsid w:val="009945CF"/>
    <w:pPr>
      <w:jc w:val="both"/>
    </w:pPr>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3">
    <w:name w:val="Table Grid21113"/>
    <w:basedOn w:val="TableNormal"/>
    <w:next w:val="TableGrid"/>
    <w:uiPriority w:val="59"/>
    <w:rsid w:val="009945CF"/>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3">
    <w:name w:val="No List1113"/>
    <w:next w:val="NoList"/>
    <w:uiPriority w:val="99"/>
    <w:semiHidden/>
    <w:unhideWhenUsed/>
    <w:rsid w:val="009945CF"/>
  </w:style>
  <w:style w:type="numbering" w:customStyle="1" w:styleId="NoList11113">
    <w:name w:val="No List11113"/>
    <w:next w:val="NoList"/>
    <w:uiPriority w:val="99"/>
    <w:semiHidden/>
    <w:unhideWhenUsed/>
    <w:rsid w:val="009945CF"/>
  </w:style>
  <w:style w:type="numbering" w:customStyle="1" w:styleId="NoList222">
    <w:name w:val="No List222"/>
    <w:next w:val="NoList"/>
    <w:uiPriority w:val="99"/>
    <w:semiHidden/>
    <w:unhideWhenUsed/>
    <w:rsid w:val="009945CF"/>
  </w:style>
  <w:style w:type="table" w:customStyle="1" w:styleId="Calendar122">
    <w:name w:val="Calendar 122"/>
    <w:basedOn w:val="TableNormal"/>
    <w:uiPriority w:val="99"/>
    <w:qFormat/>
    <w:rsid w:val="009945CF"/>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312">
    <w:name w:val="No List312"/>
    <w:next w:val="NoList"/>
    <w:uiPriority w:val="99"/>
    <w:semiHidden/>
    <w:unhideWhenUsed/>
    <w:rsid w:val="009945CF"/>
  </w:style>
  <w:style w:type="numbering" w:customStyle="1" w:styleId="NoList1212">
    <w:name w:val="No List1212"/>
    <w:next w:val="NoList"/>
    <w:uiPriority w:val="99"/>
    <w:semiHidden/>
    <w:unhideWhenUsed/>
    <w:rsid w:val="009945CF"/>
  </w:style>
  <w:style w:type="numbering" w:customStyle="1" w:styleId="NoList2112">
    <w:name w:val="No List2112"/>
    <w:next w:val="NoList"/>
    <w:uiPriority w:val="99"/>
    <w:semiHidden/>
    <w:unhideWhenUsed/>
    <w:rsid w:val="009945CF"/>
  </w:style>
  <w:style w:type="numbering" w:customStyle="1" w:styleId="NoList7">
    <w:name w:val="No List7"/>
    <w:next w:val="NoList"/>
    <w:uiPriority w:val="99"/>
    <w:semiHidden/>
    <w:unhideWhenUsed/>
    <w:rsid w:val="00997AB4"/>
  </w:style>
  <w:style w:type="table" w:customStyle="1" w:styleId="TableGrid10">
    <w:name w:val="Table Grid10"/>
    <w:basedOn w:val="TableNormal"/>
    <w:next w:val="TableGrid"/>
    <w:uiPriority w:val="59"/>
    <w:rsid w:val="00997AB4"/>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97AB4"/>
    <w:rPr>
      <w:rFonts w:ascii="Calibri" w:eastAsia="Calibri" w:hAnsi="Calibri" w:cs="Latha"/>
      <w:sz w:val="22"/>
      <w:szCs w:val="22"/>
      <w:lang w:val="en-I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997AB4"/>
    <w:pPr>
      <w:jc w:val="both"/>
    </w:pPr>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997AB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997AB4"/>
  </w:style>
  <w:style w:type="numbering" w:customStyle="1" w:styleId="NoList114">
    <w:name w:val="No List114"/>
    <w:next w:val="NoList"/>
    <w:uiPriority w:val="99"/>
    <w:semiHidden/>
    <w:unhideWhenUsed/>
    <w:rsid w:val="00997AB4"/>
  </w:style>
  <w:style w:type="numbering" w:customStyle="1" w:styleId="NoList25">
    <w:name w:val="No List25"/>
    <w:next w:val="NoList"/>
    <w:uiPriority w:val="99"/>
    <w:semiHidden/>
    <w:unhideWhenUsed/>
    <w:rsid w:val="00997AB4"/>
  </w:style>
  <w:style w:type="table" w:customStyle="1" w:styleId="Calendar15">
    <w:name w:val="Calendar 15"/>
    <w:basedOn w:val="TableNormal"/>
    <w:uiPriority w:val="99"/>
    <w:qFormat/>
    <w:rsid w:val="00997AB4"/>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233">
    <w:name w:val="Table Grid233"/>
    <w:basedOn w:val="TableNormal"/>
    <w:uiPriority w:val="59"/>
    <w:rsid w:val="00997AB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3">
    <w:name w:val="Table Grid243"/>
    <w:basedOn w:val="TableNormal"/>
    <w:uiPriority w:val="59"/>
    <w:rsid w:val="00997AB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4">
    <w:name w:val="No List34"/>
    <w:next w:val="NoList"/>
    <w:uiPriority w:val="99"/>
    <w:semiHidden/>
    <w:unhideWhenUsed/>
    <w:rsid w:val="00997AB4"/>
  </w:style>
  <w:style w:type="numbering" w:customStyle="1" w:styleId="NoList124">
    <w:name w:val="No List124"/>
    <w:next w:val="NoList"/>
    <w:uiPriority w:val="99"/>
    <w:semiHidden/>
    <w:unhideWhenUsed/>
    <w:rsid w:val="00997AB4"/>
  </w:style>
  <w:style w:type="table" w:customStyle="1" w:styleId="TableGrid43">
    <w:name w:val="Table Grid43"/>
    <w:basedOn w:val="TableNormal"/>
    <w:next w:val="TableGrid"/>
    <w:uiPriority w:val="59"/>
    <w:rsid w:val="00997AB4"/>
    <w:rPr>
      <w:rFonts w:ascii="Calibri" w:eastAsia="Calibri" w:hAnsi="Calibri" w:cs="Lath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997AB4"/>
  </w:style>
  <w:style w:type="table" w:customStyle="1" w:styleId="TableGrid253">
    <w:name w:val="Table Grid253"/>
    <w:basedOn w:val="TableNormal"/>
    <w:next w:val="TableGrid"/>
    <w:uiPriority w:val="59"/>
    <w:rsid w:val="00997AB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59"/>
    <w:rsid w:val="00997AB4"/>
    <w:rPr>
      <w:rFonts w:ascii="Calibri" w:eastAsia="Calibri" w:hAnsi="Calibri"/>
      <w:lang w:val="en-IN"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97AB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113">
    <w:name w:val="Calendar 113"/>
    <w:basedOn w:val="TableNormal"/>
    <w:uiPriority w:val="99"/>
    <w:qFormat/>
    <w:rsid w:val="00997AB4"/>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43">
    <w:name w:val="No List43"/>
    <w:next w:val="NoList"/>
    <w:uiPriority w:val="99"/>
    <w:semiHidden/>
    <w:unhideWhenUsed/>
    <w:rsid w:val="00997AB4"/>
  </w:style>
  <w:style w:type="table" w:customStyle="1" w:styleId="TableGrid63">
    <w:name w:val="Table Grid63"/>
    <w:basedOn w:val="TableNormal"/>
    <w:next w:val="TableGrid"/>
    <w:uiPriority w:val="59"/>
    <w:rsid w:val="00997AB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997AB4"/>
  </w:style>
  <w:style w:type="table" w:customStyle="1" w:styleId="TableGrid1114">
    <w:name w:val="Table Grid1114"/>
    <w:basedOn w:val="TableNormal"/>
    <w:next w:val="TableGrid"/>
    <w:uiPriority w:val="59"/>
    <w:rsid w:val="00997AB4"/>
    <w:rPr>
      <w:rFonts w:ascii="Calibri" w:eastAsia="Calibri" w:hAnsi="Calibri" w:cs="Latha"/>
      <w:sz w:val="22"/>
      <w:szCs w:val="22"/>
      <w:lang w:val="en-I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59"/>
    <w:rsid w:val="00997AB4"/>
    <w:pPr>
      <w:jc w:val="both"/>
    </w:pPr>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4">
    <w:name w:val="Table Grid21114"/>
    <w:basedOn w:val="TableNormal"/>
    <w:next w:val="TableGrid"/>
    <w:uiPriority w:val="59"/>
    <w:rsid w:val="00997AB4"/>
    <w:rPr>
      <w:rFonts w:ascii="Calibri" w:eastAsia="Calibri" w:hAnsi="Calibri" w:cs="Latha"/>
      <w:sz w:val="22"/>
      <w:szCs w:val="22"/>
      <w:lang w:val="en-IN" w:eastAsia="en-US"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4">
    <w:name w:val="No List1114"/>
    <w:next w:val="NoList"/>
    <w:uiPriority w:val="99"/>
    <w:semiHidden/>
    <w:unhideWhenUsed/>
    <w:rsid w:val="00997AB4"/>
  </w:style>
  <w:style w:type="numbering" w:customStyle="1" w:styleId="NoList11114">
    <w:name w:val="No List11114"/>
    <w:next w:val="NoList"/>
    <w:uiPriority w:val="99"/>
    <w:semiHidden/>
    <w:unhideWhenUsed/>
    <w:rsid w:val="00997AB4"/>
  </w:style>
  <w:style w:type="numbering" w:customStyle="1" w:styleId="NoList223">
    <w:name w:val="No List223"/>
    <w:next w:val="NoList"/>
    <w:uiPriority w:val="99"/>
    <w:semiHidden/>
    <w:unhideWhenUsed/>
    <w:rsid w:val="00997AB4"/>
  </w:style>
  <w:style w:type="table" w:customStyle="1" w:styleId="Calendar123">
    <w:name w:val="Calendar 123"/>
    <w:basedOn w:val="TableNormal"/>
    <w:uiPriority w:val="99"/>
    <w:qFormat/>
    <w:rsid w:val="00997AB4"/>
    <w:rPr>
      <w:rFonts w:ascii="Calibri" w:hAnsi="Calibri" w:cs="Latha"/>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313">
    <w:name w:val="No List313"/>
    <w:next w:val="NoList"/>
    <w:uiPriority w:val="99"/>
    <w:semiHidden/>
    <w:unhideWhenUsed/>
    <w:rsid w:val="00997AB4"/>
  </w:style>
  <w:style w:type="numbering" w:customStyle="1" w:styleId="NoList1213">
    <w:name w:val="No List1213"/>
    <w:next w:val="NoList"/>
    <w:uiPriority w:val="99"/>
    <w:semiHidden/>
    <w:unhideWhenUsed/>
    <w:rsid w:val="00997AB4"/>
  </w:style>
  <w:style w:type="numbering" w:customStyle="1" w:styleId="NoList2113">
    <w:name w:val="No List2113"/>
    <w:next w:val="NoList"/>
    <w:uiPriority w:val="99"/>
    <w:semiHidden/>
    <w:unhideWhenUsed/>
    <w:rsid w:val="0099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ajapriya@gmail.com"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drajapriya@gmail.com" TargetMode="External"/><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BEG~1\AppData\Local\Temp\Revised_Supplementary_Data_file_JBSD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F083-7BF8-4B84-9157-4C4F062A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Revised_Supplementary_Data_file_JBSD_</Template>
  <TotalTime>0</TotalTime>
  <Pages>24</Pages>
  <Words>5275</Words>
  <Characters>30072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35277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Arbegoso, Jas Sheen Marie</dc:creator>
  <cp:lastModifiedBy>Arbegoso, Jas Sheen Marie</cp:lastModifiedBy>
  <cp:revision>1</cp:revision>
  <cp:lastPrinted>2011-07-22T14:54:00Z</cp:lastPrinted>
  <dcterms:created xsi:type="dcterms:W3CDTF">2018-06-21T10:51:00Z</dcterms:created>
  <dcterms:modified xsi:type="dcterms:W3CDTF">2018-06-21T10:51:00Z</dcterms:modified>
</cp:coreProperties>
</file>