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A8A2F" w14:textId="35A294D2" w:rsidR="00721E5B" w:rsidRDefault="00166634" w:rsidP="00166634">
      <w:pPr>
        <w:spacing w:line="240" w:lineRule="auto"/>
        <w:rPr>
          <w:b/>
          <w:lang w:val="en-GB"/>
        </w:rPr>
      </w:pPr>
      <w:r>
        <w:rPr>
          <w:b/>
          <w:lang w:val="en-GB"/>
        </w:rPr>
        <w:t>APPENDIX</w:t>
      </w:r>
      <w:r w:rsidR="009F76B9" w:rsidRPr="003C24FE">
        <w:rPr>
          <w:b/>
          <w:lang w:val="en-GB"/>
        </w:rPr>
        <w:t xml:space="preserve"> </w:t>
      </w:r>
      <w:r w:rsidR="001B4221" w:rsidRPr="003C24FE">
        <w:rPr>
          <w:b/>
          <w:lang w:val="en-GB"/>
        </w:rPr>
        <w:t xml:space="preserve">A. </w:t>
      </w:r>
    </w:p>
    <w:p w14:paraId="7343FE12" w14:textId="612203B2" w:rsidR="00721E5B" w:rsidRPr="00C5614D" w:rsidRDefault="00104413" w:rsidP="00166634">
      <w:pPr>
        <w:spacing w:line="240" w:lineRule="auto"/>
        <w:rPr>
          <w:b/>
          <w:lang w:val="en-GB"/>
        </w:rPr>
      </w:pPr>
      <w:r>
        <w:rPr>
          <w:b/>
          <w:lang w:val="en-GB"/>
        </w:rPr>
        <w:t xml:space="preserve">Figure A.1 </w:t>
      </w:r>
      <w:r w:rsidR="001B4221" w:rsidRPr="003C24FE">
        <w:rPr>
          <w:b/>
          <w:lang w:val="en-GB"/>
        </w:rPr>
        <w:t xml:space="preserve">Changes in Liberal Democracy Index Scores from 2007 to 20017 for </w:t>
      </w:r>
      <w:r w:rsidR="00462251">
        <w:rPr>
          <w:b/>
          <w:lang w:val="en-GB"/>
        </w:rPr>
        <w:t>a</w:t>
      </w:r>
      <w:r w:rsidR="001B4221" w:rsidRPr="003C24FE">
        <w:rPr>
          <w:b/>
          <w:lang w:val="en-GB"/>
        </w:rPr>
        <w:t>ll 178 Countries in the V-Dem Dataset.</w:t>
      </w:r>
    </w:p>
    <w:p w14:paraId="2B50FDF8" w14:textId="22E20E10" w:rsidR="001B4221" w:rsidRPr="00166634" w:rsidRDefault="001B4221" w:rsidP="00166634">
      <w:pPr>
        <w:spacing w:line="240" w:lineRule="auto"/>
        <w:rPr>
          <w:lang w:val="en-GB"/>
        </w:rPr>
      </w:pPr>
      <w:r w:rsidRPr="003C24FE">
        <w:rPr>
          <w:b/>
          <w:noProof/>
          <w:lang w:val="en-GB"/>
        </w:rPr>
        <w:drawing>
          <wp:inline distT="0" distB="0" distL="0" distR="0" wp14:anchorId="777E31E4" wp14:editId="05C443D2">
            <wp:extent cx="5731933" cy="7816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2x_libdem_top_10y.png"/>
                    <pic:cNvPicPr/>
                  </pic:nvPicPr>
                  <pic:blipFill>
                    <a:blip r:embed="rId7">
                      <a:extLst>
                        <a:ext uri="{28A0092B-C50C-407E-A947-70E740481C1C}">
                          <a14:useLocalDpi xmlns:a14="http://schemas.microsoft.com/office/drawing/2010/main" val="0"/>
                        </a:ext>
                      </a:extLst>
                    </a:blip>
                    <a:stretch>
                      <a:fillRect/>
                    </a:stretch>
                  </pic:blipFill>
                  <pic:spPr>
                    <a:xfrm>
                      <a:off x="0" y="0"/>
                      <a:ext cx="5742105" cy="7830367"/>
                    </a:xfrm>
                    <a:prstGeom prst="rect">
                      <a:avLst/>
                    </a:prstGeom>
                  </pic:spPr>
                </pic:pic>
              </a:graphicData>
            </a:graphic>
          </wp:inline>
        </w:drawing>
      </w:r>
    </w:p>
    <w:p w14:paraId="5D2BE1B1" w14:textId="77777777" w:rsidR="001B4221" w:rsidRPr="003C24FE" w:rsidRDefault="001B4221" w:rsidP="00166634">
      <w:pPr>
        <w:spacing w:line="240" w:lineRule="auto"/>
        <w:rPr>
          <w:b/>
          <w:lang w:val="en-GB"/>
        </w:rPr>
      </w:pPr>
      <w:r w:rsidRPr="003C24FE">
        <w:rPr>
          <w:b/>
          <w:noProof/>
          <w:lang w:val="en-GB"/>
        </w:rPr>
        <w:lastRenderedPageBreak/>
        <w:drawing>
          <wp:inline distT="0" distB="0" distL="0" distR="0" wp14:anchorId="076995EF" wp14:editId="78A99556">
            <wp:extent cx="5912652" cy="8062937"/>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2x_libdem_bot_10y.png"/>
                    <pic:cNvPicPr/>
                  </pic:nvPicPr>
                  <pic:blipFill>
                    <a:blip r:embed="rId8">
                      <a:extLst>
                        <a:ext uri="{28A0092B-C50C-407E-A947-70E740481C1C}">
                          <a14:useLocalDpi xmlns:a14="http://schemas.microsoft.com/office/drawing/2010/main" val="0"/>
                        </a:ext>
                      </a:extLst>
                    </a:blip>
                    <a:stretch>
                      <a:fillRect/>
                    </a:stretch>
                  </pic:blipFill>
                  <pic:spPr>
                    <a:xfrm>
                      <a:off x="0" y="0"/>
                      <a:ext cx="5913536" cy="8064142"/>
                    </a:xfrm>
                    <a:prstGeom prst="rect">
                      <a:avLst/>
                    </a:prstGeom>
                  </pic:spPr>
                </pic:pic>
              </a:graphicData>
            </a:graphic>
          </wp:inline>
        </w:drawing>
      </w:r>
    </w:p>
    <w:p w14:paraId="1D89C9F0" w14:textId="77777777" w:rsidR="00104413" w:rsidRPr="00721E5B" w:rsidRDefault="00104413" w:rsidP="00104413">
      <w:pPr>
        <w:spacing w:line="240" w:lineRule="auto"/>
        <w:rPr>
          <w:lang w:val="en-GB"/>
        </w:rPr>
      </w:pPr>
      <w:r w:rsidRPr="00721E5B">
        <w:rPr>
          <w:lang w:val="en-GB"/>
        </w:rPr>
        <w:t xml:space="preserve">Green country names and dots with confidence interval bars indicate significant advancers, while red names, dots, and bars designate the significant backsliders. Note that few of the latter are extremely undemocratic countries in all respects with high degree of certainty and </w:t>
      </w:r>
      <w:r w:rsidRPr="00721E5B">
        <w:rPr>
          <w:lang w:val="en-GB"/>
        </w:rPr>
        <w:lastRenderedPageBreak/>
        <w:t xml:space="preserve">therefore small substantive changes register as significant. There are also countries in grey because the confidence intervals overlap, while the substantive changes are large and those should be noted. </w:t>
      </w:r>
    </w:p>
    <w:p w14:paraId="5394C165" w14:textId="77777777" w:rsidR="00C5614D" w:rsidRDefault="00C5614D">
      <w:pPr>
        <w:spacing w:after="0" w:line="240" w:lineRule="auto"/>
        <w:rPr>
          <w:b/>
          <w:color w:val="333333"/>
          <w:lang w:val="en-GB"/>
        </w:rPr>
      </w:pPr>
      <w:bookmarkStart w:id="0" w:name="_GoBack"/>
      <w:bookmarkEnd w:id="0"/>
      <w:r>
        <w:rPr>
          <w:b/>
          <w:color w:val="333333"/>
          <w:lang w:val="en-GB"/>
        </w:rPr>
        <w:br w:type="page"/>
      </w:r>
    </w:p>
    <w:p w14:paraId="39341155" w14:textId="77777777" w:rsidR="00104413" w:rsidRDefault="00104413">
      <w:pPr>
        <w:spacing w:after="0" w:line="240" w:lineRule="auto"/>
        <w:rPr>
          <w:b/>
          <w:color w:val="333333"/>
          <w:lang w:val="en-GB"/>
        </w:rPr>
      </w:pPr>
    </w:p>
    <w:p w14:paraId="5779F87C" w14:textId="222DD6C3" w:rsidR="009F76B9" w:rsidRPr="003C24FE" w:rsidRDefault="009F76B9" w:rsidP="00166634">
      <w:pPr>
        <w:spacing w:line="240" w:lineRule="auto"/>
        <w:rPr>
          <w:b/>
          <w:color w:val="333333"/>
          <w:lang w:val="en-GB"/>
        </w:rPr>
      </w:pPr>
      <w:r w:rsidRPr="003C24FE">
        <w:rPr>
          <w:b/>
          <w:color w:val="333333"/>
          <w:lang w:val="en-GB"/>
        </w:rPr>
        <w:t xml:space="preserve">Appendix </w:t>
      </w:r>
      <w:r w:rsidR="001B4221" w:rsidRPr="003C24FE">
        <w:rPr>
          <w:b/>
          <w:color w:val="333333"/>
          <w:lang w:val="en-GB"/>
        </w:rPr>
        <w:t xml:space="preserve">B. </w:t>
      </w:r>
      <w:bookmarkStart w:id="1" w:name="_Toc513015460"/>
      <w:bookmarkStart w:id="2" w:name="_Toc513119020"/>
    </w:p>
    <w:p w14:paraId="6610DE5F" w14:textId="652E2EC4" w:rsidR="009F76B9" w:rsidRPr="003C24FE" w:rsidRDefault="00E1604E" w:rsidP="00166634">
      <w:pPr>
        <w:spacing w:line="240" w:lineRule="auto"/>
        <w:rPr>
          <w:rFonts w:cstheme="minorHAnsi"/>
          <w:b/>
          <w:lang w:val="en-GB"/>
        </w:rPr>
      </w:pPr>
      <w:r w:rsidRPr="003C24FE">
        <w:rPr>
          <w:b/>
          <w:lang w:val="en-GB"/>
        </w:rPr>
        <w:t>Different Patterns of Autocratization</w:t>
      </w:r>
      <w:bookmarkEnd w:id="1"/>
      <w:bookmarkEnd w:id="2"/>
      <w:r w:rsidRPr="003C24FE">
        <w:rPr>
          <w:b/>
          <w:lang w:val="en-GB"/>
        </w:rPr>
        <w:t xml:space="preserve"> </w:t>
      </w:r>
    </w:p>
    <w:p w14:paraId="5A696018" w14:textId="0BAEFD19" w:rsidR="00E1604E" w:rsidRPr="003C24FE" w:rsidRDefault="00E1604E" w:rsidP="00166634">
      <w:pPr>
        <w:spacing w:line="240" w:lineRule="auto"/>
        <w:outlineLvl w:val="0"/>
        <w:rPr>
          <w:rFonts w:cstheme="minorHAnsi"/>
          <w:color w:val="000000"/>
          <w:lang w:val="en-GB"/>
        </w:rPr>
      </w:pPr>
      <w:r w:rsidRPr="003C24FE">
        <w:rPr>
          <w:rFonts w:cstheme="minorHAnsi"/>
          <w:color w:val="000000"/>
          <w:lang w:val="en-GB"/>
        </w:rPr>
        <w:t xml:space="preserve">Another important finding in the annual Democracy Report 2018 from the V-Dem Institute is that there are different patterns of decline in more democratic countries compared to the less democratic ones. V-Dem is the first dataset to capture not only liberal and electoral aspects of democracy, but also </w:t>
      </w:r>
      <w:r w:rsidR="00156B49" w:rsidRPr="003C24FE">
        <w:rPr>
          <w:rFonts w:cstheme="minorHAnsi"/>
          <w:color w:val="000000"/>
          <w:lang w:val="en-GB"/>
        </w:rPr>
        <w:t xml:space="preserve">to </w:t>
      </w:r>
      <w:r w:rsidRPr="003C24FE">
        <w:rPr>
          <w:rFonts w:cstheme="minorHAnsi"/>
          <w:color w:val="000000"/>
          <w:lang w:val="en-GB"/>
        </w:rPr>
        <w:t xml:space="preserve">measure egalitarian, participatory and deliberative components of democracy. The figure below depicts that breadth across the spectrum of democracy aspects and provides an overview of which subcomponents registers significant changes </w:t>
      </w:r>
      <w:r w:rsidR="00DE285E" w:rsidRPr="003C24FE">
        <w:rPr>
          <w:rFonts w:cstheme="minorHAnsi"/>
          <w:color w:val="000000"/>
          <w:lang w:val="en-GB"/>
        </w:rPr>
        <w:t xml:space="preserve">– without overlapping confidence intervals - </w:t>
      </w:r>
      <w:r w:rsidRPr="003C24FE">
        <w:rPr>
          <w:rFonts w:cstheme="minorHAnsi"/>
          <w:color w:val="000000"/>
          <w:lang w:val="en-GB"/>
        </w:rPr>
        <w:t xml:space="preserve">over the last </w:t>
      </w:r>
      <w:r w:rsidR="001F34A2" w:rsidRPr="003C24FE">
        <w:rPr>
          <w:rFonts w:cstheme="minorHAnsi"/>
          <w:color w:val="000000"/>
          <w:lang w:val="en-GB"/>
        </w:rPr>
        <w:t>ten</w:t>
      </w:r>
      <w:r w:rsidRPr="003C24FE">
        <w:rPr>
          <w:rFonts w:cstheme="minorHAnsi"/>
          <w:color w:val="000000"/>
          <w:lang w:val="en-GB"/>
        </w:rPr>
        <w:t xml:space="preserve"> years, comparing scores 2007 to 2017. Countries are sorted first by Regimes of the World-type and second, within each category on how many aspects have changed</w:t>
      </w:r>
      <w:r w:rsidR="00156B49" w:rsidRPr="003C24FE">
        <w:rPr>
          <w:rFonts w:cstheme="minorHAnsi"/>
          <w:color w:val="000000"/>
          <w:lang w:val="en-GB"/>
        </w:rPr>
        <w:t>,</w:t>
      </w:r>
      <w:r w:rsidRPr="003C24FE">
        <w:rPr>
          <w:rFonts w:cstheme="minorHAnsi"/>
          <w:color w:val="000000"/>
          <w:lang w:val="en-GB"/>
        </w:rPr>
        <w:t xml:space="preserve"> from many </w:t>
      </w:r>
      <w:proofErr w:type="spellStart"/>
      <w:r w:rsidRPr="003C24FE">
        <w:rPr>
          <w:rFonts w:cstheme="minorHAnsi"/>
          <w:color w:val="000000"/>
          <w:lang w:val="en-GB"/>
        </w:rPr>
        <w:t>to</w:t>
      </w:r>
      <w:proofErr w:type="spellEnd"/>
      <w:r w:rsidRPr="003C24FE">
        <w:rPr>
          <w:rFonts w:cstheme="minorHAnsi"/>
          <w:color w:val="000000"/>
          <w:lang w:val="en-GB"/>
        </w:rPr>
        <w:t xml:space="preserve"> few based on the summary scores in the right-most columns.</w:t>
      </w:r>
      <w:r w:rsidR="00DE285E" w:rsidRPr="003C24FE">
        <w:rPr>
          <w:rFonts w:cstheme="minorHAnsi"/>
          <w:color w:val="000000"/>
          <w:lang w:val="en-GB"/>
        </w:rPr>
        <w:t xml:space="preserve"> The tinted </w:t>
      </w:r>
      <w:r w:rsidR="003C24FE" w:rsidRPr="003C24FE">
        <w:rPr>
          <w:rFonts w:cstheme="minorHAnsi"/>
          <w:color w:val="000000"/>
          <w:lang w:val="en-GB"/>
        </w:rPr>
        <w:t>colours</w:t>
      </w:r>
      <w:r w:rsidR="00DE285E" w:rsidRPr="003C24FE">
        <w:rPr>
          <w:rFonts w:cstheme="minorHAnsi"/>
          <w:color w:val="000000"/>
          <w:lang w:val="en-GB"/>
        </w:rPr>
        <w:t xml:space="preserve"> indicate cases where the index did not change, but one or more of its sub-indicators did.</w:t>
      </w:r>
    </w:p>
    <w:p w14:paraId="4B47B6BD" w14:textId="2393FC6A" w:rsidR="00E1604E" w:rsidRPr="003C24FE" w:rsidRDefault="00156B49" w:rsidP="00166634">
      <w:pPr>
        <w:spacing w:line="240" w:lineRule="auto"/>
        <w:ind w:firstLine="450"/>
        <w:outlineLvl w:val="0"/>
        <w:rPr>
          <w:rFonts w:cstheme="minorHAnsi"/>
          <w:color w:val="000000"/>
          <w:lang w:val="en-GB"/>
        </w:rPr>
      </w:pPr>
      <w:r w:rsidRPr="003C24FE">
        <w:rPr>
          <w:rFonts w:cstheme="minorHAnsi"/>
          <w:color w:val="000000"/>
          <w:lang w:val="en-GB"/>
        </w:rPr>
        <w:t>The figure enables comparison</w:t>
      </w:r>
      <w:r w:rsidR="00E1604E" w:rsidRPr="003C24FE">
        <w:rPr>
          <w:rFonts w:cstheme="minorHAnsi"/>
          <w:color w:val="000000"/>
          <w:lang w:val="en-GB"/>
        </w:rPr>
        <w:t xml:space="preserve"> across categories</w:t>
      </w:r>
      <w:r w:rsidRPr="003C24FE">
        <w:rPr>
          <w:rFonts w:cstheme="minorHAnsi"/>
          <w:color w:val="000000"/>
          <w:lang w:val="en-GB"/>
        </w:rPr>
        <w:t>,</w:t>
      </w:r>
      <w:r w:rsidR="00E1604E" w:rsidRPr="003C24FE">
        <w:rPr>
          <w:rFonts w:cstheme="minorHAnsi"/>
          <w:color w:val="000000"/>
          <w:lang w:val="en-GB"/>
        </w:rPr>
        <w:t xml:space="preserve"> from liberal- and electoral democracy to electoral- and closed autocracies, </w:t>
      </w:r>
      <w:r w:rsidRPr="003C24FE">
        <w:rPr>
          <w:rFonts w:cstheme="minorHAnsi"/>
          <w:color w:val="000000"/>
          <w:lang w:val="en-GB"/>
        </w:rPr>
        <w:t xml:space="preserve">with regard to the number of changes that occurred in each and whether such changes represented </w:t>
      </w:r>
      <w:r w:rsidR="00E1604E" w:rsidRPr="003C24FE">
        <w:rPr>
          <w:rFonts w:cstheme="minorHAnsi"/>
          <w:color w:val="000000"/>
          <w:lang w:val="en-GB"/>
        </w:rPr>
        <w:t>advance</w:t>
      </w:r>
      <w:r w:rsidRPr="003C24FE">
        <w:rPr>
          <w:rFonts w:cstheme="minorHAnsi"/>
          <w:color w:val="000000"/>
          <w:lang w:val="en-GB"/>
        </w:rPr>
        <w:t>s</w:t>
      </w:r>
      <w:r w:rsidR="00E1604E" w:rsidRPr="003C24FE">
        <w:rPr>
          <w:rFonts w:cstheme="minorHAnsi"/>
          <w:color w:val="000000"/>
          <w:lang w:val="en-GB"/>
        </w:rPr>
        <w:t xml:space="preserve"> or backsliding. One can also compare within categories to see if countries tend</w:t>
      </w:r>
      <w:r w:rsidRPr="003C24FE">
        <w:rPr>
          <w:rFonts w:cstheme="minorHAnsi"/>
          <w:color w:val="000000"/>
          <w:lang w:val="en-GB"/>
        </w:rPr>
        <w:t>ed</w:t>
      </w:r>
      <w:r w:rsidR="00E1604E" w:rsidRPr="003C24FE">
        <w:rPr>
          <w:rFonts w:cstheme="minorHAnsi"/>
          <w:color w:val="000000"/>
          <w:lang w:val="en-GB"/>
        </w:rPr>
        <w:t xml:space="preserve"> to advance or backslide and in which aspects of democracy these changes register</w:t>
      </w:r>
      <w:r w:rsidRPr="003C24FE">
        <w:rPr>
          <w:rFonts w:cstheme="minorHAnsi"/>
          <w:color w:val="000000"/>
          <w:lang w:val="en-GB"/>
        </w:rPr>
        <w:t>ed.  The</w:t>
      </w:r>
      <w:r w:rsidR="00E1604E" w:rsidRPr="003C24FE">
        <w:rPr>
          <w:rFonts w:cstheme="minorHAnsi"/>
          <w:color w:val="000000"/>
          <w:lang w:val="en-GB"/>
        </w:rPr>
        <w:t xml:space="preserve"> figure also provide</w:t>
      </w:r>
      <w:r w:rsidRPr="003C24FE">
        <w:rPr>
          <w:rFonts w:cstheme="minorHAnsi"/>
          <w:color w:val="000000"/>
          <w:lang w:val="en-GB"/>
        </w:rPr>
        <w:t>s</w:t>
      </w:r>
      <w:r w:rsidR="00E1604E" w:rsidRPr="003C24FE">
        <w:rPr>
          <w:rFonts w:cstheme="minorHAnsi"/>
          <w:color w:val="000000"/>
          <w:lang w:val="en-GB"/>
        </w:rPr>
        <w:t xml:space="preserve"> column summary </w:t>
      </w:r>
      <w:r w:rsidRPr="003C24FE">
        <w:rPr>
          <w:rFonts w:cstheme="minorHAnsi"/>
          <w:color w:val="000000"/>
          <w:lang w:val="en-GB"/>
        </w:rPr>
        <w:t>s</w:t>
      </w:r>
      <w:r w:rsidR="00E1604E" w:rsidRPr="003C24FE">
        <w:rPr>
          <w:rFonts w:cstheme="minorHAnsi"/>
          <w:color w:val="000000"/>
          <w:lang w:val="en-GB"/>
        </w:rPr>
        <w:t>cores</w:t>
      </w:r>
      <w:r w:rsidRPr="003C24FE">
        <w:rPr>
          <w:rFonts w:cstheme="minorHAnsi"/>
          <w:color w:val="000000"/>
          <w:lang w:val="en-GB"/>
        </w:rPr>
        <w:t>,</w:t>
      </w:r>
      <w:r w:rsidR="00E1604E" w:rsidRPr="003C24FE">
        <w:rPr>
          <w:rFonts w:cstheme="minorHAnsi"/>
          <w:color w:val="000000"/>
          <w:lang w:val="en-GB"/>
        </w:rPr>
        <w:t xml:space="preserve"> making it easy to identify the subcomponents of the different varieties affected the most, and the least, by positive or negative development over the past </w:t>
      </w:r>
      <w:r w:rsidR="001F34A2" w:rsidRPr="003C24FE">
        <w:rPr>
          <w:rFonts w:cstheme="minorHAnsi"/>
          <w:color w:val="000000"/>
          <w:lang w:val="en-GB"/>
        </w:rPr>
        <w:t>ten</w:t>
      </w:r>
      <w:r w:rsidR="00E1604E" w:rsidRPr="003C24FE">
        <w:rPr>
          <w:rFonts w:cstheme="minorHAnsi"/>
          <w:color w:val="000000"/>
          <w:lang w:val="en-GB"/>
        </w:rPr>
        <w:t xml:space="preserve"> years.</w:t>
      </w:r>
    </w:p>
    <w:p w14:paraId="48858FCE" w14:textId="753477D4" w:rsidR="00E1604E" w:rsidRPr="003C24FE" w:rsidRDefault="00E1604E" w:rsidP="00166634">
      <w:pPr>
        <w:spacing w:line="240" w:lineRule="auto"/>
        <w:ind w:firstLine="450"/>
        <w:outlineLvl w:val="0"/>
        <w:rPr>
          <w:rFonts w:cstheme="minorHAnsi"/>
          <w:color w:val="000000"/>
          <w:lang w:val="en-GB"/>
        </w:rPr>
      </w:pPr>
      <w:r w:rsidRPr="003C24FE">
        <w:rPr>
          <w:rFonts w:cstheme="minorHAnsi"/>
          <w:color w:val="000000"/>
          <w:lang w:val="en-GB"/>
        </w:rPr>
        <w:t>Our first observation is that volatility – the number aspects that are improving or declining – is overall lower in both of the democratic regime categories, than in the autocratic. More democratic countries tend to be more stable. One third of all liberal democracies record some significant changes</w:t>
      </w:r>
      <w:r w:rsidR="00156B49" w:rsidRPr="003C24FE">
        <w:rPr>
          <w:rFonts w:cstheme="minorHAnsi"/>
          <w:color w:val="000000"/>
          <w:lang w:val="en-GB"/>
        </w:rPr>
        <w:t>,</w:t>
      </w:r>
      <w:r w:rsidRPr="003C24FE">
        <w:rPr>
          <w:rFonts w:cstheme="minorHAnsi"/>
          <w:color w:val="000000"/>
          <w:lang w:val="en-GB"/>
        </w:rPr>
        <w:t xml:space="preserve"> and the same is true for about half of all electoral democracies. Conversely, some volatility is registered in two thirds of countries in the electoral- and closed autocratic regime categories.</w:t>
      </w:r>
      <w:r w:rsidRPr="003C24FE">
        <w:rPr>
          <w:rStyle w:val="FootnoteReference"/>
          <w:rFonts w:cstheme="minorHAnsi"/>
          <w:color w:val="000000"/>
          <w:lang w:val="en-GB"/>
        </w:rPr>
        <w:footnoteReference w:id="1"/>
      </w:r>
      <w:r w:rsidR="00156B49" w:rsidRPr="003C24FE">
        <w:rPr>
          <w:rFonts w:cstheme="minorHAnsi"/>
          <w:color w:val="000000"/>
          <w:lang w:val="en-GB"/>
        </w:rPr>
        <w:t xml:space="preserve">  </w:t>
      </w:r>
      <w:r w:rsidRPr="003C24FE">
        <w:rPr>
          <w:rFonts w:cstheme="minorHAnsi"/>
          <w:color w:val="000000"/>
          <w:lang w:val="en-GB"/>
        </w:rPr>
        <w:t xml:space="preserve">Second, most countries </w:t>
      </w:r>
      <w:r w:rsidR="00156B49" w:rsidRPr="003C24FE">
        <w:rPr>
          <w:rFonts w:cstheme="minorHAnsi"/>
          <w:color w:val="000000"/>
          <w:lang w:val="en-GB"/>
        </w:rPr>
        <w:t>that underwent</w:t>
      </w:r>
      <w:r w:rsidRPr="003C24FE">
        <w:rPr>
          <w:rFonts w:cstheme="minorHAnsi"/>
          <w:color w:val="000000"/>
          <w:lang w:val="en-GB"/>
        </w:rPr>
        <w:t xml:space="preserve"> significant change only register</w:t>
      </w:r>
      <w:r w:rsidR="00156B49" w:rsidRPr="003C24FE">
        <w:rPr>
          <w:rFonts w:cstheme="minorHAnsi"/>
          <w:color w:val="000000"/>
          <w:lang w:val="en-GB"/>
        </w:rPr>
        <w:t>ed</w:t>
      </w:r>
      <w:r w:rsidRPr="003C24FE">
        <w:rPr>
          <w:rFonts w:cstheme="minorHAnsi"/>
          <w:color w:val="000000"/>
          <w:lang w:val="en-GB"/>
        </w:rPr>
        <w:t xml:space="preserve"> volatility in one or a couple of subcomponents. There are only </w:t>
      </w:r>
      <w:r w:rsidR="00156B49" w:rsidRPr="003C24FE">
        <w:rPr>
          <w:rFonts w:cstheme="minorHAnsi"/>
          <w:color w:val="000000"/>
          <w:lang w:val="en-GB"/>
        </w:rPr>
        <w:t xml:space="preserve">nine </w:t>
      </w:r>
      <w:r w:rsidRPr="003C24FE">
        <w:rPr>
          <w:rFonts w:cstheme="minorHAnsi"/>
          <w:color w:val="000000"/>
          <w:lang w:val="en-GB"/>
        </w:rPr>
        <w:t xml:space="preserve">countries that have changed significantly in more than five areas of democracy during the last </w:t>
      </w:r>
      <w:r w:rsidR="00156B49" w:rsidRPr="003C24FE">
        <w:rPr>
          <w:rFonts w:cstheme="minorHAnsi"/>
          <w:color w:val="000000"/>
          <w:lang w:val="en-GB"/>
        </w:rPr>
        <w:t xml:space="preserve">ten </w:t>
      </w:r>
      <w:r w:rsidRPr="003C24FE">
        <w:rPr>
          <w:rFonts w:cstheme="minorHAnsi"/>
          <w:color w:val="000000"/>
          <w:lang w:val="en-GB"/>
        </w:rPr>
        <w:t>years. These include the positive changes in Tunisia, Bhutan, Myanmar, and Libya</w:t>
      </w:r>
      <w:r w:rsidR="00156B49" w:rsidRPr="003C24FE">
        <w:rPr>
          <w:rFonts w:cstheme="minorHAnsi"/>
          <w:color w:val="000000"/>
          <w:lang w:val="en-GB"/>
        </w:rPr>
        <w:t>,</w:t>
      </w:r>
      <w:r w:rsidRPr="003C24FE">
        <w:rPr>
          <w:rFonts w:cstheme="minorHAnsi"/>
          <w:color w:val="000000"/>
          <w:lang w:val="en-GB"/>
        </w:rPr>
        <w:t xml:space="preserve"> as well as drastic deteriorations in Burundi, Yemen, Turkey, Venezuela and Thailand. Somalia exhibits a high level of volatility as the textbook example of a fragile state. </w:t>
      </w:r>
    </w:p>
    <w:p w14:paraId="46EABEB5" w14:textId="3D95D52C" w:rsidR="00E1604E" w:rsidRPr="003C24FE" w:rsidRDefault="00E1604E" w:rsidP="00166634">
      <w:pPr>
        <w:spacing w:line="240" w:lineRule="auto"/>
        <w:ind w:firstLine="450"/>
        <w:rPr>
          <w:rFonts w:cstheme="minorHAnsi"/>
          <w:color w:val="000000"/>
          <w:highlight w:val="yellow"/>
          <w:lang w:val="en-GB"/>
        </w:rPr>
      </w:pPr>
      <w:r w:rsidRPr="003C24FE">
        <w:rPr>
          <w:rFonts w:cstheme="minorHAnsi"/>
          <w:color w:val="000000"/>
          <w:lang w:val="en-GB"/>
        </w:rPr>
        <w:t>Other countries have changed significantly only with regards to selected aspects of democracy</w:t>
      </w:r>
      <w:r w:rsidR="00156B49" w:rsidRPr="003C24FE">
        <w:rPr>
          <w:rFonts w:cstheme="minorHAnsi"/>
          <w:color w:val="000000"/>
          <w:lang w:val="en-GB"/>
        </w:rPr>
        <w:t>,</w:t>
      </w:r>
      <w:r w:rsidRPr="003C24FE">
        <w:rPr>
          <w:rFonts w:cstheme="minorHAnsi"/>
          <w:color w:val="000000"/>
          <w:lang w:val="en-GB"/>
        </w:rPr>
        <w:t xml:space="preserve"> whereas most components are relatively stable. For instance, in the United States it is mainly the legislative constraints on the executive that have weakened significantly along with the quality of public reasoning. As another example, in Greece the main negative </w:t>
      </w:r>
      <w:r w:rsidRPr="003C24FE">
        <w:rPr>
          <w:rFonts w:cstheme="minorHAnsi"/>
          <w:color w:val="000000"/>
          <w:lang w:val="en-GB"/>
        </w:rPr>
        <w:lastRenderedPageBreak/>
        <w:t xml:space="preserve">developments are in the area of freedom of expression and local elections. In sum, most democratic change, whether positive or negative, is gradual and affecting only an area or two at a time even in this medium-term, </w:t>
      </w:r>
      <w:r w:rsidR="00156B49" w:rsidRPr="003C24FE">
        <w:rPr>
          <w:rFonts w:cstheme="minorHAnsi"/>
          <w:color w:val="000000"/>
          <w:lang w:val="en-GB"/>
        </w:rPr>
        <w:t>ten</w:t>
      </w:r>
      <w:r w:rsidR="003C24FE" w:rsidRPr="003C24FE">
        <w:rPr>
          <w:rFonts w:cstheme="minorHAnsi"/>
          <w:color w:val="000000"/>
          <w:lang w:val="en-GB"/>
        </w:rPr>
        <w:t>-</w:t>
      </w:r>
      <w:r w:rsidRPr="003C24FE">
        <w:rPr>
          <w:rFonts w:cstheme="minorHAnsi"/>
          <w:color w:val="000000"/>
          <w:lang w:val="en-GB"/>
        </w:rPr>
        <w:t>year perspective.</w:t>
      </w:r>
    </w:p>
    <w:p w14:paraId="61DB1BDA" w14:textId="2DC8674B" w:rsidR="005E3503" w:rsidRDefault="005E3503" w:rsidP="00166634">
      <w:pPr>
        <w:spacing w:line="240" w:lineRule="auto"/>
        <w:ind w:firstLine="450"/>
        <w:outlineLvl w:val="0"/>
        <w:rPr>
          <w:rFonts w:cstheme="minorHAnsi"/>
          <w:color w:val="000000"/>
          <w:lang w:val="en-GB"/>
        </w:rPr>
      </w:pPr>
      <w:r w:rsidRPr="003C24FE">
        <w:rPr>
          <w:b/>
          <w:noProof/>
          <w:color w:val="333333"/>
          <w:lang w:val="en-GB"/>
        </w:rPr>
        <w:drawing>
          <wp:inline distT="0" distB="0" distL="0" distR="0" wp14:anchorId="7C2F6DB4" wp14:editId="4FDC5C13">
            <wp:extent cx="5943600" cy="742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b.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0510609C" w14:textId="77777777" w:rsidR="00161CDD" w:rsidRPr="003C24FE" w:rsidRDefault="00161CDD" w:rsidP="00161CDD">
      <w:pPr>
        <w:spacing w:line="240" w:lineRule="auto"/>
        <w:ind w:firstLine="450"/>
        <w:outlineLvl w:val="0"/>
        <w:rPr>
          <w:rFonts w:cstheme="minorHAnsi"/>
          <w:color w:val="000000"/>
          <w:lang w:val="en-GB"/>
        </w:rPr>
      </w:pPr>
      <w:r w:rsidRPr="003C24FE">
        <w:rPr>
          <w:rFonts w:cstheme="minorHAnsi"/>
          <w:color w:val="000000"/>
          <w:lang w:val="en-GB"/>
        </w:rPr>
        <w:t xml:space="preserve">One observation that stands out is that not a single democracy – neither in the liberal nor in the electoral category – have recorded significant declines in the purely electoral aspects of democracy or in freedom of association. These highly visible and symbolically important </w:t>
      </w:r>
      <w:r w:rsidRPr="003C24FE">
        <w:rPr>
          <w:rFonts w:cstheme="minorHAnsi"/>
          <w:color w:val="000000"/>
          <w:lang w:val="en-GB"/>
        </w:rPr>
        <w:lastRenderedPageBreak/>
        <w:t xml:space="preserve">aspects are not affected by the current global trend of autocratization. Rather, positives changes tend to be found in these aspects.  Instead, among </w:t>
      </w:r>
      <w:r w:rsidRPr="003C24FE">
        <w:rPr>
          <w:rFonts w:cstheme="minorHAnsi"/>
          <w:i/>
          <w:color w:val="000000"/>
          <w:lang w:val="en-GB"/>
        </w:rPr>
        <w:t>liberal democracies</w:t>
      </w:r>
      <w:r w:rsidRPr="003C24FE">
        <w:rPr>
          <w:rFonts w:cstheme="minorHAnsi"/>
          <w:color w:val="000000"/>
          <w:lang w:val="en-GB"/>
        </w:rPr>
        <w:t xml:space="preserve">, most declines are found on the quality of public debates – namely in the United States, Albania and Ghana – and freedom of expression (Greece and Spain). Additionally, legislative constraints on the executive are evidently under stress in the United States, as is the rule of law in Australia. </w:t>
      </w:r>
    </w:p>
    <w:p w14:paraId="141F6DF1" w14:textId="77777777" w:rsidR="005E3503" w:rsidRPr="003C24FE" w:rsidRDefault="005E3503" w:rsidP="00166634">
      <w:pPr>
        <w:spacing w:line="240" w:lineRule="auto"/>
        <w:ind w:firstLine="450"/>
        <w:outlineLvl w:val="0"/>
        <w:rPr>
          <w:rFonts w:cstheme="minorHAnsi"/>
          <w:color w:val="000000"/>
          <w:lang w:val="en-GB"/>
        </w:rPr>
      </w:pPr>
      <w:r w:rsidRPr="003C24FE">
        <w:rPr>
          <w:rFonts w:cstheme="minorHAnsi"/>
          <w:color w:val="000000"/>
          <w:lang w:val="en-GB"/>
        </w:rPr>
        <w:t xml:space="preserve">In </w:t>
      </w:r>
      <w:r w:rsidRPr="003C24FE">
        <w:rPr>
          <w:rFonts w:cstheme="minorHAnsi"/>
          <w:i/>
          <w:color w:val="000000"/>
          <w:lang w:val="en-GB"/>
        </w:rPr>
        <w:t>electoral democracies</w:t>
      </w:r>
      <w:r w:rsidRPr="003C24FE">
        <w:rPr>
          <w:rFonts w:cstheme="minorHAnsi"/>
          <w:color w:val="000000"/>
          <w:lang w:val="en-GB"/>
        </w:rPr>
        <w:t xml:space="preserve"> the picture is similar with regards to five countries declining in terms of freedom of expression and four on public deliberation.  Judicial constraints on the executive has declined significantly in Poland, Haiti, Macedonia and Suriname, whereas legislative constraints on the executive have improved significantly in Bhutan and Peru. In short, the declines among democracies take place in areas that are less visible and can be derailed significantly before the threat to democracy becomes obvious to the extent that other countries and international bodies react. At the same time, degeneration of the democratic quality in such areas threatens to undermine the viability and meaningfulness of core institutions, such as elections and freedom of association.</w:t>
      </w:r>
    </w:p>
    <w:p w14:paraId="4CBC527A" w14:textId="52F910F6" w:rsidR="00E1604E" w:rsidRPr="003C24FE" w:rsidRDefault="00E1604E" w:rsidP="00166634">
      <w:pPr>
        <w:spacing w:line="240" w:lineRule="auto"/>
        <w:ind w:firstLine="450"/>
        <w:outlineLvl w:val="0"/>
        <w:rPr>
          <w:rFonts w:cstheme="minorHAnsi"/>
          <w:color w:val="000000"/>
          <w:lang w:val="en-GB"/>
        </w:rPr>
      </w:pPr>
      <w:r w:rsidRPr="003C24FE">
        <w:rPr>
          <w:rFonts w:cstheme="minorHAnsi"/>
          <w:color w:val="000000"/>
          <w:lang w:val="en-GB"/>
        </w:rPr>
        <w:t xml:space="preserve">In </w:t>
      </w:r>
      <w:r w:rsidRPr="003C24FE">
        <w:rPr>
          <w:rFonts w:cstheme="minorHAnsi"/>
          <w:i/>
          <w:color w:val="000000"/>
          <w:lang w:val="en-GB"/>
        </w:rPr>
        <w:t>electoral autocracies</w:t>
      </w:r>
      <w:r w:rsidRPr="003C24FE">
        <w:rPr>
          <w:rFonts w:cstheme="minorHAnsi"/>
          <w:color w:val="000000"/>
          <w:lang w:val="en-GB"/>
        </w:rPr>
        <w:t xml:space="preserve">, patterns of autocratization reflect a much more direct, widespread attack on core democratic institutions and freedoms. Freedom of expression and the quality of public debates are on a downward trajectory in many countries, and this is also true for freedom of association and the liberal subcomponents of democracy. In four countries elections are now significantly less free and fair than </w:t>
      </w:r>
      <w:r w:rsidR="001F34A2" w:rsidRPr="003C24FE">
        <w:rPr>
          <w:rFonts w:cstheme="minorHAnsi"/>
          <w:color w:val="000000"/>
          <w:lang w:val="en-GB"/>
        </w:rPr>
        <w:t>ten</w:t>
      </w:r>
      <w:r w:rsidRPr="003C24FE">
        <w:rPr>
          <w:rFonts w:cstheme="minorHAnsi"/>
          <w:color w:val="000000"/>
          <w:lang w:val="en-GB"/>
        </w:rPr>
        <w:t xml:space="preserve"> years ago – Burundi, Turkey, Venezuela, Zambia, and Comoros. Among the </w:t>
      </w:r>
      <w:r w:rsidR="006925E8" w:rsidRPr="003C24FE">
        <w:rPr>
          <w:rFonts w:cstheme="minorHAnsi"/>
          <w:color w:val="000000"/>
          <w:lang w:val="en-GB"/>
        </w:rPr>
        <w:t>56</w:t>
      </w:r>
      <w:r w:rsidRPr="003C24FE">
        <w:rPr>
          <w:rFonts w:cstheme="minorHAnsi"/>
          <w:color w:val="000000"/>
          <w:lang w:val="en-GB"/>
        </w:rPr>
        <w:t xml:space="preserve"> countries that are classified as electoral autocracies in 2017, </w:t>
      </w:r>
      <w:r w:rsidR="004330E3" w:rsidRPr="003C24FE">
        <w:rPr>
          <w:rFonts w:cstheme="minorHAnsi"/>
          <w:color w:val="000000"/>
          <w:lang w:val="en-GB"/>
        </w:rPr>
        <w:t>six</w:t>
      </w:r>
      <w:r w:rsidRPr="003C24FE">
        <w:rPr>
          <w:rFonts w:cstheme="minorHAnsi"/>
          <w:color w:val="000000"/>
          <w:lang w:val="en-GB"/>
        </w:rPr>
        <w:t xml:space="preserve"> of them still qualified as electoral democracies in</w:t>
      </w:r>
      <w:r w:rsidR="004330E3" w:rsidRPr="003C24FE">
        <w:rPr>
          <w:rFonts w:cstheme="minorHAnsi"/>
          <w:color w:val="000000"/>
          <w:lang w:val="en-GB"/>
        </w:rPr>
        <w:t xml:space="preserve"> 2007</w:t>
      </w:r>
      <w:r w:rsidRPr="003C24FE">
        <w:rPr>
          <w:rFonts w:cstheme="minorHAnsi"/>
          <w:color w:val="000000"/>
          <w:lang w:val="en-GB"/>
        </w:rPr>
        <w:t xml:space="preserve"> – </w:t>
      </w:r>
      <w:r w:rsidR="006925E8" w:rsidRPr="003C24FE">
        <w:rPr>
          <w:rFonts w:cstheme="minorHAnsi"/>
          <w:color w:val="000000"/>
          <w:lang w:val="en-GB"/>
        </w:rPr>
        <w:t>Turkey</w:t>
      </w:r>
      <w:r w:rsidRPr="003C24FE">
        <w:rPr>
          <w:rFonts w:cstheme="minorHAnsi"/>
          <w:color w:val="000000"/>
          <w:lang w:val="en-GB"/>
        </w:rPr>
        <w:t xml:space="preserve">, </w:t>
      </w:r>
      <w:r w:rsidR="004330E3" w:rsidRPr="003C24FE">
        <w:rPr>
          <w:rFonts w:cstheme="minorHAnsi"/>
          <w:color w:val="000000"/>
          <w:lang w:val="en-GB"/>
        </w:rPr>
        <w:t>Ukraine, Nicaragua, Serbia, Comoros, Honduras and Iraq</w:t>
      </w:r>
      <w:r w:rsidRPr="003C24FE">
        <w:rPr>
          <w:rFonts w:cstheme="minorHAnsi"/>
          <w:color w:val="000000"/>
          <w:lang w:val="en-GB"/>
        </w:rPr>
        <w:t xml:space="preserve">. Hence, these are countries that we can now, unfortunately, identify as instances of democratic breakdown. Yet, we should also note that there are </w:t>
      </w:r>
      <w:r w:rsidR="00541CC4" w:rsidRPr="003C24FE">
        <w:rPr>
          <w:rFonts w:cstheme="minorHAnsi"/>
          <w:color w:val="000000"/>
          <w:lang w:val="en-GB"/>
        </w:rPr>
        <w:t>five</w:t>
      </w:r>
      <w:r w:rsidRPr="003C24FE">
        <w:rPr>
          <w:rFonts w:cstheme="minorHAnsi"/>
          <w:color w:val="000000"/>
          <w:lang w:val="en-GB"/>
        </w:rPr>
        <w:t xml:space="preserve"> countries in this regime category with significant improvements in several areas, such as Myanmar, Zimbabwe, Fiji, and Gambia. However, on balance there are still many more countries with more negative changes than positive in this category of regimes. The trend of autocratization in the world seems to affect electoral autocracies considerably.</w:t>
      </w:r>
    </w:p>
    <w:p w14:paraId="626B702C" w14:textId="31E47860" w:rsidR="00304231" w:rsidRPr="003C24FE" w:rsidRDefault="00304231" w:rsidP="00166634">
      <w:pPr>
        <w:spacing w:before="100" w:beforeAutospacing="1" w:after="100" w:afterAutospacing="1" w:line="240" w:lineRule="auto"/>
        <w:ind w:left="-360"/>
        <w:rPr>
          <w:b/>
          <w:color w:val="333333"/>
          <w:lang w:val="en-GB"/>
        </w:rPr>
      </w:pPr>
    </w:p>
    <w:p w14:paraId="1212DBA4" w14:textId="77777777" w:rsidR="006C2D4F" w:rsidRPr="003C24FE" w:rsidRDefault="006C2D4F" w:rsidP="00166634">
      <w:pPr>
        <w:spacing w:before="100" w:beforeAutospacing="1" w:after="100" w:afterAutospacing="1" w:line="240" w:lineRule="auto"/>
        <w:ind w:left="-360"/>
        <w:rPr>
          <w:b/>
          <w:color w:val="333333"/>
          <w:lang w:val="en-GB"/>
        </w:rPr>
      </w:pPr>
    </w:p>
    <w:p w14:paraId="7880D9F2" w14:textId="15FB398A" w:rsidR="006C2D4F" w:rsidRPr="003C24FE" w:rsidRDefault="006C2D4F" w:rsidP="00166634">
      <w:pPr>
        <w:spacing w:before="100" w:beforeAutospacing="1" w:after="100" w:afterAutospacing="1" w:line="240" w:lineRule="auto"/>
        <w:ind w:left="-360"/>
        <w:rPr>
          <w:b/>
          <w:color w:val="333333"/>
          <w:lang w:val="en-GB"/>
        </w:rPr>
      </w:pPr>
    </w:p>
    <w:p w14:paraId="02362209" w14:textId="46DFB109" w:rsidR="006C2D4F" w:rsidRDefault="001B7E96" w:rsidP="00166634">
      <w:pPr>
        <w:spacing w:before="100" w:beforeAutospacing="1" w:after="100" w:afterAutospacing="1" w:line="240" w:lineRule="auto"/>
        <w:ind w:left="-360"/>
        <w:rPr>
          <w:b/>
          <w:color w:val="333333"/>
          <w:lang w:val="en-GB"/>
        </w:rPr>
      </w:pPr>
      <w:r w:rsidRPr="003C24FE">
        <w:rPr>
          <w:b/>
          <w:noProof/>
          <w:color w:val="333333"/>
          <w:lang w:val="en-GB"/>
        </w:rPr>
        <w:lastRenderedPageBreak/>
        <w:drawing>
          <wp:inline distT="0" distB="0" distL="0" distR="0" wp14:anchorId="0E9788CE" wp14:editId="60E0F3AB">
            <wp:extent cx="5943600" cy="742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b.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109601F5" w14:textId="77777777" w:rsidR="005E3503" w:rsidRPr="003C24FE" w:rsidRDefault="005E3503" w:rsidP="00166634">
      <w:pPr>
        <w:spacing w:line="240" w:lineRule="auto"/>
        <w:ind w:firstLine="450"/>
        <w:outlineLvl w:val="0"/>
        <w:rPr>
          <w:color w:val="000000"/>
          <w:lang w:val="en-GB"/>
        </w:rPr>
      </w:pPr>
      <w:r w:rsidRPr="003C24FE">
        <w:rPr>
          <w:rFonts w:cstheme="minorHAnsi"/>
          <w:color w:val="000000"/>
          <w:lang w:val="en-GB"/>
        </w:rPr>
        <w:t xml:space="preserve">Even in </w:t>
      </w:r>
      <w:r w:rsidRPr="003C24FE">
        <w:rPr>
          <w:rFonts w:cstheme="minorHAnsi"/>
          <w:i/>
          <w:color w:val="000000"/>
          <w:lang w:val="en-GB"/>
        </w:rPr>
        <w:t>closed autocracies</w:t>
      </w:r>
      <w:r w:rsidRPr="003C24FE">
        <w:rPr>
          <w:rFonts w:cstheme="minorHAnsi"/>
          <w:color w:val="000000"/>
          <w:lang w:val="en-GB"/>
        </w:rPr>
        <w:t xml:space="preserve">, some rulers seem to make an attempt at improving the outlook of (mainly legislative) elections, as indicated by the seven countries with positive significant changes on subcomponents related to elections. This further illustrates the current trends in the world. Even in countries with among the most authoritarian political systems, rulers try to improve their image by making the symbolic elections look a little more democratic. We also note that in Uzbekistan, freedom of expression and quality of deliberation have improved slightly - but remain at very low levels. Among the more </w:t>
      </w:r>
      <w:r w:rsidRPr="003C24FE">
        <w:rPr>
          <w:rFonts w:cstheme="minorHAnsi"/>
          <w:color w:val="000000"/>
          <w:lang w:val="en-GB"/>
        </w:rPr>
        <w:lastRenderedPageBreak/>
        <w:t>substantial changes, we note that in Yemen, Bahrain, and Thailand even the very limited freedom of expression and association is under attack, and the rule of law and quality of deliberation have also declined. However, in this regime category the numbers have to interpreted with care. The confidence intervals tend to be much narrower for countries in this regime category than for countries in the other categories. This is simply because the V-Dem country experts tend to have a high degree of agreement between them that the situation in closed autocracies score extremely low on most indicators. Thus, with tight confidence intervals around point estimates, even small changes become significant but are not always substantially noteworthy.</w:t>
      </w:r>
      <w:r w:rsidRPr="003C24FE">
        <w:rPr>
          <w:color w:val="000000"/>
          <w:lang w:val="en-GB"/>
        </w:rPr>
        <w:t xml:space="preserve"> </w:t>
      </w:r>
    </w:p>
    <w:p w14:paraId="48D536FB" w14:textId="77777777" w:rsidR="005E3503" w:rsidRDefault="005E3503" w:rsidP="00166634">
      <w:pPr>
        <w:spacing w:before="100" w:beforeAutospacing="1" w:after="100" w:afterAutospacing="1" w:line="240" w:lineRule="auto"/>
        <w:ind w:left="-360"/>
        <w:rPr>
          <w:b/>
          <w:color w:val="333333"/>
          <w:lang w:val="en-GB"/>
        </w:rPr>
      </w:pPr>
    </w:p>
    <w:p w14:paraId="36AB05E3" w14:textId="5A0DB2F9" w:rsidR="005E3503" w:rsidRDefault="005E3503" w:rsidP="00166634">
      <w:pPr>
        <w:spacing w:after="0" w:line="240" w:lineRule="auto"/>
        <w:rPr>
          <w:b/>
          <w:color w:val="333333"/>
          <w:lang w:val="en-GB"/>
        </w:rPr>
      </w:pPr>
      <w:r>
        <w:rPr>
          <w:b/>
          <w:color w:val="333333"/>
          <w:lang w:val="en-GB"/>
        </w:rPr>
        <w:br w:type="page"/>
      </w:r>
    </w:p>
    <w:p w14:paraId="7928BA08" w14:textId="04CF6110" w:rsidR="005E3503" w:rsidRDefault="005E3503" w:rsidP="00166634">
      <w:pPr>
        <w:spacing w:line="240" w:lineRule="auto"/>
        <w:outlineLvl w:val="0"/>
        <w:rPr>
          <w:rFonts w:cstheme="minorHAnsi"/>
          <w:b/>
          <w:lang w:val="en-GB"/>
        </w:rPr>
      </w:pPr>
      <w:r>
        <w:rPr>
          <w:rFonts w:cstheme="minorHAnsi"/>
          <w:b/>
          <w:lang w:val="en-GB"/>
        </w:rPr>
        <w:lastRenderedPageBreak/>
        <w:t>APPENDIX C.</w:t>
      </w:r>
    </w:p>
    <w:p w14:paraId="2A75D093" w14:textId="23EA5538" w:rsidR="005E3503" w:rsidRPr="005E3503" w:rsidRDefault="005E3503" w:rsidP="00166634">
      <w:pPr>
        <w:spacing w:line="240" w:lineRule="auto"/>
        <w:outlineLvl w:val="0"/>
        <w:rPr>
          <w:rFonts w:cstheme="minorHAnsi"/>
          <w:b/>
          <w:lang w:val="en-GB"/>
        </w:rPr>
      </w:pPr>
      <w:r>
        <w:rPr>
          <w:rFonts w:cstheme="minorHAnsi"/>
          <w:b/>
          <w:lang w:val="en-GB"/>
        </w:rPr>
        <w:t>A More Detailed Analysis of Inclusion</w:t>
      </w:r>
    </w:p>
    <w:p w14:paraId="195B56A2" w14:textId="1B546AFE" w:rsidR="005E3503" w:rsidRDefault="005E3503" w:rsidP="00166634">
      <w:pPr>
        <w:spacing w:line="240" w:lineRule="auto"/>
        <w:rPr>
          <w:lang w:val="en-GB"/>
        </w:rPr>
      </w:pPr>
      <w:r w:rsidRPr="00AF7E14">
        <w:rPr>
          <w:lang w:val="en-GB"/>
        </w:rPr>
        <w:t xml:space="preserve">Figure </w:t>
      </w:r>
      <w:r>
        <w:rPr>
          <w:lang w:val="en-GB"/>
        </w:rPr>
        <w:t>C1</w:t>
      </w:r>
      <w:r w:rsidRPr="00AF7E14">
        <w:rPr>
          <w:lang w:val="en-GB"/>
        </w:rPr>
        <w:t xml:space="preserve"> displays the number of countries that have improved or declined significantly over the last ten years for range of inclusion-related indicators. Those depicted above the diagonal line reflect net improvement: more countries that have improved than have declined, while the reverse is true for the indicators below the diagonal line. In terms of gender inclusion, all but one indicator – freedom of discussion for women – have seen net improvements.  By contrast, all indicators concerning inclusion of lower income groups register net declines. This corroborates the analysis above that while gender inclusion is in some ways advancing, socio-economic inequality remains a major basis of political exclusion. The findings about changes in power distribution by social group are mixed.</w:t>
      </w:r>
    </w:p>
    <w:p w14:paraId="7D79D89D" w14:textId="51EFB761" w:rsidR="00166634" w:rsidRPr="00166634" w:rsidRDefault="00166634" w:rsidP="00721E5B">
      <w:pPr>
        <w:pStyle w:val="FigureTitle"/>
        <w:spacing w:before="0" w:after="240" w:line="240" w:lineRule="auto"/>
        <w:rPr>
          <w:sz w:val="21"/>
          <w:lang w:val="en-GB"/>
        </w:rPr>
      </w:pPr>
      <w:r w:rsidRPr="00166634">
        <w:rPr>
          <w:sz w:val="21"/>
          <w:lang w:val="en-GB"/>
        </w:rPr>
        <w:t xml:space="preserve">Figure C1.  By Indicator of Political Inclusion: Number of Countries with Significant Changes, 2007-2017 </w:t>
      </w:r>
    </w:p>
    <w:p w14:paraId="10993FD5" w14:textId="64E40A4C" w:rsidR="005E3503" w:rsidRDefault="005E3503" w:rsidP="00166634">
      <w:pPr>
        <w:spacing w:line="240" w:lineRule="auto"/>
        <w:rPr>
          <w:lang w:val="en-GB"/>
        </w:rPr>
      </w:pPr>
      <w:r>
        <w:rPr>
          <w:noProof/>
          <w:lang w:val="en-GB"/>
        </w:rPr>
        <w:drawing>
          <wp:inline distT="0" distB="0" distL="0" distR="0" wp14:anchorId="1B6BE226" wp14:editId="10EE2BA9">
            <wp:extent cx="3789494" cy="4977384"/>
            <wp:effectExtent l="2858"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C1new.pdf"/>
                    <pic:cNvPicPr/>
                  </pic:nvPicPr>
                  <pic:blipFill rotWithShape="1">
                    <a:blip r:embed="rId11">
                      <a:extLst>
                        <a:ext uri="{28A0092B-C50C-407E-A947-70E740481C1C}">
                          <a14:useLocalDpi xmlns:a14="http://schemas.microsoft.com/office/drawing/2010/main" val="0"/>
                        </a:ext>
                      </a:extLst>
                    </a:blip>
                    <a:srcRect l="5546" t="15234" r="3126"/>
                    <a:stretch/>
                  </pic:blipFill>
                  <pic:spPr bwMode="auto">
                    <a:xfrm rot="16200000">
                      <a:off x="0" y="0"/>
                      <a:ext cx="3791096" cy="4979488"/>
                    </a:xfrm>
                    <a:prstGeom prst="rect">
                      <a:avLst/>
                    </a:prstGeom>
                    <a:ln>
                      <a:noFill/>
                    </a:ln>
                    <a:extLst>
                      <a:ext uri="{53640926-AAD7-44D8-BBD7-CCE9431645EC}">
                        <a14:shadowObscured xmlns:a14="http://schemas.microsoft.com/office/drawing/2010/main"/>
                      </a:ext>
                    </a:extLst>
                  </pic:spPr>
                </pic:pic>
              </a:graphicData>
            </a:graphic>
          </wp:inline>
        </w:drawing>
      </w:r>
    </w:p>
    <w:p w14:paraId="745AF3CE" w14:textId="77777777" w:rsidR="00166634" w:rsidRPr="00161CDD" w:rsidRDefault="00166634" w:rsidP="00161CDD">
      <w:pPr>
        <w:pStyle w:val="FigureTitle"/>
        <w:spacing w:before="0" w:after="240" w:line="240" w:lineRule="auto"/>
        <w:ind w:left="284"/>
        <w:rPr>
          <w:b w:val="0"/>
          <w:sz w:val="20"/>
          <w:lang w:val="en-US"/>
        </w:rPr>
      </w:pPr>
      <w:r w:rsidRPr="00161CDD">
        <w:rPr>
          <w:b w:val="0"/>
          <w:i/>
          <w:sz w:val="20"/>
          <w:lang w:val="en-US"/>
        </w:rPr>
        <w:t>Note</w:t>
      </w:r>
      <w:r w:rsidRPr="00161CDD">
        <w:rPr>
          <w:b w:val="0"/>
          <w:sz w:val="20"/>
          <w:lang w:val="en-US"/>
        </w:rPr>
        <w:t xml:space="preserve">: We consider changes as significant when they fall outside of the confidence intervals reported in the V-Dem data set.  </w:t>
      </w:r>
    </w:p>
    <w:p w14:paraId="60174E6E" w14:textId="77777777" w:rsidR="005E3503" w:rsidRDefault="005E3503" w:rsidP="00166634">
      <w:pPr>
        <w:spacing w:line="240" w:lineRule="auto"/>
        <w:rPr>
          <w:lang w:val="en-GB"/>
        </w:rPr>
      </w:pPr>
      <w:r w:rsidRPr="00AF7E14">
        <w:rPr>
          <w:lang w:val="en-GB"/>
        </w:rPr>
        <w:t xml:space="preserve">Only six countries improved on equality in the political distribution of power by socio-economic status between 2007 and 2017, while 14 countries declined significantly. The countries with the largest backsliding on this measure are Burundi, Mauritania, Iraq, Yemen, and Panama. The ability to participate in political activities (such as voting and engaging in political parties) has declined significantly along with unequal access to healthcare and to education in 16 and 15 countries respectively, while improving in only five (health) and four (education). Healthcare equality declined the most in Venezuela, likely as a result of deep economic crisis. In terms of educational equality, several post-communist countries experienced significant declines over the last ten years – Ukraine, Romania, Bulgaria, and </w:t>
      </w:r>
      <w:r w:rsidRPr="00AF7E14">
        <w:rPr>
          <w:lang w:val="en-GB"/>
        </w:rPr>
        <w:lastRenderedPageBreak/>
        <w:t xml:space="preserve">Armenia. Countries in current or recent conflict have also registered substantive declines – Syria, Afghanistan, and Central African Republic. </w:t>
      </w:r>
    </w:p>
    <w:p w14:paraId="1FB94725" w14:textId="65D5C1C8" w:rsidR="005E3503" w:rsidRDefault="005E3503" w:rsidP="00166634">
      <w:pPr>
        <w:spacing w:after="0" w:line="240" w:lineRule="auto"/>
        <w:rPr>
          <w:lang w:val="en-GB"/>
        </w:rPr>
      </w:pPr>
      <w:r>
        <w:rPr>
          <w:lang w:val="en-GB"/>
        </w:rPr>
        <w:br w:type="page"/>
      </w:r>
    </w:p>
    <w:p w14:paraId="0AEB6999" w14:textId="043EB713" w:rsidR="005E3503" w:rsidRDefault="005E3503" w:rsidP="00166634">
      <w:pPr>
        <w:spacing w:line="240" w:lineRule="auto"/>
        <w:rPr>
          <w:lang w:val="en-GB"/>
        </w:rPr>
      </w:pPr>
      <w:r>
        <w:rPr>
          <w:b/>
          <w:lang w:val="en-GB"/>
        </w:rPr>
        <w:lastRenderedPageBreak/>
        <w:t>APPENDIX D.</w:t>
      </w:r>
    </w:p>
    <w:p w14:paraId="19B5DFEE" w14:textId="7EAE53C7" w:rsidR="00F5493A" w:rsidRPr="00F5493A" w:rsidRDefault="00F5493A" w:rsidP="00166634">
      <w:pPr>
        <w:spacing w:line="240" w:lineRule="auto"/>
        <w:rPr>
          <w:b/>
          <w:sz w:val="22"/>
          <w:lang w:val="en-GB"/>
        </w:rPr>
      </w:pPr>
      <w:r w:rsidRPr="00F5493A">
        <w:rPr>
          <w:b/>
          <w:sz w:val="22"/>
          <w:lang w:val="en-GB"/>
        </w:rPr>
        <w:t>Figure D1. The Inclusion Gap</w:t>
      </w:r>
      <w:r w:rsidR="00C5614D">
        <w:rPr>
          <w:b/>
          <w:sz w:val="22"/>
          <w:lang w:val="en-GB"/>
        </w:rPr>
        <w:t xml:space="preserve"> for Power Distribution by Social Group</w:t>
      </w:r>
      <w:r w:rsidRPr="00F5493A">
        <w:rPr>
          <w:b/>
          <w:sz w:val="22"/>
          <w:lang w:val="en-GB"/>
        </w:rPr>
        <w:t xml:space="preserve"> by Regime Category, 2017 </w:t>
      </w:r>
    </w:p>
    <w:p w14:paraId="21EB0B45" w14:textId="78E781E6" w:rsidR="005E3503" w:rsidRDefault="00721E5B" w:rsidP="00166634">
      <w:pPr>
        <w:spacing w:line="240" w:lineRule="auto"/>
        <w:rPr>
          <w:lang w:val="en-GB"/>
        </w:rPr>
      </w:pPr>
      <w:r>
        <w:rPr>
          <w:noProof/>
          <w:lang w:val="en-GB"/>
        </w:rPr>
        <w:drawing>
          <wp:inline distT="0" distB="0" distL="0" distR="0" wp14:anchorId="646F4804" wp14:editId="75D10871">
            <wp:extent cx="4807258" cy="5439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_Fig_1.pdf"/>
                    <pic:cNvPicPr/>
                  </pic:nvPicPr>
                  <pic:blipFill rotWithShape="1">
                    <a:blip r:embed="rId12">
                      <a:extLst>
                        <a:ext uri="{28A0092B-C50C-407E-A947-70E740481C1C}">
                          <a14:useLocalDpi xmlns:a14="http://schemas.microsoft.com/office/drawing/2010/main" val="0"/>
                        </a:ext>
                      </a:extLst>
                    </a:blip>
                    <a:srcRect t="9815" b="10233"/>
                    <a:stretch/>
                  </pic:blipFill>
                  <pic:spPr bwMode="auto">
                    <a:xfrm rot="16200000">
                      <a:off x="0" y="0"/>
                      <a:ext cx="4814906" cy="5447910"/>
                    </a:xfrm>
                    <a:prstGeom prst="rect">
                      <a:avLst/>
                    </a:prstGeom>
                    <a:ln>
                      <a:noFill/>
                    </a:ln>
                    <a:extLst>
                      <a:ext uri="{53640926-AAD7-44D8-BBD7-CCE9431645EC}">
                        <a14:shadowObscured xmlns:a14="http://schemas.microsoft.com/office/drawing/2010/main"/>
                      </a:ext>
                    </a:extLst>
                  </pic:spPr>
                </pic:pic>
              </a:graphicData>
            </a:graphic>
          </wp:inline>
        </w:drawing>
      </w:r>
    </w:p>
    <w:p w14:paraId="659DC60C" w14:textId="1C478462" w:rsidR="00166634" w:rsidRPr="00166634" w:rsidRDefault="00166634" w:rsidP="00166634">
      <w:pPr>
        <w:pStyle w:val="FigureTitle"/>
        <w:spacing w:before="0" w:after="240" w:line="240" w:lineRule="auto"/>
        <w:rPr>
          <w:rFonts w:cstheme="minorHAnsi"/>
          <w:b w:val="0"/>
          <w:sz w:val="20"/>
          <w:lang w:val="en-GB"/>
        </w:rPr>
      </w:pPr>
      <w:r w:rsidRPr="00166634">
        <w:rPr>
          <w:rFonts w:cstheme="minorHAnsi"/>
          <w:b w:val="0"/>
          <w:i/>
          <w:sz w:val="20"/>
          <w:lang w:val="en-GB"/>
        </w:rPr>
        <w:t>Note:</w:t>
      </w:r>
      <w:r w:rsidRPr="00166634">
        <w:rPr>
          <w:rFonts w:cstheme="minorHAnsi"/>
          <w:b w:val="0"/>
          <w:sz w:val="20"/>
          <w:lang w:val="en-GB"/>
        </w:rPr>
        <w:t xml:space="preserve"> Country names with labels are either over- or under</w:t>
      </w:r>
      <w:r w:rsidR="00F01AD8">
        <w:rPr>
          <w:rFonts w:cstheme="minorHAnsi"/>
          <w:b w:val="0"/>
          <w:sz w:val="20"/>
          <w:lang w:val="en-GB"/>
        </w:rPr>
        <w:t>-</w:t>
      </w:r>
      <w:r w:rsidRPr="00166634">
        <w:rPr>
          <w:rFonts w:cstheme="minorHAnsi"/>
          <w:b w:val="0"/>
          <w:sz w:val="20"/>
          <w:lang w:val="en-GB"/>
        </w:rPr>
        <w:t>performers in terms of inclusion (highest and lowest quintile per regime category). High scores correspond to more or less equal distribution of power, while the lowest scores indicate a monopoly of power.</w:t>
      </w:r>
      <w:r w:rsidR="00BF7E85" w:rsidRPr="00AF7E14">
        <w:rPr>
          <w:rFonts w:cstheme="minorHAnsi"/>
          <w:b w:val="0"/>
          <w:sz w:val="21"/>
          <w:lang w:val="en-GB"/>
        </w:rPr>
        <w:t xml:space="preserve">  </w:t>
      </w:r>
    </w:p>
    <w:p w14:paraId="51312679" w14:textId="00D0F1A2" w:rsidR="00C5614D" w:rsidRDefault="00C5614D">
      <w:pPr>
        <w:spacing w:after="0" w:line="240" w:lineRule="auto"/>
        <w:rPr>
          <w:lang w:val="en-GB"/>
        </w:rPr>
      </w:pPr>
      <w:r>
        <w:rPr>
          <w:lang w:val="en-GB"/>
        </w:rPr>
        <w:br w:type="page"/>
      </w:r>
    </w:p>
    <w:p w14:paraId="5F1C628A" w14:textId="35290449" w:rsidR="00C5614D" w:rsidRPr="00F5493A" w:rsidRDefault="00C5614D" w:rsidP="00C5614D">
      <w:pPr>
        <w:spacing w:line="240" w:lineRule="auto"/>
        <w:rPr>
          <w:b/>
          <w:sz w:val="22"/>
          <w:lang w:val="en-GB"/>
        </w:rPr>
      </w:pPr>
      <w:r w:rsidRPr="00F5493A">
        <w:rPr>
          <w:b/>
          <w:sz w:val="22"/>
          <w:lang w:val="en-GB"/>
        </w:rPr>
        <w:lastRenderedPageBreak/>
        <w:t>Figure D1. The Inclusion Gap</w:t>
      </w:r>
      <w:r>
        <w:rPr>
          <w:b/>
          <w:sz w:val="22"/>
          <w:lang w:val="en-GB"/>
        </w:rPr>
        <w:t xml:space="preserve"> for Power Distribution by Gender</w:t>
      </w:r>
      <w:r w:rsidRPr="00F5493A">
        <w:rPr>
          <w:b/>
          <w:sz w:val="22"/>
          <w:lang w:val="en-GB"/>
        </w:rPr>
        <w:t xml:space="preserve"> by Regime Category, 2017 </w:t>
      </w:r>
    </w:p>
    <w:p w14:paraId="7F7CE755" w14:textId="77777777" w:rsidR="00C5614D" w:rsidRDefault="00C5614D" w:rsidP="00C5614D">
      <w:pPr>
        <w:pStyle w:val="FigureTitle"/>
        <w:spacing w:before="0" w:after="240" w:line="240" w:lineRule="auto"/>
        <w:rPr>
          <w:rFonts w:cstheme="minorHAnsi"/>
          <w:b w:val="0"/>
          <w:i/>
          <w:sz w:val="20"/>
          <w:lang w:val="en-GB"/>
        </w:rPr>
      </w:pPr>
      <w:r>
        <w:rPr>
          <w:noProof/>
          <w:lang w:val="en-GB"/>
        </w:rPr>
        <w:drawing>
          <wp:inline distT="0" distB="0" distL="0" distR="0" wp14:anchorId="6F1F8A77" wp14:editId="78A76F9F">
            <wp:extent cx="4787526" cy="5492823"/>
            <wp:effectExtent l="0" t="0" r="0" b="349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_Fig_2.pdf"/>
                    <pic:cNvPicPr/>
                  </pic:nvPicPr>
                  <pic:blipFill rotWithShape="1">
                    <a:blip r:embed="rId13">
                      <a:extLst>
                        <a:ext uri="{28A0092B-C50C-407E-A947-70E740481C1C}">
                          <a14:useLocalDpi xmlns:a14="http://schemas.microsoft.com/office/drawing/2010/main" val="0"/>
                        </a:ext>
                      </a:extLst>
                    </a:blip>
                    <a:srcRect t="9654" b="9271"/>
                    <a:stretch/>
                  </pic:blipFill>
                  <pic:spPr bwMode="auto">
                    <a:xfrm rot="16200000">
                      <a:off x="0" y="0"/>
                      <a:ext cx="4795105" cy="5501519"/>
                    </a:xfrm>
                    <a:prstGeom prst="rect">
                      <a:avLst/>
                    </a:prstGeom>
                    <a:ln>
                      <a:noFill/>
                    </a:ln>
                    <a:extLst>
                      <a:ext uri="{53640926-AAD7-44D8-BBD7-CCE9431645EC}">
                        <a14:shadowObscured xmlns:a14="http://schemas.microsoft.com/office/drawing/2010/main"/>
                      </a:ext>
                    </a:extLst>
                  </pic:spPr>
                </pic:pic>
              </a:graphicData>
            </a:graphic>
          </wp:inline>
        </w:drawing>
      </w:r>
      <w:r w:rsidRPr="00C5614D">
        <w:rPr>
          <w:rFonts w:cstheme="minorHAnsi"/>
          <w:b w:val="0"/>
          <w:i/>
          <w:sz w:val="20"/>
          <w:lang w:val="en-GB"/>
        </w:rPr>
        <w:t xml:space="preserve"> </w:t>
      </w:r>
    </w:p>
    <w:p w14:paraId="30A63A7F" w14:textId="30D723A2" w:rsidR="00C5614D" w:rsidRPr="00166634" w:rsidRDefault="00C5614D" w:rsidP="00C5614D">
      <w:pPr>
        <w:pStyle w:val="FigureTitle"/>
        <w:spacing w:before="0" w:after="240" w:line="240" w:lineRule="auto"/>
        <w:rPr>
          <w:rFonts w:cstheme="minorHAnsi"/>
          <w:b w:val="0"/>
          <w:sz w:val="20"/>
          <w:lang w:val="en-GB"/>
        </w:rPr>
      </w:pPr>
      <w:r w:rsidRPr="00166634">
        <w:rPr>
          <w:rFonts w:cstheme="minorHAnsi"/>
          <w:b w:val="0"/>
          <w:i/>
          <w:sz w:val="20"/>
          <w:lang w:val="en-GB"/>
        </w:rPr>
        <w:t>Note:</w:t>
      </w:r>
      <w:r w:rsidRPr="00166634">
        <w:rPr>
          <w:rFonts w:cstheme="minorHAnsi"/>
          <w:b w:val="0"/>
          <w:sz w:val="20"/>
          <w:lang w:val="en-GB"/>
        </w:rPr>
        <w:t xml:space="preserve"> Country names with labels are either over- or under</w:t>
      </w:r>
      <w:r>
        <w:rPr>
          <w:rFonts w:cstheme="minorHAnsi"/>
          <w:b w:val="0"/>
          <w:sz w:val="20"/>
          <w:lang w:val="en-GB"/>
        </w:rPr>
        <w:t>-</w:t>
      </w:r>
      <w:r w:rsidRPr="00166634">
        <w:rPr>
          <w:rFonts w:cstheme="minorHAnsi"/>
          <w:b w:val="0"/>
          <w:sz w:val="20"/>
          <w:lang w:val="en-GB"/>
        </w:rPr>
        <w:t>performers in terms of inclusion (highest and lowest quintile per regime category). High scores correspond to more or less equal distribution of power, while the lowest scores indicate a monopoly of power.</w:t>
      </w:r>
      <w:r w:rsidR="00FA2DAE">
        <w:rPr>
          <w:rFonts w:cstheme="minorHAnsi"/>
          <w:b w:val="0"/>
          <w:sz w:val="20"/>
          <w:lang w:val="en-GB"/>
        </w:rPr>
        <w:t xml:space="preserve"> </w:t>
      </w:r>
      <w:r w:rsidR="00FA2DAE" w:rsidRPr="00FA2DAE">
        <w:rPr>
          <w:rFonts w:cstheme="minorHAnsi"/>
          <w:b w:val="0"/>
          <w:sz w:val="20"/>
          <w:lang w:val="en-GB"/>
        </w:rPr>
        <w:t xml:space="preserve">To enhance legibility of the graph, we have not labelled </w:t>
      </w:r>
      <w:r w:rsidR="00FA2DAE">
        <w:rPr>
          <w:rFonts w:cstheme="minorHAnsi"/>
          <w:b w:val="0"/>
          <w:sz w:val="20"/>
          <w:lang w:val="en-GB"/>
        </w:rPr>
        <w:t>two</w:t>
      </w:r>
      <w:r w:rsidR="00FA2DAE" w:rsidRPr="00FA2DAE">
        <w:rPr>
          <w:rFonts w:cstheme="minorHAnsi"/>
          <w:b w:val="0"/>
          <w:sz w:val="20"/>
          <w:lang w:val="en-GB"/>
        </w:rPr>
        <w:t xml:space="preserve"> smaller polities. </w:t>
      </w:r>
      <w:r w:rsidRPr="00AF7E14">
        <w:rPr>
          <w:rFonts w:cstheme="minorHAnsi"/>
          <w:b w:val="0"/>
          <w:sz w:val="21"/>
          <w:lang w:val="en-GB"/>
        </w:rPr>
        <w:t xml:space="preserve">  </w:t>
      </w:r>
    </w:p>
    <w:p w14:paraId="6AD27C89" w14:textId="1B0A244E" w:rsidR="00166634" w:rsidRPr="00AF7E14" w:rsidRDefault="00166634" w:rsidP="00166634">
      <w:pPr>
        <w:spacing w:line="240" w:lineRule="auto"/>
        <w:rPr>
          <w:lang w:val="en-GB"/>
        </w:rPr>
      </w:pPr>
    </w:p>
    <w:sectPr w:rsidR="00166634" w:rsidRPr="00AF7E14" w:rsidSect="00721E5B">
      <w:footerReference w:type="even" r:id="rId14"/>
      <w:footerReference w:type="default" r:id="rId15"/>
      <w:pgSz w:w="11901"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665A7" w14:textId="77777777" w:rsidR="001E03B6" w:rsidRDefault="001E03B6" w:rsidP="00E3579C">
      <w:r>
        <w:separator/>
      </w:r>
    </w:p>
  </w:endnote>
  <w:endnote w:type="continuationSeparator" w:id="0">
    <w:p w14:paraId="2B51F088" w14:textId="77777777" w:rsidR="001E03B6" w:rsidRDefault="001E03B6" w:rsidP="00E35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8479508"/>
      <w:docPartObj>
        <w:docPartGallery w:val="Page Numbers (Bottom of Page)"/>
        <w:docPartUnique/>
      </w:docPartObj>
    </w:sdtPr>
    <w:sdtEndPr>
      <w:rPr>
        <w:rStyle w:val="PageNumber"/>
      </w:rPr>
    </w:sdtEndPr>
    <w:sdtContent>
      <w:p w14:paraId="0CB4D847" w14:textId="1260F42B" w:rsidR="003009C7" w:rsidRDefault="003009C7" w:rsidP="00FE21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F8E6A3" w14:textId="77777777" w:rsidR="003009C7" w:rsidRDefault="003009C7" w:rsidP="004B6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7459652"/>
      <w:docPartObj>
        <w:docPartGallery w:val="Page Numbers (Bottom of Page)"/>
        <w:docPartUnique/>
      </w:docPartObj>
    </w:sdtPr>
    <w:sdtEndPr>
      <w:rPr>
        <w:rStyle w:val="PageNumber"/>
      </w:rPr>
    </w:sdtEndPr>
    <w:sdtContent>
      <w:p w14:paraId="19F8327A" w14:textId="0FB57735" w:rsidR="003009C7" w:rsidRDefault="003009C7" w:rsidP="00FE21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F34A2">
          <w:rPr>
            <w:rStyle w:val="PageNumber"/>
            <w:noProof/>
          </w:rPr>
          <w:t>1</w:t>
        </w:r>
        <w:r>
          <w:rPr>
            <w:rStyle w:val="PageNumber"/>
          </w:rPr>
          <w:fldChar w:fldCharType="end"/>
        </w:r>
      </w:p>
    </w:sdtContent>
  </w:sdt>
  <w:p w14:paraId="49B40387" w14:textId="77777777" w:rsidR="003009C7" w:rsidRDefault="003009C7" w:rsidP="004B67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AA949" w14:textId="77777777" w:rsidR="001E03B6" w:rsidRDefault="001E03B6" w:rsidP="00E3579C">
      <w:r>
        <w:separator/>
      </w:r>
    </w:p>
  </w:footnote>
  <w:footnote w:type="continuationSeparator" w:id="0">
    <w:p w14:paraId="4B65DCD2" w14:textId="77777777" w:rsidR="001E03B6" w:rsidRDefault="001E03B6" w:rsidP="00E3579C">
      <w:r>
        <w:continuationSeparator/>
      </w:r>
    </w:p>
  </w:footnote>
  <w:footnote w:id="1">
    <w:p w14:paraId="624514E6" w14:textId="6879C516" w:rsidR="00E1604E" w:rsidRPr="00406113" w:rsidRDefault="00E1604E" w:rsidP="00E1604E">
      <w:pPr>
        <w:pStyle w:val="FootnoteText"/>
        <w:rPr>
          <w:lang w:val="en-US"/>
        </w:rPr>
      </w:pPr>
      <w:r w:rsidRPr="00406113">
        <w:rPr>
          <w:rStyle w:val="FootnoteReference"/>
          <w:lang w:val="en-US"/>
        </w:rPr>
        <w:footnoteRef/>
      </w:r>
      <w:r w:rsidRPr="00406113">
        <w:rPr>
          <w:lang w:val="en-US"/>
        </w:rPr>
        <w:t xml:space="preserve"> The picture is only slightly different when looking at the regime categories based on countries</w:t>
      </w:r>
      <w:r w:rsidR="001F34A2">
        <w:rPr>
          <w:lang w:val="en-US"/>
        </w:rPr>
        <w:t>’</w:t>
      </w:r>
      <w:r w:rsidRPr="00406113">
        <w:rPr>
          <w:lang w:val="en-US"/>
        </w:rPr>
        <w:t xml:space="preserve"> status in 2007: one third of countries that qualified as liberal democracy in 2007 experienced significant changes by 2017</w:t>
      </w:r>
      <w:r w:rsidR="001F34A2">
        <w:rPr>
          <w:lang w:val="en-US"/>
        </w:rPr>
        <w:t>,</w:t>
      </w:r>
      <w:r w:rsidRPr="00406113">
        <w:rPr>
          <w:lang w:val="en-US"/>
        </w:rPr>
        <w:t xml:space="preserve"> compared to 58 percent of electoral democracies, 64 percent of electoral autocracies and 71 percent of closed autocracies.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40F79"/>
    <w:multiLevelType w:val="hybridMultilevel"/>
    <w:tmpl w:val="7648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C40D8C"/>
    <w:multiLevelType w:val="multilevel"/>
    <w:tmpl w:val="EF30A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E73BA1"/>
    <w:multiLevelType w:val="hybridMultilevel"/>
    <w:tmpl w:val="91640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F467FDB"/>
    <w:multiLevelType w:val="hybridMultilevel"/>
    <w:tmpl w:val="75748264"/>
    <w:lvl w:ilvl="0" w:tplc="B074F2C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C68FB"/>
    <w:multiLevelType w:val="hybridMultilevel"/>
    <w:tmpl w:val="0402063C"/>
    <w:lvl w:ilvl="0" w:tplc="83F0E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230857"/>
    <w:multiLevelType w:val="hybridMultilevel"/>
    <w:tmpl w:val="9CFA962A"/>
    <w:lvl w:ilvl="0" w:tplc="6302C1FC">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1603F2"/>
    <w:multiLevelType w:val="hybridMultilevel"/>
    <w:tmpl w:val="334C3520"/>
    <w:lvl w:ilvl="0" w:tplc="C0DC39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F3FAE"/>
    <w:multiLevelType w:val="hybridMultilevel"/>
    <w:tmpl w:val="C8F88F9A"/>
    <w:lvl w:ilvl="0" w:tplc="3A2AD4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4164DB"/>
    <w:multiLevelType w:val="multilevel"/>
    <w:tmpl w:val="E6365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2B4971"/>
    <w:multiLevelType w:val="hybridMultilevel"/>
    <w:tmpl w:val="541071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9"/>
  </w:num>
  <w:num w:numId="5">
    <w:abstractNumId w:val="2"/>
  </w:num>
  <w:num w:numId="6">
    <w:abstractNumId w:val="4"/>
  </w:num>
  <w:num w:numId="7">
    <w:abstractNumId w:val="6"/>
  </w:num>
  <w:num w:numId="8">
    <w:abstractNumId w:val="1"/>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330"/>
    <w:rsid w:val="00007AE9"/>
    <w:rsid w:val="0001078E"/>
    <w:rsid w:val="00023D2F"/>
    <w:rsid w:val="0002469D"/>
    <w:rsid w:val="00031388"/>
    <w:rsid w:val="00032DB2"/>
    <w:rsid w:val="00036818"/>
    <w:rsid w:val="00037497"/>
    <w:rsid w:val="00037CD9"/>
    <w:rsid w:val="00042AE9"/>
    <w:rsid w:val="00051B70"/>
    <w:rsid w:val="000652D6"/>
    <w:rsid w:val="00065919"/>
    <w:rsid w:val="00067652"/>
    <w:rsid w:val="00067828"/>
    <w:rsid w:val="000702DD"/>
    <w:rsid w:val="00070B22"/>
    <w:rsid w:val="00075CA3"/>
    <w:rsid w:val="00081168"/>
    <w:rsid w:val="00084202"/>
    <w:rsid w:val="0008547F"/>
    <w:rsid w:val="00086CBE"/>
    <w:rsid w:val="00095CC3"/>
    <w:rsid w:val="00097984"/>
    <w:rsid w:val="000A1484"/>
    <w:rsid w:val="000A4370"/>
    <w:rsid w:val="000A5C67"/>
    <w:rsid w:val="000B331D"/>
    <w:rsid w:val="000B42F4"/>
    <w:rsid w:val="000C3969"/>
    <w:rsid w:val="000C40F3"/>
    <w:rsid w:val="000C6894"/>
    <w:rsid w:val="000D5365"/>
    <w:rsid w:val="000D5D5F"/>
    <w:rsid w:val="000D7E35"/>
    <w:rsid w:val="000E0043"/>
    <w:rsid w:val="000E4B6E"/>
    <w:rsid w:val="000E5137"/>
    <w:rsid w:val="000E6B29"/>
    <w:rsid w:val="000F3C91"/>
    <w:rsid w:val="000F579D"/>
    <w:rsid w:val="000F7C15"/>
    <w:rsid w:val="00101E99"/>
    <w:rsid w:val="001025C1"/>
    <w:rsid w:val="00104413"/>
    <w:rsid w:val="0011428A"/>
    <w:rsid w:val="00114BCB"/>
    <w:rsid w:val="001173E8"/>
    <w:rsid w:val="00121B63"/>
    <w:rsid w:val="0012365E"/>
    <w:rsid w:val="00125751"/>
    <w:rsid w:val="00135824"/>
    <w:rsid w:val="001369C9"/>
    <w:rsid w:val="001413E0"/>
    <w:rsid w:val="00142355"/>
    <w:rsid w:val="0015102B"/>
    <w:rsid w:val="00156B49"/>
    <w:rsid w:val="00161CDD"/>
    <w:rsid w:val="00162992"/>
    <w:rsid w:val="00164CD0"/>
    <w:rsid w:val="00166634"/>
    <w:rsid w:val="00174051"/>
    <w:rsid w:val="001749E4"/>
    <w:rsid w:val="00181707"/>
    <w:rsid w:val="00190D11"/>
    <w:rsid w:val="001929B7"/>
    <w:rsid w:val="00196B4E"/>
    <w:rsid w:val="001A593F"/>
    <w:rsid w:val="001B28CB"/>
    <w:rsid w:val="001B4221"/>
    <w:rsid w:val="001B44DC"/>
    <w:rsid w:val="001B6FAD"/>
    <w:rsid w:val="001B7E96"/>
    <w:rsid w:val="001C12C9"/>
    <w:rsid w:val="001C4EB4"/>
    <w:rsid w:val="001C5639"/>
    <w:rsid w:val="001C7708"/>
    <w:rsid w:val="001D2894"/>
    <w:rsid w:val="001D3F31"/>
    <w:rsid w:val="001D4073"/>
    <w:rsid w:val="001D42DF"/>
    <w:rsid w:val="001D5226"/>
    <w:rsid w:val="001D5C67"/>
    <w:rsid w:val="001D78D4"/>
    <w:rsid w:val="001D7E22"/>
    <w:rsid w:val="001D7F8D"/>
    <w:rsid w:val="001E03B6"/>
    <w:rsid w:val="001E2C32"/>
    <w:rsid w:val="001E52BC"/>
    <w:rsid w:val="001F2C52"/>
    <w:rsid w:val="001F2F75"/>
    <w:rsid w:val="001F34A2"/>
    <w:rsid w:val="001F4499"/>
    <w:rsid w:val="00216AA3"/>
    <w:rsid w:val="00221791"/>
    <w:rsid w:val="00222074"/>
    <w:rsid w:val="002229FD"/>
    <w:rsid w:val="00225CCC"/>
    <w:rsid w:val="00231F43"/>
    <w:rsid w:val="00232A4A"/>
    <w:rsid w:val="00254C2B"/>
    <w:rsid w:val="00255A72"/>
    <w:rsid w:val="00263CC5"/>
    <w:rsid w:val="002701FB"/>
    <w:rsid w:val="002934C3"/>
    <w:rsid w:val="002A218E"/>
    <w:rsid w:val="002A4599"/>
    <w:rsid w:val="002B08CD"/>
    <w:rsid w:val="002B11BD"/>
    <w:rsid w:val="002B64F2"/>
    <w:rsid w:val="002C0EA7"/>
    <w:rsid w:val="002C2E81"/>
    <w:rsid w:val="002C5AB7"/>
    <w:rsid w:val="002D715C"/>
    <w:rsid w:val="002E336E"/>
    <w:rsid w:val="002E4963"/>
    <w:rsid w:val="002E59FE"/>
    <w:rsid w:val="002F460D"/>
    <w:rsid w:val="003009C7"/>
    <w:rsid w:val="00300F0E"/>
    <w:rsid w:val="0030399F"/>
    <w:rsid w:val="00304231"/>
    <w:rsid w:val="00310A64"/>
    <w:rsid w:val="00312604"/>
    <w:rsid w:val="00312B4C"/>
    <w:rsid w:val="00313C1D"/>
    <w:rsid w:val="003169A7"/>
    <w:rsid w:val="003207FF"/>
    <w:rsid w:val="00325C3B"/>
    <w:rsid w:val="00327176"/>
    <w:rsid w:val="003312B2"/>
    <w:rsid w:val="00331ABB"/>
    <w:rsid w:val="00333550"/>
    <w:rsid w:val="00335DD7"/>
    <w:rsid w:val="00340847"/>
    <w:rsid w:val="00341C19"/>
    <w:rsid w:val="00344B15"/>
    <w:rsid w:val="0035191D"/>
    <w:rsid w:val="00352808"/>
    <w:rsid w:val="00352915"/>
    <w:rsid w:val="00352F7E"/>
    <w:rsid w:val="003542D1"/>
    <w:rsid w:val="003610F4"/>
    <w:rsid w:val="003621AC"/>
    <w:rsid w:val="00362598"/>
    <w:rsid w:val="003666A8"/>
    <w:rsid w:val="00366DEB"/>
    <w:rsid w:val="0037165E"/>
    <w:rsid w:val="00377C65"/>
    <w:rsid w:val="00380346"/>
    <w:rsid w:val="00384F81"/>
    <w:rsid w:val="00385062"/>
    <w:rsid w:val="00393DF2"/>
    <w:rsid w:val="00396DC3"/>
    <w:rsid w:val="0039789A"/>
    <w:rsid w:val="003A07BB"/>
    <w:rsid w:val="003A2896"/>
    <w:rsid w:val="003A5B50"/>
    <w:rsid w:val="003B1BC4"/>
    <w:rsid w:val="003C0267"/>
    <w:rsid w:val="003C1021"/>
    <w:rsid w:val="003C24FE"/>
    <w:rsid w:val="003D6EE0"/>
    <w:rsid w:val="003D7CC3"/>
    <w:rsid w:val="003E1DE3"/>
    <w:rsid w:val="003F1C78"/>
    <w:rsid w:val="00401280"/>
    <w:rsid w:val="00404C3B"/>
    <w:rsid w:val="00404CA8"/>
    <w:rsid w:val="00406113"/>
    <w:rsid w:val="00411B73"/>
    <w:rsid w:val="00412D90"/>
    <w:rsid w:val="00414C0E"/>
    <w:rsid w:val="00416A0C"/>
    <w:rsid w:val="0042058D"/>
    <w:rsid w:val="00432A3E"/>
    <w:rsid w:val="004330E3"/>
    <w:rsid w:val="00434E7B"/>
    <w:rsid w:val="00435721"/>
    <w:rsid w:val="004365F0"/>
    <w:rsid w:val="00436B3F"/>
    <w:rsid w:val="00441CBF"/>
    <w:rsid w:val="004432AD"/>
    <w:rsid w:val="00445A1D"/>
    <w:rsid w:val="004464FF"/>
    <w:rsid w:val="0045262A"/>
    <w:rsid w:val="00454185"/>
    <w:rsid w:val="004552FF"/>
    <w:rsid w:val="00456AC6"/>
    <w:rsid w:val="00460722"/>
    <w:rsid w:val="00462251"/>
    <w:rsid w:val="004634CF"/>
    <w:rsid w:val="00463AF2"/>
    <w:rsid w:val="00472C61"/>
    <w:rsid w:val="00475F62"/>
    <w:rsid w:val="004818B3"/>
    <w:rsid w:val="0048317D"/>
    <w:rsid w:val="00494398"/>
    <w:rsid w:val="00496466"/>
    <w:rsid w:val="00497D9F"/>
    <w:rsid w:val="004A3048"/>
    <w:rsid w:val="004A35B2"/>
    <w:rsid w:val="004A3961"/>
    <w:rsid w:val="004A40F5"/>
    <w:rsid w:val="004B2227"/>
    <w:rsid w:val="004B6758"/>
    <w:rsid w:val="004B7E1F"/>
    <w:rsid w:val="004B7EF4"/>
    <w:rsid w:val="004C3330"/>
    <w:rsid w:val="004C3670"/>
    <w:rsid w:val="004D0741"/>
    <w:rsid w:val="004D5257"/>
    <w:rsid w:val="004D77E9"/>
    <w:rsid w:val="004D7E5E"/>
    <w:rsid w:val="004E2494"/>
    <w:rsid w:val="004E25A1"/>
    <w:rsid w:val="004E2CD9"/>
    <w:rsid w:val="004E3F39"/>
    <w:rsid w:val="004E5282"/>
    <w:rsid w:val="004E758F"/>
    <w:rsid w:val="004E788F"/>
    <w:rsid w:val="004F4053"/>
    <w:rsid w:val="005118CA"/>
    <w:rsid w:val="00516006"/>
    <w:rsid w:val="00517325"/>
    <w:rsid w:val="00521F41"/>
    <w:rsid w:val="00524FE3"/>
    <w:rsid w:val="0054012C"/>
    <w:rsid w:val="00541CC4"/>
    <w:rsid w:val="0054273D"/>
    <w:rsid w:val="00544768"/>
    <w:rsid w:val="0055146E"/>
    <w:rsid w:val="0055184B"/>
    <w:rsid w:val="00557A19"/>
    <w:rsid w:val="00564BE0"/>
    <w:rsid w:val="005751F8"/>
    <w:rsid w:val="00587306"/>
    <w:rsid w:val="00595F84"/>
    <w:rsid w:val="0059604A"/>
    <w:rsid w:val="005A4481"/>
    <w:rsid w:val="005B6C24"/>
    <w:rsid w:val="005C1667"/>
    <w:rsid w:val="005C2277"/>
    <w:rsid w:val="005D6A02"/>
    <w:rsid w:val="005E0DF7"/>
    <w:rsid w:val="005E198D"/>
    <w:rsid w:val="005E33DB"/>
    <w:rsid w:val="005E3503"/>
    <w:rsid w:val="005E7060"/>
    <w:rsid w:val="005E7686"/>
    <w:rsid w:val="005F3D3B"/>
    <w:rsid w:val="005F40B2"/>
    <w:rsid w:val="005F5257"/>
    <w:rsid w:val="006018AE"/>
    <w:rsid w:val="00604F28"/>
    <w:rsid w:val="00605C99"/>
    <w:rsid w:val="00607200"/>
    <w:rsid w:val="00607E3D"/>
    <w:rsid w:val="00614735"/>
    <w:rsid w:val="00616CEF"/>
    <w:rsid w:val="006266CD"/>
    <w:rsid w:val="00646F60"/>
    <w:rsid w:val="0064724E"/>
    <w:rsid w:val="00661159"/>
    <w:rsid w:val="00663A14"/>
    <w:rsid w:val="00670848"/>
    <w:rsid w:val="006711E4"/>
    <w:rsid w:val="00671BD5"/>
    <w:rsid w:val="00674C98"/>
    <w:rsid w:val="00682AEC"/>
    <w:rsid w:val="00682BC9"/>
    <w:rsid w:val="00683802"/>
    <w:rsid w:val="00683FEE"/>
    <w:rsid w:val="00686A41"/>
    <w:rsid w:val="006925E8"/>
    <w:rsid w:val="00693513"/>
    <w:rsid w:val="006A1803"/>
    <w:rsid w:val="006A3F65"/>
    <w:rsid w:val="006B1084"/>
    <w:rsid w:val="006B148F"/>
    <w:rsid w:val="006B623A"/>
    <w:rsid w:val="006C2D4F"/>
    <w:rsid w:val="006D3E87"/>
    <w:rsid w:val="006D6F67"/>
    <w:rsid w:val="006E3990"/>
    <w:rsid w:val="006E479C"/>
    <w:rsid w:val="006E4B86"/>
    <w:rsid w:val="006F29C0"/>
    <w:rsid w:val="006F5CB0"/>
    <w:rsid w:val="00700F1B"/>
    <w:rsid w:val="00703F83"/>
    <w:rsid w:val="00707B8A"/>
    <w:rsid w:val="00714FFE"/>
    <w:rsid w:val="00720852"/>
    <w:rsid w:val="00721E5B"/>
    <w:rsid w:val="007237B6"/>
    <w:rsid w:val="007348DC"/>
    <w:rsid w:val="00735490"/>
    <w:rsid w:val="00736A83"/>
    <w:rsid w:val="00745FB2"/>
    <w:rsid w:val="00747840"/>
    <w:rsid w:val="007512E8"/>
    <w:rsid w:val="007521E7"/>
    <w:rsid w:val="007620A1"/>
    <w:rsid w:val="007622D8"/>
    <w:rsid w:val="00764185"/>
    <w:rsid w:val="00765E2F"/>
    <w:rsid w:val="00776322"/>
    <w:rsid w:val="00784DA6"/>
    <w:rsid w:val="00787495"/>
    <w:rsid w:val="007A0469"/>
    <w:rsid w:val="007A5999"/>
    <w:rsid w:val="007B3FF4"/>
    <w:rsid w:val="007B70BB"/>
    <w:rsid w:val="007C5671"/>
    <w:rsid w:val="007C7545"/>
    <w:rsid w:val="007D001D"/>
    <w:rsid w:val="007D1D06"/>
    <w:rsid w:val="007D1DB4"/>
    <w:rsid w:val="007D54BD"/>
    <w:rsid w:val="007D6FA5"/>
    <w:rsid w:val="007D773A"/>
    <w:rsid w:val="007D7AE4"/>
    <w:rsid w:val="007E0E7C"/>
    <w:rsid w:val="007E4FD4"/>
    <w:rsid w:val="007E7EE7"/>
    <w:rsid w:val="007F0F57"/>
    <w:rsid w:val="0080047A"/>
    <w:rsid w:val="00805C01"/>
    <w:rsid w:val="00812B56"/>
    <w:rsid w:val="00815CB0"/>
    <w:rsid w:val="00816112"/>
    <w:rsid w:val="0082035F"/>
    <w:rsid w:val="00823664"/>
    <w:rsid w:val="008367CC"/>
    <w:rsid w:val="00840C73"/>
    <w:rsid w:val="00854AFB"/>
    <w:rsid w:val="00856C17"/>
    <w:rsid w:val="00857F33"/>
    <w:rsid w:val="00862C3A"/>
    <w:rsid w:val="008657D0"/>
    <w:rsid w:val="00880144"/>
    <w:rsid w:val="0088093F"/>
    <w:rsid w:val="008827FD"/>
    <w:rsid w:val="00890CDD"/>
    <w:rsid w:val="008918A5"/>
    <w:rsid w:val="00893B67"/>
    <w:rsid w:val="00895467"/>
    <w:rsid w:val="008A19DE"/>
    <w:rsid w:val="008A61ED"/>
    <w:rsid w:val="008B6494"/>
    <w:rsid w:val="008C0B9B"/>
    <w:rsid w:val="008C3685"/>
    <w:rsid w:val="008C672A"/>
    <w:rsid w:val="008C7EDC"/>
    <w:rsid w:val="008D5525"/>
    <w:rsid w:val="008F2D3F"/>
    <w:rsid w:val="008F51C9"/>
    <w:rsid w:val="00903C4C"/>
    <w:rsid w:val="009059E8"/>
    <w:rsid w:val="00916E01"/>
    <w:rsid w:val="00924765"/>
    <w:rsid w:val="009251F7"/>
    <w:rsid w:val="00927BFD"/>
    <w:rsid w:val="009325DA"/>
    <w:rsid w:val="00940822"/>
    <w:rsid w:val="00941C52"/>
    <w:rsid w:val="00943D9F"/>
    <w:rsid w:val="00946440"/>
    <w:rsid w:val="009515AF"/>
    <w:rsid w:val="00971675"/>
    <w:rsid w:val="009722CE"/>
    <w:rsid w:val="00977A6E"/>
    <w:rsid w:val="00985A36"/>
    <w:rsid w:val="00994427"/>
    <w:rsid w:val="00996740"/>
    <w:rsid w:val="009A6E9E"/>
    <w:rsid w:val="009A748A"/>
    <w:rsid w:val="009B328C"/>
    <w:rsid w:val="009B4A4B"/>
    <w:rsid w:val="009B5ADE"/>
    <w:rsid w:val="009C0769"/>
    <w:rsid w:val="009C20E0"/>
    <w:rsid w:val="009D06E7"/>
    <w:rsid w:val="009D18AF"/>
    <w:rsid w:val="009D798D"/>
    <w:rsid w:val="009E4BEB"/>
    <w:rsid w:val="009E5C9F"/>
    <w:rsid w:val="009F365F"/>
    <w:rsid w:val="009F4380"/>
    <w:rsid w:val="009F756E"/>
    <w:rsid w:val="009F766F"/>
    <w:rsid w:val="009F76B9"/>
    <w:rsid w:val="00A00146"/>
    <w:rsid w:val="00A0056A"/>
    <w:rsid w:val="00A007A3"/>
    <w:rsid w:val="00A154C7"/>
    <w:rsid w:val="00A22392"/>
    <w:rsid w:val="00A268C1"/>
    <w:rsid w:val="00A30819"/>
    <w:rsid w:val="00A36048"/>
    <w:rsid w:val="00A414C8"/>
    <w:rsid w:val="00A45918"/>
    <w:rsid w:val="00A5284A"/>
    <w:rsid w:val="00A52C7F"/>
    <w:rsid w:val="00A6051C"/>
    <w:rsid w:val="00A612B5"/>
    <w:rsid w:val="00A7046B"/>
    <w:rsid w:val="00A71402"/>
    <w:rsid w:val="00A75D84"/>
    <w:rsid w:val="00A86152"/>
    <w:rsid w:val="00A92E52"/>
    <w:rsid w:val="00A97A1F"/>
    <w:rsid w:val="00AA1EA9"/>
    <w:rsid w:val="00AB086D"/>
    <w:rsid w:val="00AB4305"/>
    <w:rsid w:val="00AB4E8E"/>
    <w:rsid w:val="00AB6584"/>
    <w:rsid w:val="00AB7ECB"/>
    <w:rsid w:val="00AC6511"/>
    <w:rsid w:val="00AE25A7"/>
    <w:rsid w:val="00AF5135"/>
    <w:rsid w:val="00B121AB"/>
    <w:rsid w:val="00B167ED"/>
    <w:rsid w:val="00B205EF"/>
    <w:rsid w:val="00B250F0"/>
    <w:rsid w:val="00B37036"/>
    <w:rsid w:val="00B40329"/>
    <w:rsid w:val="00B54B53"/>
    <w:rsid w:val="00B56510"/>
    <w:rsid w:val="00B634C7"/>
    <w:rsid w:val="00B63D11"/>
    <w:rsid w:val="00B735F4"/>
    <w:rsid w:val="00B757FD"/>
    <w:rsid w:val="00B8268E"/>
    <w:rsid w:val="00B84ADF"/>
    <w:rsid w:val="00B96491"/>
    <w:rsid w:val="00BA4D8B"/>
    <w:rsid w:val="00BB5A06"/>
    <w:rsid w:val="00BB71DA"/>
    <w:rsid w:val="00BC23A8"/>
    <w:rsid w:val="00BC290E"/>
    <w:rsid w:val="00BE1EEB"/>
    <w:rsid w:val="00BE518B"/>
    <w:rsid w:val="00BF3FE0"/>
    <w:rsid w:val="00BF767A"/>
    <w:rsid w:val="00BF7E85"/>
    <w:rsid w:val="00C0084F"/>
    <w:rsid w:val="00C22566"/>
    <w:rsid w:val="00C26F60"/>
    <w:rsid w:val="00C40E36"/>
    <w:rsid w:val="00C4407F"/>
    <w:rsid w:val="00C451D2"/>
    <w:rsid w:val="00C55259"/>
    <w:rsid w:val="00C5614D"/>
    <w:rsid w:val="00C66E85"/>
    <w:rsid w:val="00C67652"/>
    <w:rsid w:val="00C67832"/>
    <w:rsid w:val="00C7025F"/>
    <w:rsid w:val="00C742A8"/>
    <w:rsid w:val="00C74509"/>
    <w:rsid w:val="00C7577E"/>
    <w:rsid w:val="00C80927"/>
    <w:rsid w:val="00C80AF7"/>
    <w:rsid w:val="00C83ACB"/>
    <w:rsid w:val="00C86A9D"/>
    <w:rsid w:val="00C91CFA"/>
    <w:rsid w:val="00C93D6C"/>
    <w:rsid w:val="00C952F8"/>
    <w:rsid w:val="00CA6C45"/>
    <w:rsid w:val="00CB1F61"/>
    <w:rsid w:val="00CB3314"/>
    <w:rsid w:val="00CB487C"/>
    <w:rsid w:val="00CC08F9"/>
    <w:rsid w:val="00CC534A"/>
    <w:rsid w:val="00CC53A9"/>
    <w:rsid w:val="00CD3B99"/>
    <w:rsid w:val="00CD49B6"/>
    <w:rsid w:val="00CE222C"/>
    <w:rsid w:val="00CE3C64"/>
    <w:rsid w:val="00CF6D59"/>
    <w:rsid w:val="00CF7C5A"/>
    <w:rsid w:val="00D040BA"/>
    <w:rsid w:val="00D04FD0"/>
    <w:rsid w:val="00D05710"/>
    <w:rsid w:val="00D2057C"/>
    <w:rsid w:val="00D27F08"/>
    <w:rsid w:val="00D304EC"/>
    <w:rsid w:val="00D31889"/>
    <w:rsid w:val="00D36FD2"/>
    <w:rsid w:val="00D36FD3"/>
    <w:rsid w:val="00D44218"/>
    <w:rsid w:val="00D60824"/>
    <w:rsid w:val="00D61667"/>
    <w:rsid w:val="00D66226"/>
    <w:rsid w:val="00D67B5D"/>
    <w:rsid w:val="00D70C73"/>
    <w:rsid w:val="00D70D78"/>
    <w:rsid w:val="00D72053"/>
    <w:rsid w:val="00D743E6"/>
    <w:rsid w:val="00D77E79"/>
    <w:rsid w:val="00D9424A"/>
    <w:rsid w:val="00DA2A47"/>
    <w:rsid w:val="00DA5415"/>
    <w:rsid w:val="00DB34D5"/>
    <w:rsid w:val="00DB4186"/>
    <w:rsid w:val="00DB4D67"/>
    <w:rsid w:val="00DC0513"/>
    <w:rsid w:val="00DC6945"/>
    <w:rsid w:val="00DC6A01"/>
    <w:rsid w:val="00DD18A4"/>
    <w:rsid w:val="00DE097F"/>
    <w:rsid w:val="00DE0D8E"/>
    <w:rsid w:val="00DE1637"/>
    <w:rsid w:val="00DE285E"/>
    <w:rsid w:val="00DE6227"/>
    <w:rsid w:val="00DE7DF1"/>
    <w:rsid w:val="00DF0D44"/>
    <w:rsid w:val="00DF195D"/>
    <w:rsid w:val="00E04AB2"/>
    <w:rsid w:val="00E0749F"/>
    <w:rsid w:val="00E07BB4"/>
    <w:rsid w:val="00E1604E"/>
    <w:rsid w:val="00E225F7"/>
    <w:rsid w:val="00E228D5"/>
    <w:rsid w:val="00E23040"/>
    <w:rsid w:val="00E241E7"/>
    <w:rsid w:val="00E3107B"/>
    <w:rsid w:val="00E3579C"/>
    <w:rsid w:val="00E40E92"/>
    <w:rsid w:val="00E61B80"/>
    <w:rsid w:val="00E762AA"/>
    <w:rsid w:val="00E769BD"/>
    <w:rsid w:val="00E855EE"/>
    <w:rsid w:val="00E8616E"/>
    <w:rsid w:val="00E9106D"/>
    <w:rsid w:val="00EA25FE"/>
    <w:rsid w:val="00EC0168"/>
    <w:rsid w:val="00EC368C"/>
    <w:rsid w:val="00EC7DE7"/>
    <w:rsid w:val="00ED1EE9"/>
    <w:rsid w:val="00ED3D2F"/>
    <w:rsid w:val="00ED6063"/>
    <w:rsid w:val="00ED7990"/>
    <w:rsid w:val="00EE14A1"/>
    <w:rsid w:val="00EE1533"/>
    <w:rsid w:val="00EF164E"/>
    <w:rsid w:val="00EF2F74"/>
    <w:rsid w:val="00F0112E"/>
    <w:rsid w:val="00F01AD8"/>
    <w:rsid w:val="00F06506"/>
    <w:rsid w:val="00F06C5F"/>
    <w:rsid w:val="00F13366"/>
    <w:rsid w:val="00F17175"/>
    <w:rsid w:val="00F24A6C"/>
    <w:rsid w:val="00F374EC"/>
    <w:rsid w:val="00F40376"/>
    <w:rsid w:val="00F4086C"/>
    <w:rsid w:val="00F408ED"/>
    <w:rsid w:val="00F4743B"/>
    <w:rsid w:val="00F5284F"/>
    <w:rsid w:val="00F5493A"/>
    <w:rsid w:val="00F550B6"/>
    <w:rsid w:val="00F553C0"/>
    <w:rsid w:val="00F70239"/>
    <w:rsid w:val="00F72403"/>
    <w:rsid w:val="00F72E79"/>
    <w:rsid w:val="00F73FD0"/>
    <w:rsid w:val="00F81409"/>
    <w:rsid w:val="00F83A22"/>
    <w:rsid w:val="00F86AE3"/>
    <w:rsid w:val="00F96347"/>
    <w:rsid w:val="00F96F9E"/>
    <w:rsid w:val="00FA0021"/>
    <w:rsid w:val="00FA01FA"/>
    <w:rsid w:val="00FA2DAE"/>
    <w:rsid w:val="00FA481F"/>
    <w:rsid w:val="00FA5046"/>
    <w:rsid w:val="00FB0BF9"/>
    <w:rsid w:val="00FB6048"/>
    <w:rsid w:val="00FC2410"/>
    <w:rsid w:val="00FD39D8"/>
    <w:rsid w:val="00FE21DE"/>
    <w:rsid w:val="00FE3639"/>
    <w:rsid w:val="00FE508F"/>
    <w:rsid w:val="00FE6714"/>
    <w:rsid w:val="00FE6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862DC"/>
  <w14:defaultImageDpi w14:val="32767"/>
  <w15:chartTrackingRefBased/>
  <w15:docId w15:val="{34849251-3333-9A4E-99C0-D222F83E1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4FD4"/>
    <w:pPr>
      <w:spacing w:after="240" w:line="360" w:lineRule="auto"/>
    </w:pPr>
    <w:rPr>
      <w:rFonts w:ascii="Times New Roman" w:eastAsia="Times New Roman" w:hAnsi="Times New Roman" w:cs="Times New Roman"/>
      <w:lang w:val="sv-SE"/>
    </w:rPr>
  </w:style>
  <w:style w:type="paragraph" w:styleId="Heading1">
    <w:name w:val="heading 1"/>
    <w:basedOn w:val="Normal"/>
    <w:next w:val="Normal"/>
    <w:link w:val="Heading1Char"/>
    <w:uiPriority w:val="9"/>
    <w:qFormat/>
    <w:rsid w:val="00406113"/>
    <w:pPr>
      <w:keepNext/>
      <w:keepLines/>
      <w:spacing w:before="240" w:after="0" w:line="480" w:lineRule="auto"/>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unhideWhenUsed/>
    <w:qFormat/>
    <w:rsid w:val="004A35B2"/>
    <w:pPr>
      <w:keepNext/>
      <w:keepLines/>
      <w:spacing w:before="48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04E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3A8"/>
    <w:pPr>
      <w:ind w:left="720"/>
      <w:contextualSpacing/>
    </w:pPr>
  </w:style>
  <w:style w:type="character" w:styleId="CommentReference">
    <w:name w:val="annotation reference"/>
    <w:basedOn w:val="DefaultParagraphFont"/>
    <w:uiPriority w:val="99"/>
    <w:semiHidden/>
    <w:unhideWhenUsed/>
    <w:rsid w:val="0088093F"/>
    <w:rPr>
      <w:sz w:val="16"/>
      <w:szCs w:val="16"/>
    </w:rPr>
  </w:style>
  <w:style w:type="paragraph" w:styleId="CommentText">
    <w:name w:val="annotation text"/>
    <w:basedOn w:val="Normal"/>
    <w:link w:val="CommentTextChar"/>
    <w:uiPriority w:val="99"/>
    <w:semiHidden/>
    <w:unhideWhenUsed/>
    <w:rsid w:val="0088093F"/>
    <w:rPr>
      <w:sz w:val="20"/>
      <w:szCs w:val="20"/>
    </w:rPr>
  </w:style>
  <w:style w:type="character" w:customStyle="1" w:styleId="CommentTextChar">
    <w:name w:val="Comment Text Char"/>
    <w:basedOn w:val="DefaultParagraphFont"/>
    <w:link w:val="CommentText"/>
    <w:uiPriority w:val="99"/>
    <w:semiHidden/>
    <w:rsid w:val="0088093F"/>
    <w:rPr>
      <w:sz w:val="20"/>
      <w:szCs w:val="20"/>
    </w:rPr>
  </w:style>
  <w:style w:type="paragraph" w:styleId="CommentSubject">
    <w:name w:val="annotation subject"/>
    <w:basedOn w:val="CommentText"/>
    <w:next w:val="CommentText"/>
    <w:link w:val="CommentSubjectChar"/>
    <w:uiPriority w:val="99"/>
    <w:semiHidden/>
    <w:unhideWhenUsed/>
    <w:rsid w:val="0088093F"/>
    <w:rPr>
      <w:b/>
      <w:bCs/>
    </w:rPr>
  </w:style>
  <w:style w:type="character" w:customStyle="1" w:styleId="CommentSubjectChar">
    <w:name w:val="Comment Subject Char"/>
    <w:basedOn w:val="CommentTextChar"/>
    <w:link w:val="CommentSubject"/>
    <w:uiPriority w:val="99"/>
    <w:semiHidden/>
    <w:rsid w:val="0088093F"/>
    <w:rPr>
      <w:b/>
      <w:bCs/>
      <w:sz w:val="20"/>
      <w:szCs w:val="20"/>
    </w:rPr>
  </w:style>
  <w:style w:type="paragraph" w:styleId="BalloonText">
    <w:name w:val="Balloon Text"/>
    <w:basedOn w:val="Normal"/>
    <w:link w:val="BalloonTextChar"/>
    <w:uiPriority w:val="99"/>
    <w:semiHidden/>
    <w:unhideWhenUsed/>
    <w:rsid w:val="0088093F"/>
    <w:rPr>
      <w:sz w:val="18"/>
      <w:szCs w:val="18"/>
    </w:rPr>
  </w:style>
  <w:style w:type="character" w:customStyle="1" w:styleId="BalloonTextChar">
    <w:name w:val="Balloon Text Char"/>
    <w:basedOn w:val="DefaultParagraphFont"/>
    <w:link w:val="BalloonText"/>
    <w:uiPriority w:val="99"/>
    <w:semiHidden/>
    <w:rsid w:val="0088093F"/>
    <w:rPr>
      <w:rFonts w:ascii="Times New Roman" w:hAnsi="Times New Roman" w:cs="Times New Roman"/>
      <w:sz w:val="18"/>
      <w:szCs w:val="18"/>
    </w:rPr>
  </w:style>
  <w:style w:type="table" w:styleId="TableGrid">
    <w:name w:val="Table Grid"/>
    <w:basedOn w:val="TableNormal"/>
    <w:uiPriority w:val="39"/>
    <w:rsid w:val="009A6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3579C"/>
    <w:rPr>
      <w:sz w:val="20"/>
      <w:szCs w:val="20"/>
    </w:rPr>
  </w:style>
  <w:style w:type="character" w:customStyle="1" w:styleId="FootnoteTextChar">
    <w:name w:val="Footnote Text Char"/>
    <w:basedOn w:val="DefaultParagraphFont"/>
    <w:link w:val="FootnoteText"/>
    <w:uiPriority w:val="99"/>
    <w:semiHidden/>
    <w:rsid w:val="00E3579C"/>
    <w:rPr>
      <w:sz w:val="20"/>
      <w:szCs w:val="20"/>
    </w:rPr>
  </w:style>
  <w:style w:type="character" w:styleId="FootnoteReference">
    <w:name w:val="footnote reference"/>
    <w:basedOn w:val="DefaultParagraphFont"/>
    <w:uiPriority w:val="99"/>
    <w:semiHidden/>
    <w:unhideWhenUsed/>
    <w:rsid w:val="00E3579C"/>
    <w:rPr>
      <w:vertAlign w:val="superscript"/>
    </w:rPr>
  </w:style>
  <w:style w:type="paragraph" w:styleId="NormalWeb">
    <w:name w:val="Normal (Web)"/>
    <w:basedOn w:val="Normal"/>
    <w:uiPriority w:val="99"/>
    <w:semiHidden/>
    <w:unhideWhenUsed/>
    <w:rsid w:val="001C7708"/>
  </w:style>
  <w:style w:type="character" w:customStyle="1" w:styleId="Heading2Char">
    <w:name w:val="Heading 2 Char"/>
    <w:basedOn w:val="DefaultParagraphFont"/>
    <w:link w:val="Heading2"/>
    <w:uiPriority w:val="9"/>
    <w:rsid w:val="004A35B2"/>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564BE0"/>
  </w:style>
  <w:style w:type="paragraph" w:styleId="Footer">
    <w:name w:val="footer"/>
    <w:basedOn w:val="Normal"/>
    <w:link w:val="FooterChar"/>
    <w:uiPriority w:val="99"/>
    <w:unhideWhenUsed/>
    <w:rsid w:val="00FE21DE"/>
    <w:pPr>
      <w:tabs>
        <w:tab w:val="center" w:pos="4680"/>
        <w:tab w:val="right" w:pos="9360"/>
      </w:tabs>
      <w:spacing w:after="0"/>
    </w:pPr>
  </w:style>
  <w:style w:type="character" w:customStyle="1" w:styleId="FooterChar">
    <w:name w:val="Footer Char"/>
    <w:basedOn w:val="DefaultParagraphFont"/>
    <w:link w:val="Footer"/>
    <w:uiPriority w:val="99"/>
    <w:rsid w:val="00FE21DE"/>
  </w:style>
  <w:style w:type="character" w:styleId="PageNumber">
    <w:name w:val="page number"/>
    <w:basedOn w:val="DefaultParagraphFont"/>
    <w:uiPriority w:val="99"/>
    <w:semiHidden/>
    <w:unhideWhenUsed/>
    <w:rsid w:val="00FE21DE"/>
  </w:style>
  <w:style w:type="character" w:styleId="Hyperlink">
    <w:name w:val="Hyperlink"/>
    <w:basedOn w:val="DefaultParagraphFont"/>
    <w:uiPriority w:val="99"/>
    <w:unhideWhenUsed/>
    <w:rsid w:val="00A6051C"/>
    <w:rPr>
      <w:color w:val="0563C1" w:themeColor="hyperlink"/>
      <w:u w:val="single"/>
    </w:rPr>
  </w:style>
  <w:style w:type="paragraph" w:styleId="TOC1">
    <w:name w:val="toc 1"/>
    <w:basedOn w:val="Normal"/>
    <w:next w:val="Normal"/>
    <w:autoRedefine/>
    <w:uiPriority w:val="39"/>
    <w:unhideWhenUsed/>
    <w:rsid w:val="00F70239"/>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D304EC"/>
    <w:pPr>
      <w:spacing w:before="240" w:after="0"/>
    </w:pPr>
    <w:rPr>
      <w:rFonts w:cstheme="minorHAnsi"/>
      <w:b/>
      <w:bCs/>
      <w:sz w:val="20"/>
      <w:szCs w:val="20"/>
    </w:rPr>
  </w:style>
  <w:style w:type="paragraph" w:styleId="TOC3">
    <w:name w:val="toc 3"/>
    <w:basedOn w:val="Normal"/>
    <w:next w:val="Normal"/>
    <w:autoRedefine/>
    <w:uiPriority w:val="39"/>
    <w:unhideWhenUsed/>
    <w:rsid w:val="00D304EC"/>
    <w:pPr>
      <w:spacing w:after="0"/>
      <w:ind w:left="240"/>
    </w:pPr>
    <w:rPr>
      <w:rFonts w:cstheme="minorHAnsi"/>
      <w:sz w:val="20"/>
      <w:szCs w:val="20"/>
    </w:rPr>
  </w:style>
  <w:style w:type="paragraph" w:styleId="TOC4">
    <w:name w:val="toc 4"/>
    <w:basedOn w:val="Normal"/>
    <w:next w:val="Normal"/>
    <w:autoRedefine/>
    <w:uiPriority w:val="39"/>
    <w:unhideWhenUsed/>
    <w:rsid w:val="00D304EC"/>
    <w:pPr>
      <w:spacing w:after="0"/>
      <w:ind w:left="480"/>
    </w:pPr>
    <w:rPr>
      <w:rFonts w:cstheme="minorHAnsi"/>
      <w:sz w:val="20"/>
      <w:szCs w:val="20"/>
    </w:rPr>
  </w:style>
  <w:style w:type="paragraph" w:styleId="TOC5">
    <w:name w:val="toc 5"/>
    <w:basedOn w:val="Normal"/>
    <w:next w:val="Normal"/>
    <w:autoRedefine/>
    <w:uiPriority w:val="39"/>
    <w:unhideWhenUsed/>
    <w:rsid w:val="00D304EC"/>
    <w:pPr>
      <w:spacing w:after="0"/>
      <w:ind w:left="720"/>
    </w:pPr>
    <w:rPr>
      <w:rFonts w:cstheme="minorHAnsi"/>
      <w:sz w:val="20"/>
      <w:szCs w:val="20"/>
    </w:rPr>
  </w:style>
  <w:style w:type="paragraph" w:styleId="TOC6">
    <w:name w:val="toc 6"/>
    <w:basedOn w:val="Normal"/>
    <w:next w:val="Normal"/>
    <w:autoRedefine/>
    <w:uiPriority w:val="39"/>
    <w:unhideWhenUsed/>
    <w:rsid w:val="00D304EC"/>
    <w:pPr>
      <w:spacing w:after="0"/>
      <w:ind w:left="960"/>
    </w:pPr>
    <w:rPr>
      <w:rFonts w:cstheme="minorHAnsi"/>
      <w:sz w:val="20"/>
      <w:szCs w:val="20"/>
    </w:rPr>
  </w:style>
  <w:style w:type="paragraph" w:styleId="TOC7">
    <w:name w:val="toc 7"/>
    <w:basedOn w:val="Normal"/>
    <w:next w:val="Normal"/>
    <w:autoRedefine/>
    <w:uiPriority w:val="39"/>
    <w:unhideWhenUsed/>
    <w:rsid w:val="00D304EC"/>
    <w:pPr>
      <w:spacing w:after="0"/>
      <w:ind w:left="1200"/>
    </w:pPr>
    <w:rPr>
      <w:rFonts w:cstheme="minorHAnsi"/>
      <w:sz w:val="20"/>
      <w:szCs w:val="20"/>
    </w:rPr>
  </w:style>
  <w:style w:type="paragraph" w:styleId="TOC8">
    <w:name w:val="toc 8"/>
    <w:basedOn w:val="Normal"/>
    <w:next w:val="Normal"/>
    <w:autoRedefine/>
    <w:uiPriority w:val="39"/>
    <w:unhideWhenUsed/>
    <w:rsid w:val="00D304EC"/>
    <w:pPr>
      <w:spacing w:after="0"/>
      <w:ind w:left="1440"/>
    </w:pPr>
    <w:rPr>
      <w:rFonts w:cstheme="minorHAnsi"/>
      <w:sz w:val="20"/>
      <w:szCs w:val="20"/>
    </w:rPr>
  </w:style>
  <w:style w:type="paragraph" w:styleId="TOC9">
    <w:name w:val="toc 9"/>
    <w:basedOn w:val="Normal"/>
    <w:next w:val="Normal"/>
    <w:autoRedefine/>
    <w:uiPriority w:val="39"/>
    <w:unhideWhenUsed/>
    <w:rsid w:val="00D304EC"/>
    <w:pPr>
      <w:spacing w:after="0"/>
      <w:ind w:left="1680"/>
    </w:pPr>
    <w:rPr>
      <w:rFonts w:cstheme="minorHAnsi"/>
      <w:sz w:val="20"/>
      <w:szCs w:val="20"/>
    </w:rPr>
  </w:style>
  <w:style w:type="character" w:customStyle="1" w:styleId="Heading1Char">
    <w:name w:val="Heading 1 Char"/>
    <w:basedOn w:val="DefaultParagraphFont"/>
    <w:link w:val="Heading1"/>
    <w:uiPriority w:val="9"/>
    <w:rsid w:val="00406113"/>
    <w:rPr>
      <w:rFonts w:asciiTheme="majorHAnsi" w:eastAsiaTheme="majorEastAsia" w:hAnsiTheme="majorHAnsi" w:cstheme="majorBidi"/>
      <w:b/>
      <w:color w:val="000000" w:themeColor="text1"/>
      <w:szCs w:val="32"/>
      <w:lang w:val="sv-SE"/>
    </w:rPr>
  </w:style>
  <w:style w:type="character" w:customStyle="1" w:styleId="Heading3Char">
    <w:name w:val="Heading 3 Char"/>
    <w:basedOn w:val="DefaultParagraphFont"/>
    <w:link w:val="Heading3"/>
    <w:uiPriority w:val="9"/>
    <w:rsid w:val="00D304EC"/>
    <w:rPr>
      <w:rFonts w:asciiTheme="majorHAnsi" w:eastAsiaTheme="majorEastAsia" w:hAnsiTheme="majorHAnsi" w:cstheme="majorBidi"/>
      <w:color w:val="1F3763" w:themeColor="accent1" w:themeShade="7F"/>
    </w:rPr>
  </w:style>
  <w:style w:type="character" w:styleId="SubtleEmphasis">
    <w:name w:val="Subtle Emphasis"/>
    <w:basedOn w:val="DefaultParagraphFont"/>
    <w:uiPriority w:val="19"/>
    <w:qFormat/>
    <w:rsid w:val="009D06E7"/>
    <w:rPr>
      <w:b/>
      <w:i/>
      <w:iCs/>
      <w:color w:val="404040" w:themeColor="text1" w:themeTint="BF"/>
    </w:rPr>
  </w:style>
  <w:style w:type="paragraph" w:styleId="Quote">
    <w:name w:val="Quote"/>
    <w:basedOn w:val="Normal"/>
    <w:next w:val="Normal"/>
    <w:link w:val="QuoteChar"/>
    <w:uiPriority w:val="29"/>
    <w:qFormat/>
    <w:rsid w:val="009D06E7"/>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9D06E7"/>
    <w:rPr>
      <w:i/>
      <w:iCs/>
      <w:color w:val="404040" w:themeColor="text1" w:themeTint="BF"/>
    </w:rPr>
  </w:style>
  <w:style w:type="character" w:styleId="Strong">
    <w:name w:val="Strong"/>
    <w:basedOn w:val="DefaultParagraphFont"/>
    <w:uiPriority w:val="22"/>
    <w:qFormat/>
    <w:rsid w:val="000B42F4"/>
    <w:rPr>
      <w:rFonts w:asciiTheme="minorHAnsi" w:hAnsiTheme="minorHAnsi"/>
      <w:b/>
      <w:bCs/>
      <w:sz w:val="22"/>
    </w:rPr>
  </w:style>
  <w:style w:type="paragraph" w:customStyle="1" w:styleId="FigureTitle">
    <w:name w:val="Figure Title"/>
    <w:basedOn w:val="Normal"/>
    <w:qFormat/>
    <w:rsid w:val="000E4B6E"/>
    <w:pPr>
      <w:keepNext/>
      <w:spacing w:before="480" w:after="0"/>
    </w:pPr>
    <w:rPr>
      <w:b/>
      <w:sz w:val="22"/>
    </w:rPr>
  </w:style>
  <w:style w:type="character" w:customStyle="1" w:styleId="UnresolvedMention1">
    <w:name w:val="Unresolved Mention1"/>
    <w:basedOn w:val="DefaultParagraphFont"/>
    <w:uiPriority w:val="99"/>
    <w:rsid w:val="00377C65"/>
    <w:rPr>
      <w:color w:val="808080"/>
      <w:shd w:val="clear" w:color="auto" w:fill="E6E6E6"/>
    </w:rPr>
  </w:style>
  <w:style w:type="character" w:customStyle="1" w:styleId="apple-converted-space">
    <w:name w:val="apple-converted-space"/>
    <w:basedOn w:val="DefaultParagraphFont"/>
    <w:rsid w:val="00377C65"/>
  </w:style>
  <w:style w:type="character" w:styleId="PlaceholderText">
    <w:name w:val="Placeholder Text"/>
    <w:basedOn w:val="DefaultParagraphFont"/>
    <w:uiPriority w:val="99"/>
    <w:semiHidden/>
    <w:rsid w:val="00DE62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1513">
      <w:bodyDiv w:val="1"/>
      <w:marLeft w:val="0"/>
      <w:marRight w:val="0"/>
      <w:marTop w:val="0"/>
      <w:marBottom w:val="0"/>
      <w:divBdr>
        <w:top w:val="none" w:sz="0" w:space="0" w:color="auto"/>
        <w:left w:val="none" w:sz="0" w:space="0" w:color="auto"/>
        <w:bottom w:val="none" w:sz="0" w:space="0" w:color="auto"/>
        <w:right w:val="none" w:sz="0" w:space="0" w:color="auto"/>
      </w:divBdr>
    </w:div>
    <w:div w:id="74476140">
      <w:bodyDiv w:val="1"/>
      <w:marLeft w:val="0"/>
      <w:marRight w:val="0"/>
      <w:marTop w:val="0"/>
      <w:marBottom w:val="0"/>
      <w:divBdr>
        <w:top w:val="none" w:sz="0" w:space="0" w:color="auto"/>
        <w:left w:val="none" w:sz="0" w:space="0" w:color="auto"/>
        <w:bottom w:val="none" w:sz="0" w:space="0" w:color="auto"/>
        <w:right w:val="none" w:sz="0" w:space="0" w:color="auto"/>
      </w:divBdr>
    </w:div>
    <w:div w:id="208691249">
      <w:bodyDiv w:val="1"/>
      <w:marLeft w:val="0"/>
      <w:marRight w:val="0"/>
      <w:marTop w:val="0"/>
      <w:marBottom w:val="0"/>
      <w:divBdr>
        <w:top w:val="none" w:sz="0" w:space="0" w:color="auto"/>
        <w:left w:val="none" w:sz="0" w:space="0" w:color="auto"/>
        <w:bottom w:val="none" w:sz="0" w:space="0" w:color="auto"/>
        <w:right w:val="none" w:sz="0" w:space="0" w:color="auto"/>
      </w:divBdr>
    </w:div>
    <w:div w:id="255947191">
      <w:bodyDiv w:val="1"/>
      <w:marLeft w:val="0"/>
      <w:marRight w:val="0"/>
      <w:marTop w:val="0"/>
      <w:marBottom w:val="0"/>
      <w:divBdr>
        <w:top w:val="none" w:sz="0" w:space="0" w:color="auto"/>
        <w:left w:val="none" w:sz="0" w:space="0" w:color="auto"/>
        <w:bottom w:val="none" w:sz="0" w:space="0" w:color="auto"/>
        <w:right w:val="none" w:sz="0" w:space="0" w:color="auto"/>
      </w:divBdr>
      <w:divsChild>
        <w:div w:id="1125734547">
          <w:marLeft w:val="0"/>
          <w:marRight w:val="0"/>
          <w:marTop w:val="0"/>
          <w:marBottom w:val="0"/>
          <w:divBdr>
            <w:top w:val="none" w:sz="0" w:space="0" w:color="auto"/>
            <w:left w:val="none" w:sz="0" w:space="0" w:color="auto"/>
            <w:bottom w:val="none" w:sz="0" w:space="0" w:color="auto"/>
            <w:right w:val="none" w:sz="0" w:space="0" w:color="auto"/>
          </w:divBdr>
          <w:divsChild>
            <w:div w:id="66929066">
              <w:marLeft w:val="0"/>
              <w:marRight w:val="0"/>
              <w:marTop w:val="0"/>
              <w:marBottom w:val="0"/>
              <w:divBdr>
                <w:top w:val="none" w:sz="0" w:space="0" w:color="auto"/>
                <w:left w:val="none" w:sz="0" w:space="0" w:color="auto"/>
                <w:bottom w:val="none" w:sz="0" w:space="0" w:color="auto"/>
                <w:right w:val="none" w:sz="0" w:space="0" w:color="auto"/>
              </w:divBdr>
              <w:divsChild>
                <w:div w:id="22803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623517">
      <w:bodyDiv w:val="1"/>
      <w:marLeft w:val="0"/>
      <w:marRight w:val="0"/>
      <w:marTop w:val="0"/>
      <w:marBottom w:val="0"/>
      <w:divBdr>
        <w:top w:val="none" w:sz="0" w:space="0" w:color="auto"/>
        <w:left w:val="none" w:sz="0" w:space="0" w:color="auto"/>
        <w:bottom w:val="none" w:sz="0" w:space="0" w:color="auto"/>
        <w:right w:val="none" w:sz="0" w:space="0" w:color="auto"/>
      </w:divBdr>
    </w:div>
    <w:div w:id="776943316">
      <w:bodyDiv w:val="1"/>
      <w:marLeft w:val="0"/>
      <w:marRight w:val="0"/>
      <w:marTop w:val="0"/>
      <w:marBottom w:val="0"/>
      <w:divBdr>
        <w:top w:val="none" w:sz="0" w:space="0" w:color="auto"/>
        <w:left w:val="none" w:sz="0" w:space="0" w:color="auto"/>
        <w:bottom w:val="none" w:sz="0" w:space="0" w:color="auto"/>
        <w:right w:val="none" w:sz="0" w:space="0" w:color="auto"/>
      </w:divBdr>
      <w:divsChild>
        <w:div w:id="1187721150">
          <w:marLeft w:val="0"/>
          <w:marRight w:val="0"/>
          <w:marTop w:val="0"/>
          <w:marBottom w:val="0"/>
          <w:divBdr>
            <w:top w:val="none" w:sz="0" w:space="0" w:color="auto"/>
            <w:left w:val="none" w:sz="0" w:space="0" w:color="auto"/>
            <w:bottom w:val="none" w:sz="0" w:space="0" w:color="auto"/>
            <w:right w:val="none" w:sz="0" w:space="0" w:color="auto"/>
          </w:divBdr>
          <w:divsChild>
            <w:div w:id="609818968">
              <w:marLeft w:val="0"/>
              <w:marRight w:val="0"/>
              <w:marTop w:val="0"/>
              <w:marBottom w:val="0"/>
              <w:divBdr>
                <w:top w:val="none" w:sz="0" w:space="0" w:color="auto"/>
                <w:left w:val="none" w:sz="0" w:space="0" w:color="auto"/>
                <w:bottom w:val="none" w:sz="0" w:space="0" w:color="auto"/>
                <w:right w:val="none" w:sz="0" w:space="0" w:color="auto"/>
              </w:divBdr>
              <w:divsChild>
                <w:div w:id="242229858">
                  <w:marLeft w:val="0"/>
                  <w:marRight w:val="0"/>
                  <w:marTop w:val="0"/>
                  <w:marBottom w:val="0"/>
                  <w:divBdr>
                    <w:top w:val="none" w:sz="0" w:space="0" w:color="auto"/>
                    <w:left w:val="none" w:sz="0" w:space="0" w:color="auto"/>
                    <w:bottom w:val="none" w:sz="0" w:space="0" w:color="auto"/>
                    <w:right w:val="none" w:sz="0" w:space="0" w:color="auto"/>
                  </w:divBdr>
                </w:div>
                <w:div w:id="1992757766">
                  <w:marLeft w:val="0"/>
                  <w:marRight w:val="0"/>
                  <w:marTop w:val="0"/>
                  <w:marBottom w:val="0"/>
                  <w:divBdr>
                    <w:top w:val="none" w:sz="0" w:space="0" w:color="auto"/>
                    <w:left w:val="none" w:sz="0" w:space="0" w:color="auto"/>
                    <w:bottom w:val="none" w:sz="0" w:space="0" w:color="auto"/>
                    <w:right w:val="none" w:sz="0" w:space="0" w:color="auto"/>
                  </w:divBdr>
                  <w:divsChild>
                    <w:div w:id="87323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8886957">
                          <w:marLeft w:val="0"/>
                          <w:marRight w:val="0"/>
                          <w:marTop w:val="0"/>
                          <w:marBottom w:val="0"/>
                          <w:divBdr>
                            <w:top w:val="none" w:sz="0" w:space="0" w:color="auto"/>
                            <w:left w:val="none" w:sz="0" w:space="0" w:color="auto"/>
                            <w:bottom w:val="none" w:sz="0" w:space="0" w:color="auto"/>
                            <w:right w:val="none" w:sz="0" w:space="0" w:color="auto"/>
                          </w:divBdr>
                          <w:divsChild>
                            <w:div w:id="820774653">
                              <w:marLeft w:val="0"/>
                              <w:marRight w:val="0"/>
                              <w:marTop w:val="0"/>
                              <w:marBottom w:val="0"/>
                              <w:divBdr>
                                <w:top w:val="none" w:sz="0" w:space="0" w:color="auto"/>
                                <w:left w:val="none" w:sz="0" w:space="0" w:color="auto"/>
                                <w:bottom w:val="none" w:sz="0" w:space="0" w:color="auto"/>
                                <w:right w:val="none" w:sz="0" w:space="0" w:color="auto"/>
                              </w:divBdr>
                              <w:divsChild>
                                <w:div w:id="245767398">
                                  <w:marLeft w:val="0"/>
                                  <w:marRight w:val="0"/>
                                  <w:marTop w:val="0"/>
                                  <w:marBottom w:val="0"/>
                                  <w:divBdr>
                                    <w:top w:val="none" w:sz="0" w:space="0" w:color="auto"/>
                                    <w:left w:val="none" w:sz="0" w:space="0" w:color="auto"/>
                                    <w:bottom w:val="none" w:sz="0" w:space="0" w:color="auto"/>
                                    <w:right w:val="none" w:sz="0" w:space="0" w:color="auto"/>
                                  </w:divBdr>
                                </w:div>
                                <w:div w:id="9567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329773">
      <w:bodyDiv w:val="1"/>
      <w:marLeft w:val="0"/>
      <w:marRight w:val="0"/>
      <w:marTop w:val="0"/>
      <w:marBottom w:val="0"/>
      <w:divBdr>
        <w:top w:val="none" w:sz="0" w:space="0" w:color="auto"/>
        <w:left w:val="none" w:sz="0" w:space="0" w:color="auto"/>
        <w:bottom w:val="none" w:sz="0" w:space="0" w:color="auto"/>
        <w:right w:val="none" w:sz="0" w:space="0" w:color="auto"/>
      </w:divBdr>
      <w:divsChild>
        <w:div w:id="1654790961">
          <w:marLeft w:val="0"/>
          <w:marRight w:val="0"/>
          <w:marTop w:val="0"/>
          <w:marBottom w:val="0"/>
          <w:divBdr>
            <w:top w:val="none" w:sz="0" w:space="0" w:color="auto"/>
            <w:left w:val="none" w:sz="0" w:space="0" w:color="auto"/>
            <w:bottom w:val="none" w:sz="0" w:space="0" w:color="auto"/>
            <w:right w:val="none" w:sz="0" w:space="0" w:color="auto"/>
          </w:divBdr>
          <w:divsChild>
            <w:div w:id="849567580">
              <w:marLeft w:val="0"/>
              <w:marRight w:val="0"/>
              <w:marTop w:val="0"/>
              <w:marBottom w:val="0"/>
              <w:divBdr>
                <w:top w:val="none" w:sz="0" w:space="0" w:color="auto"/>
                <w:left w:val="none" w:sz="0" w:space="0" w:color="auto"/>
                <w:bottom w:val="none" w:sz="0" w:space="0" w:color="auto"/>
                <w:right w:val="none" w:sz="0" w:space="0" w:color="auto"/>
              </w:divBdr>
              <w:divsChild>
                <w:div w:id="67391368">
                  <w:marLeft w:val="0"/>
                  <w:marRight w:val="0"/>
                  <w:marTop w:val="0"/>
                  <w:marBottom w:val="0"/>
                  <w:divBdr>
                    <w:top w:val="none" w:sz="0" w:space="0" w:color="auto"/>
                    <w:left w:val="none" w:sz="0" w:space="0" w:color="auto"/>
                    <w:bottom w:val="none" w:sz="0" w:space="0" w:color="auto"/>
                    <w:right w:val="none" w:sz="0" w:space="0" w:color="auto"/>
                  </w:divBdr>
                  <w:divsChild>
                    <w:div w:id="19979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5280">
      <w:bodyDiv w:val="1"/>
      <w:marLeft w:val="0"/>
      <w:marRight w:val="0"/>
      <w:marTop w:val="0"/>
      <w:marBottom w:val="0"/>
      <w:divBdr>
        <w:top w:val="none" w:sz="0" w:space="0" w:color="auto"/>
        <w:left w:val="none" w:sz="0" w:space="0" w:color="auto"/>
        <w:bottom w:val="none" w:sz="0" w:space="0" w:color="auto"/>
        <w:right w:val="none" w:sz="0" w:space="0" w:color="auto"/>
      </w:divBdr>
      <w:divsChild>
        <w:div w:id="737092298">
          <w:marLeft w:val="0"/>
          <w:marRight w:val="0"/>
          <w:marTop w:val="0"/>
          <w:marBottom w:val="0"/>
          <w:divBdr>
            <w:top w:val="none" w:sz="0" w:space="0" w:color="auto"/>
            <w:left w:val="none" w:sz="0" w:space="0" w:color="auto"/>
            <w:bottom w:val="none" w:sz="0" w:space="0" w:color="auto"/>
            <w:right w:val="none" w:sz="0" w:space="0" w:color="auto"/>
          </w:divBdr>
        </w:div>
        <w:div w:id="1099375340">
          <w:marLeft w:val="0"/>
          <w:marRight w:val="0"/>
          <w:marTop w:val="0"/>
          <w:marBottom w:val="0"/>
          <w:divBdr>
            <w:top w:val="none" w:sz="0" w:space="0" w:color="auto"/>
            <w:left w:val="none" w:sz="0" w:space="0" w:color="auto"/>
            <w:bottom w:val="none" w:sz="0" w:space="0" w:color="auto"/>
            <w:right w:val="none" w:sz="0" w:space="0" w:color="auto"/>
          </w:divBdr>
        </w:div>
        <w:div w:id="1129981736">
          <w:marLeft w:val="0"/>
          <w:marRight w:val="0"/>
          <w:marTop w:val="0"/>
          <w:marBottom w:val="0"/>
          <w:divBdr>
            <w:top w:val="none" w:sz="0" w:space="0" w:color="auto"/>
            <w:left w:val="none" w:sz="0" w:space="0" w:color="auto"/>
            <w:bottom w:val="none" w:sz="0" w:space="0" w:color="auto"/>
            <w:right w:val="none" w:sz="0" w:space="0" w:color="auto"/>
          </w:divBdr>
        </w:div>
      </w:divsChild>
    </w:div>
    <w:div w:id="1176456696">
      <w:bodyDiv w:val="1"/>
      <w:marLeft w:val="0"/>
      <w:marRight w:val="0"/>
      <w:marTop w:val="0"/>
      <w:marBottom w:val="0"/>
      <w:divBdr>
        <w:top w:val="none" w:sz="0" w:space="0" w:color="auto"/>
        <w:left w:val="none" w:sz="0" w:space="0" w:color="auto"/>
        <w:bottom w:val="none" w:sz="0" w:space="0" w:color="auto"/>
        <w:right w:val="none" w:sz="0" w:space="0" w:color="auto"/>
      </w:divBdr>
    </w:div>
    <w:div w:id="1212229475">
      <w:bodyDiv w:val="1"/>
      <w:marLeft w:val="0"/>
      <w:marRight w:val="0"/>
      <w:marTop w:val="0"/>
      <w:marBottom w:val="0"/>
      <w:divBdr>
        <w:top w:val="none" w:sz="0" w:space="0" w:color="auto"/>
        <w:left w:val="none" w:sz="0" w:space="0" w:color="auto"/>
        <w:bottom w:val="none" w:sz="0" w:space="0" w:color="auto"/>
        <w:right w:val="none" w:sz="0" w:space="0" w:color="auto"/>
      </w:divBdr>
    </w:div>
    <w:div w:id="1220441336">
      <w:bodyDiv w:val="1"/>
      <w:marLeft w:val="0"/>
      <w:marRight w:val="0"/>
      <w:marTop w:val="0"/>
      <w:marBottom w:val="0"/>
      <w:divBdr>
        <w:top w:val="none" w:sz="0" w:space="0" w:color="auto"/>
        <w:left w:val="none" w:sz="0" w:space="0" w:color="auto"/>
        <w:bottom w:val="none" w:sz="0" w:space="0" w:color="auto"/>
        <w:right w:val="none" w:sz="0" w:space="0" w:color="auto"/>
      </w:divBdr>
    </w:div>
    <w:div w:id="1246454296">
      <w:bodyDiv w:val="1"/>
      <w:marLeft w:val="0"/>
      <w:marRight w:val="0"/>
      <w:marTop w:val="0"/>
      <w:marBottom w:val="0"/>
      <w:divBdr>
        <w:top w:val="none" w:sz="0" w:space="0" w:color="auto"/>
        <w:left w:val="none" w:sz="0" w:space="0" w:color="auto"/>
        <w:bottom w:val="none" w:sz="0" w:space="0" w:color="auto"/>
        <w:right w:val="none" w:sz="0" w:space="0" w:color="auto"/>
      </w:divBdr>
    </w:div>
    <w:div w:id="1376007083">
      <w:bodyDiv w:val="1"/>
      <w:marLeft w:val="0"/>
      <w:marRight w:val="0"/>
      <w:marTop w:val="0"/>
      <w:marBottom w:val="0"/>
      <w:divBdr>
        <w:top w:val="none" w:sz="0" w:space="0" w:color="auto"/>
        <w:left w:val="none" w:sz="0" w:space="0" w:color="auto"/>
        <w:bottom w:val="none" w:sz="0" w:space="0" w:color="auto"/>
        <w:right w:val="none" w:sz="0" w:space="0" w:color="auto"/>
      </w:divBdr>
      <w:divsChild>
        <w:div w:id="1713261305">
          <w:marLeft w:val="0"/>
          <w:marRight w:val="0"/>
          <w:marTop w:val="0"/>
          <w:marBottom w:val="0"/>
          <w:divBdr>
            <w:top w:val="none" w:sz="0" w:space="0" w:color="auto"/>
            <w:left w:val="none" w:sz="0" w:space="0" w:color="auto"/>
            <w:bottom w:val="none" w:sz="0" w:space="0" w:color="auto"/>
            <w:right w:val="none" w:sz="0" w:space="0" w:color="auto"/>
          </w:divBdr>
          <w:divsChild>
            <w:div w:id="1878227619">
              <w:marLeft w:val="0"/>
              <w:marRight w:val="0"/>
              <w:marTop w:val="0"/>
              <w:marBottom w:val="0"/>
              <w:divBdr>
                <w:top w:val="none" w:sz="0" w:space="0" w:color="auto"/>
                <w:left w:val="none" w:sz="0" w:space="0" w:color="auto"/>
                <w:bottom w:val="none" w:sz="0" w:space="0" w:color="auto"/>
                <w:right w:val="none" w:sz="0" w:space="0" w:color="auto"/>
              </w:divBdr>
              <w:divsChild>
                <w:div w:id="648435821">
                  <w:marLeft w:val="0"/>
                  <w:marRight w:val="0"/>
                  <w:marTop w:val="0"/>
                  <w:marBottom w:val="0"/>
                  <w:divBdr>
                    <w:top w:val="none" w:sz="0" w:space="0" w:color="auto"/>
                    <w:left w:val="none" w:sz="0" w:space="0" w:color="auto"/>
                    <w:bottom w:val="none" w:sz="0" w:space="0" w:color="auto"/>
                    <w:right w:val="none" w:sz="0" w:space="0" w:color="auto"/>
                  </w:divBdr>
                </w:div>
                <w:div w:id="10762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1998">
      <w:bodyDiv w:val="1"/>
      <w:marLeft w:val="0"/>
      <w:marRight w:val="0"/>
      <w:marTop w:val="0"/>
      <w:marBottom w:val="0"/>
      <w:divBdr>
        <w:top w:val="none" w:sz="0" w:space="0" w:color="auto"/>
        <w:left w:val="none" w:sz="0" w:space="0" w:color="auto"/>
        <w:bottom w:val="none" w:sz="0" w:space="0" w:color="auto"/>
        <w:right w:val="none" w:sz="0" w:space="0" w:color="auto"/>
      </w:divBdr>
    </w:div>
    <w:div w:id="1463695089">
      <w:bodyDiv w:val="1"/>
      <w:marLeft w:val="0"/>
      <w:marRight w:val="0"/>
      <w:marTop w:val="0"/>
      <w:marBottom w:val="0"/>
      <w:divBdr>
        <w:top w:val="none" w:sz="0" w:space="0" w:color="auto"/>
        <w:left w:val="none" w:sz="0" w:space="0" w:color="auto"/>
        <w:bottom w:val="none" w:sz="0" w:space="0" w:color="auto"/>
        <w:right w:val="none" w:sz="0" w:space="0" w:color="auto"/>
      </w:divBdr>
    </w:div>
    <w:div w:id="1465080466">
      <w:bodyDiv w:val="1"/>
      <w:marLeft w:val="0"/>
      <w:marRight w:val="0"/>
      <w:marTop w:val="0"/>
      <w:marBottom w:val="0"/>
      <w:divBdr>
        <w:top w:val="none" w:sz="0" w:space="0" w:color="auto"/>
        <w:left w:val="none" w:sz="0" w:space="0" w:color="auto"/>
        <w:bottom w:val="none" w:sz="0" w:space="0" w:color="auto"/>
        <w:right w:val="none" w:sz="0" w:space="0" w:color="auto"/>
      </w:divBdr>
    </w:div>
    <w:div w:id="1481997639">
      <w:bodyDiv w:val="1"/>
      <w:marLeft w:val="0"/>
      <w:marRight w:val="0"/>
      <w:marTop w:val="0"/>
      <w:marBottom w:val="0"/>
      <w:divBdr>
        <w:top w:val="none" w:sz="0" w:space="0" w:color="auto"/>
        <w:left w:val="none" w:sz="0" w:space="0" w:color="auto"/>
        <w:bottom w:val="none" w:sz="0" w:space="0" w:color="auto"/>
        <w:right w:val="none" w:sz="0" w:space="0" w:color="auto"/>
      </w:divBdr>
    </w:div>
    <w:div w:id="1628704945">
      <w:bodyDiv w:val="1"/>
      <w:marLeft w:val="0"/>
      <w:marRight w:val="0"/>
      <w:marTop w:val="0"/>
      <w:marBottom w:val="0"/>
      <w:divBdr>
        <w:top w:val="none" w:sz="0" w:space="0" w:color="auto"/>
        <w:left w:val="none" w:sz="0" w:space="0" w:color="auto"/>
        <w:bottom w:val="none" w:sz="0" w:space="0" w:color="auto"/>
        <w:right w:val="none" w:sz="0" w:space="0" w:color="auto"/>
      </w:divBdr>
      <w:divsChild>
        <w:div w:id="450635618">
          <w:marLeft w:val="0"/>
          <w:marRight w:val="0"/>
          <w:marTop w:val="0"/>
          <w:marBottom w:val="0"/>
          <w:divBdr>
            <w:top w:val="none" w:sz="0" w:space="0" w:color="auto"/>
            <w:left w:val="none" w:sz="0" w:space="0" w:color="auto"/>
            <w:bottom w:val="none" w:sz="0" w:space="0" w:color="auto"/>
            <w:right w:val="none" w:sz="0" w:space="0" w:color="auto"/>
          </w:divBdr>
          <w:divsChild>
            <w:div w:id="141702872">
              <w:marLeft w:val="0"/>
              <w:marRight w:val="0"/>
              <w:marTop w:val="0"/>
              <w:marBottom w:val="0"/>
              <w:divBdr>
                <w:top w:val="none" w:sz="0" w:space="0" w:color="auto"/>
                <w:left w:val="none" w:sz="0" w:space="0" w:color="auto"/>
                <w:bottom w:val="none" w:sz="0" w:space="0" w:color="auto"/>
                <w:right w:val="none" w:sz="0" w:space="0" w:color="auto"/>
              </w:divBdr>
              <w:divsChild>
                <w:div w:id="1439180222">
                  <w:marLeft w:val="0"/>
                  <w:marRight w:val="0"/>
                  <w:marTop w:val="0"/>
                  <w:marBottom w:val="0"/>
                  <w:divBdr>
                    <w:top w:val="none" w:sz="0" w:space="0" w:color="auto"/>
                    <w:left w:val="none" w:sz="0" w:space="0" w:color="auto"/>
                    <w:bottom w:val="none" w:sz="0" w:space="0" w:color="auto"/>
                    <w:right w:val="none" w:sz="0" w:space="0" w:color="auto"/>
                  </w:divBdr>
                  <w:divsChild>
                    <w:div w:id="6188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91568">
      <w:bodyDiv w:val="1"/>
      <w:marLeft w:val="0"/>
      <w:marRight w:val="0"/>
      <w:marTop w:val="0"/>
      <w:marBottom w:val="0"/>
      <w:divBdr>
        <w:top w:val="none" w:sz="0" w:space="0" w:color="auto"/>
        <w:left w:val="none" w:sz="0" w:space="0" w:color="auto"/>
        <w:bottom w:val="none" w:sz="0" w:space="0" w:color="auto"/>
        <w:right w:val="none" w:sz="0" w:space="0" w:color="auto"/>
      </w:divBdr>
    </w:div>
    <w:div w:id="1704400519">
      <w:bodyDiv w:val="1"/>
      <w:marLeft w:val="0"/>
      <w:marRight w:val="0"/>
      <w:marTop w:val="0"/>
      <w:marBottom w:val="0"/>
      <w:divBdr>
        <w:top w:val="none" w:sz="0" w:space="0" w:color="auto"/>
        <w:left w:val="none" w:sz="0" w:space="0" w:color="auto"/>
        <w:bottom w:val="none" w:sz="0" w:space="0" w:color="auto"/>
        <w:right w:val="none" w:sz="0" w:space="0" w:color="auto"/>
      </w:divBdr>
      <w:divsChild>
        <w:div w:id="641156771">
          <w:marLeft w:val="0"/>
          <w:marRight w:val="0"/>
          <w:marTop w:val="0"/>
          <w:marBottom w:val="0"/>
          <w:divBdr>
            <w:top w:val="none" w:sz="0" w:space="0" w:color="auto"/>
            <w:left w:val="none" w:sz="0" w:space="0" w:color="auto"/>
            <w:bottom w:val="none" w:sz="0" w:space="0" w:color="auto"/>
            <w:right w:val="none" w:sz="0" w:space="0" w:color="auto"/>
          </w:divBdr>
          <w:divsChild>
            <w:div w:id="119735274">
              <w:marLeft w:val="0"/>
              <w:marRight w:val="0"/>
              <w:marTop w:val="0"/>
              <w:marBottom w:val="0"/>
              <w:divBdr>
                <w:top w:val="none" w:sz="0" w:space="0" w:color="auto"/>
                <w:left w:val="none" w:sz="0" w:space="0" w:color="auto"/>
                <w:bottom w:val="none" w:sz="0" w:space="0" w:color="auto"/>
                <w:right w:val="none" w:sz="0" w:space="0" w:color="auto"/>
              </w:divBdr>
              <w:divsChild>
                <w:div w:id="37847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5052">
      <w:bodyDiv w:val="1"/>
      <w:marLeft w:val="0"/>
      <w:marRight w:val="0"/>
      <w:marTop w:val="0"/>
      <w:marBottom w:val="0"/>
      <w:divBdr>
        <w:top w:val="none" w:sz="0" w:space="0" w:color="auto"/>
        <w:left w:val="none" w:sz="0" w:space="0" w:color="auto"/>
        <w:bottom w:val="none" w:sz="0" w:space="0" w:color="auto"/>
        <w:right w:val="none" w:sz="0" w:space="0" w:color="auto"/>
      </w:divBdr>
    </w:div>
    <w:div w:id="1897814469">
      <w:bodyDiv w:val="1"/>
      <w:marLeft w:val="0"/>
      <w:marRight w:val="0"/>
      <w:marTop w:val="0"/>
      <w:marBottom w:val="0"/>
      <w:divBdr>
        <w:top w:val="none" w:sz="0" w:space="0" w:color="auto"/>
        <w:left w:val="none" w:sz="0" w:space="0" w:color="auto"/>
        <w:bottom w:val="none" w:sz="0" w:space="0" w:color="auto"/>
        <w:right w:val="none" w:sz="0" w:space="0" w:color="auto"/>
      </w:divBdr>
    </w:div>
    <w:div w:id="1906377120">
      <w:bodyDiv w:val="1"/>
      <w:marLeft w:val="0"/>
      <w:marRight w:val="0"/>
      <w:marTop w:val="0"/>
      <w:marBottom w:val="0"/>
      <w:divBdr>
        <w:top w:val="none" w:sz="0" w:space="0" w:color="auto"/>
        <w:left w:val="none" w:sz="0" w:space="0" w:color="auto"/>
        <w:bottom w:val="none" w:sz="0" w:space="0" w:color="auto"/>
        <w:right w:val="none" w:sz="0" w:space="0" w:color="auto"/>
      </w:divBdr>
    </w:div>
    <w:div w:id="1981183770">
      <w:bodyDiv w:val="1"/>
      <w:marLeft w:val="0"/>
      <w:marRight w:val="0"/>
      <w:marTop w:val="0"/>
      <w:marBottom w:val="0"/>
      <w:divBdr>
        <w:top w:val="none" w:sz="0" w:space="0" w:color="auto"/>
        <w:left w:val="none" w:sz="0" w:space="0" w:color="auto"/>
        <w:bottom w:val="none" w:sz="0" w:space="0" w:color="auto"/>
        <w:right w:val="none" w:sz="0" w:space="0" w:color="auto"/>
      </w:divBdr>
      <w:divsChild>
        <w:div w:id="1774937228">
          <w:marLeft w:val="0"/>
          <w:marRight w:val="0"/>
          <w:marTop w:val="0"/>
          <w:marBottom w:val="0"/>
          <w:divBdr>
            <w:top w:val="none" w:sz="0" w:space="0" w:color="auto"/>
            <w:left w:val="none" w:sz="0" w:space="0" w:color="auto"/>
            <w:bottom w:val="none" w:sz="0" w:space="0" w:color="auto"/>
            <w:right w:val="none" w:sz="0" w:space="0" w:color="auto"/>
          </w:divBdr>
        </w:div>
      </w:divsChild>
    </w:div>
    <w:div w:id="211497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nul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nul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nul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null)"/><Relationship Id="rId4" Type="http://schemas.openxmlformats.org/officeDocument/2006/relationships/webSettings" Target="webSettings.xml"/><Relationship Id="rId9" Type="http://schemas.openxmlformats.org/officeDocument/2006/relationships/image" Target="media/image3.(nul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12</Pages>
  <Words>1606</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Lührmann</dc:creator>
  <cp:keywords/>
  <dc:description/>
  <cp:lastModifiedBy>Staffan I. Lindberg</cp:lastModifiedBy>
  <cp:revision>19</cp:revision>
  <dcterms:created xsi:type="dcterms:W3CDTF">2018-05-06T17:51:00Z</dcterms:created>
  <dcterms:modified xsi:type="dcterms:W3CDTF">2018-05-17T15:53:00Z</dcterms:modified>
</cp:coreProperties>
</file>