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43CE" w:rsidRDefault="00240756">
      <w:pPr>
        <w:pStyle w:val="Heading1"/>
        <w:spacing w:before="79"/>
        <w:jc w:val="left"/>
      </w:pPr>
      <w:r>
        <w:t>SUPPLEMENTAL INFORMATION</w:t>
      </w:r>
    </w:p>
    <w:p w:rsidR="007943CE" w:rsidRDefault="007943CE">
      <w:pPr>
        <w:pStyle w:val="BodyText"/>
        <w:rPr>
          <w:b/>
          <w:sz w:val="26"/>
        </w:rPr>
      </w:pPr>
    </w:p>
    <w:p w:rsidR="007943CE" w:rsidRDefault="007943CE">
      <w:pPr>
        <w:pStyle w:val="BodyText"/>
        <w:spacing w:before="6"/>
        <w:rPr>
          <w:b/>
          <w:sz w:val="21"/>
        </w:rPr>
      </w:pPr>
    </w:p>
    <w:p w:rsidR="007943CE" w:rsidRDefault="007943CE">
      <w:pPr>
        <w:pStyle w:val="BodyText"/>
        <w:spacing w:before="6"/>
        <w:rPr>
          <w:sz w:val="22"/>
        </w:rPr>
      </w:pPr>
      <w:bookmarkStart w:id="0" w:name="_GoBack"/>
      <w:bookmarkEnd w:id="0"/>
    </w:p>
    <w:p w:rsidR="00240756" w:rsidRPr="0088018D" w:rsidRDefault="00240756" w:rsidP="00240756">
      <w:pPr>
        <w:pStyle w:val="NormalWeb"/>
        <w:spacing w:before="0" w:beforeAutospacing="0" w:after="0" w:afterAutospacing="0" w:line="360" w:lineRule="auto"/>
        <w:jc w:val="center"/>
        <w:textAlignment w:val="baseline"/>
        <w:rPr>
          <w:rFonts w:eastAsiaTheme="minorEastAsia" w:cstheme="minorBidi"/>
          <w:caps/>
          <w:color w:val="000000" w:themeColor="text1"/>
          <w:kern w:val="24"/>
        </w:rPr>
      </w:pPr>
      <w:r w:rsidRPr="0088018D">
        <w:rPr>
          <w:rFonts w:eastAsiaTheme="minorEastAsia" w:cstheme="minorBidi"/>
          <w:caps/>
          <w:color w:val="000000" w:themeColor="text1"/>
          <w:kern w:val="24"/>
        </w:rPr>
        <w:t>a membrane fusion protein, YKT6, regulates epithelial cell migration via microRNA-mediated suppression of junctional adhesion molecule A</w:t>
      </w:r>
    </w:p>
    <w:p w:rsidR="00240756" w:rsidRPr="0088018D" w:rsidRDefault="00240756" w:rsidP="00240756">
      <w:pPr>
        <w:pStyle w:val="NormalWeb"/>
        <w:spacing w:before="0" w:beforeAutospacing="0" w:after="0" w:afterAutospacing="0"/>
        <w:jc w:val="both"/>
        <w:textAlignment w:val="baseline"/>
        <w:rPr>
          <w:rFonts w:eastAsiaTheme="minorEastAsia" w:cstheme="minorBidi"/>
          <w:color w:val="000000" w:themeColor="text1"/>
          <w:kern w:val="24"/>
        </w:rPr>
      </w:pPr>
    </w:p>
    <w:p w:rsidR="00240756" w:rsidRDefault="00240756" w:rsidP="00240756">
      <w:pPr>
        <w:pStyle w:val="BodyText"/>
        <w:spacing w:line="360" w:lineRule="auto"/>
        <w:ind w:right="-360"/>
        <w:jc w:val="both"/>
        <w:rPr>
          <w:vertAlign w:val="superscript"/>
        </w:rPr>
      </w:pPr>
      <w:r>
        <w:t>Nayden G. Naydenov</w:t>
      </w:r>
      <w:r>
        <w:rPr>
          <w:vertAlign w:val="superscript"/>
        </w:rPr>
        <w:t>1</w:t>
      </w:r>
      <w:proofErr w:type="gramStart"/>
      <w:r>
        <w:rPr>
          <w:vertAlign w:val="superscript"/>
        </w:rPr>
        <w:t>,2</w:t>
      </w:r>
      <w:proofErr w:type="gramEnd"/>
      <w:r>
        <w:t xml:space="preserve">, </w:t>
      </w:r>
      <w:proofErr w:type="spellStart"/>
      <w:r>
        <w:t>Supriya</w:t>
      </w:r>
      <w:proofErr w:type="spellEnd"/>
      <w:r>
        <w:t xml:space="preserve"> Joshi</w:t>
      </w:r>
      <w:r>
        <w:rPr>
          <w:vertAlign w:val="superscript"/>
        </w:rPr>
        <w:t>1</w:t>
      </w:r>
      <w:r>
        <w:rPr>
          <w:rFonts w:hint="eastAsia"/>
          <w:lang w:eastAsia="zh-CN"/>
        </w:rPr>
        <w:t>,</w:t>
      </w:r>
      <w:r>
        <w:t xml:space="preserve"> Alex Feygin</w:t>
      </w:r>
      <w:r>
        <w:rPr>
          <w:vertAlign w:val="superscript"/>
        </w:rPr>
        <w:t>1</w:t>
      </w:r>
      <w:r>
        <w:t xml:space="preserve">, </w:t>
      </w:r>
      <w:r w:rsidRPr="003B63BA">
        <w:t>Siddharth Saini</w:t>
      </w:r>
      <w:r>
        <w:rPr>
          <w:vertAlign w:val="superscript"/>
        </w:rPr>
        <w:t>3</w:t>
      </w:r>
      <w:r>
        <w:t>, Larisa Litovchick</w:t>
      </w:r>
      <w:r>
        <w:rPr>
          <w:vertAlign w:val="superscript"/>
        </w:rPr>
        <w:t>3</w:t>
      </w:r>
      <w:r>
        <w:t>, and Andrei I. Ivanov</w:t>
      </w:r>
      <w:r w:rsidRPr="0065055B">
        <w:rPr>
          <w:vertAlign w:val="superscript"/>
        </w:rPr>
        <w:t>1,</w:t>
      </w:r>
      <w:r>
        <w:rPr>
          <w:vertAlign w:val="superscript"/>
        </w:rPr>
        <w:t>2</w:t>
      </w:r>
      <w:r w:rsidRPr="0065055B">
        <w:rPr>
          <w:vertAlign w:val="superscript"/>
        </w:rPr>
        <w:t>*</w:t>
      </w:r>
    </w:p>
    <w:p w:rsidR="00240756" w:rsidRDefault="00240756" w:rsidP="00240756">
      <w:pPr>
        <w:pStyle w:val="BodyText"/>
        <w:spacing w:line="360" w:lineRule="auto"/>
        <w:ind w:right="-360"/>
        <w:jc w:val="both"/>
      </w:pPr>
      <w:r>
        <w:rPr>
          <w:vertAlign w:val="superscript"/>
        </w:rPr>
        <w:t xml:space="preserve">1 </w:t>
      </w:r>
      <w:r>
        <w:t xml:space="preserve">Department of Inflammation and Immunity, Lerner Research Institute of Cleveland Clinic Foundation, Cleveland, OH 44195; </w:t>
      </w:r>
      <w:r>
        <w:rPr>
          <w:vertAlign w:val="superscript"/>
        </w:rPr>
        <w:t>2</w:t>
      </w:r>
      <w:r>
        <w:t>Department of Human and Molecular Genetics,</w:t>
      </w:r>
      <w:r w:rsidRPr="00D25CCC">
        <w:t xml:space="preserve"> </w:t>
      </w:r>
      <w:r>
        <w:t xml:space="preserve">Virginia Commonwealth University, Richmond, VA 23298; </w:t>
      </w:r>
      <w:r>
        <w:rPr>
          <w:vertAlign w:val="superscript"/>
        </w:rPr>
        <w:t>3</w:t>
      </w:r>
      <w:r>
        <w:t>Department of Medicine, Virginia Commonwealth University, Richmond, VA 23298</w:t>
      </w:r>
    </w:p>
    <w:p w:rsidR="007943CE" w:rsidRDefault="007943CE">
      <w:pPr>
        <w:spacing w:line="350" w:lineRule="auto"/>
        <w:jc w:val="both"/>
        <w:sectPr w:rsidR="007943CE">
          <w:type w:val="continuous"/>
          <w:pgSz w:w="12240" w:h="15840"/>
          <w:pgMar w:top="1360" w:right="960" w:bottom="280" w:left="1320" w:header="720" w:footer="720" w:gutter="0"/>
          <w:cols w:space="720"/>
        </w:sectPr>
      </w:pPr>
    </w:p>
    <w:p w:rsidR="007943CE" w:rsidRDefault="00240756">
      <w:pPr>
        <w:pStyle w:val="BodyText"/>
        <w:ind w:left="106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4680675" cy="606075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675" cy="6060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3CE" w:rsidRDefault="00240756">
      <w:pPr>
        <w:pStyle w:val="Heading1"/>
        <w:spacing w:before="131" w:line="360" w:lineRule="auto"/>
        <w:ind w:right="476"/>
      </w:pPr>
      <w:r>
        <w:t>Supplemental Figure 1: Ykt6 depletion increases the motility of different prostate epithelial cells.</w:t>
      </w:r>
    </w:p>
    <w:p w:rsidR="007943CE" w:rsidRDefault="00240756">
      <w:pPr>
        <w:pStyle w:val="BodyText"/>
        <w:spacing w:line="360" w:lineRule="auto"/>
        <w:ind w:left="119" w:right="476"/>
        <w:jc w:val="both"/>
      </w:pPr>
      <w:proofErr w:type="gramStart"/>
      <w:r>
        <w:t>p69</w:t>
      </w:r>
      <w:proofErr w:type="gramEnd"/>
      <w:r>
        <w:t xml:space="preserve"> and M17 prostate epithelial cells were transfected with either control siRNA</w:t>
      </w:r>
      <w:r>
        <w:rPr>
          <w:spacing w:val="-41"/>
        </w:rPr>
        <w:t xml:space="preserve"> </w:t>
      </w:r>
      <w:r>
        <w:t>or Ykt6-specific siRNA</w:t>
      </w:r>
      <w:r>
        <w:rPr>
          <w:spacing w:val="-14"/>
        </w:rPr>
        <w:t xml:space="preserve"> </w:t>
      </w:r>
      <w:proofErr w:type="spellStart"/>
      <w:r>
        <w:t>SmartPool</w:t>
      </w:r>
      <w:proofErr w:type="spellEnd"/>
      <w:r>
        <w:t>.</w:t>
      </w:r>
      <w:r>
        <w:rPr>
          <w:spacing w:val="-13"/>
        </w:rPr>
        <w:t xml:space="preserve"> </w:t>
      </w:r>
      <w:r>
        <w:t>(</w:t>
      </w:r>
      <w:r>
        <w:rPr>
          <w:b/>
        </w:rPr>
        <w:t>a</w:t>
      </w:r>
      <w:r>
        <w:t>)</w:t>
      </w:r>
      <w:r>
        <w:rPr>
          <w:spacing w:val="-12"/>
        </w:rPr>
        <w:t xml:space="preserve"> </w:t>
      </w:r>
      <w:r>
        <w:t>Immunoblotting</w:t>
      </w:r>
      <w:r>
        <w:rPr>
          <w:spacing w:val="-16"/>
        </w:rPr>
        <w:t xml:space="preserve"> </w:t>
      </w:r>
      <w:r>
        <w:t>analysis</w:t>
      </w:r>
      <w:r>
        <w:rPr>
          <w:spacing w:val="-13"/>
        </w:rPr>
        <w:t xml:space="preserve"> </w:t>
      </w:r>
      <w:r>
        <w:t>displays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efficiency</w:t>
      </w:r>
      <w:r>
        <w:rPr>
          <w:spacing w:val="-16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Ykt6</w:t>
      </w:r>
      <w:r>
        <w:rPr>
          <w:spacing w:val="-13"/>
        </w:rPr>
        <w:t xml:space="preserve"> </w:t>
      </w:r>
      <w:r>
        <w:t>knockdown</w:t>
      </w:r>
      <w:r>
        <w:rPr>
          <w:spacing w:val="-13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day 4 post-transfection. (</w:t>
      </w:r>
      <w:r>
        <w:rPr>
          <w:b/>
        </w:rPr>
        <w:t>b</w:t>
      </w:r>
      <w:r>
        <w:t>) Representative images of wound healing in p69 and M17 cell monolayers transfected with either control, or two Ykt6-speci</w:t>
      </w:r>
      <w:r>
        <w:t>fic, siRNAs. (</w:t>
      </w:r>
      <w:r>
        <w:rPr>
          <w:b/>
        </w:rPr>
        <w:t>c</w:t>
      </w:r>
      <w:r>
        <w:t>) Quantitation of wound closure during</w:t>
      </w:r>
      <w:r>
        <w:rPr>
          <w:spacing w:val="-11"/>
        </w:rPr>
        <w:t xml:space="preserve"> </w:t>
      </w:r>
      <w:r>
        <w:t>8</w:t>
      </w:r>
      <w:r>
        <w:rPr>
          <w:spacing w:val="-9"/>
        </w:rPr>
        <w:t xml:space="preserve"> </w:t>
      </w:r>
      <w:r>
        <w:t>h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cell</w:t>
      </w:r>
      <w:r>
        <w:rPr>
          <w:spacing w:val="-8"/>
        </w:rPr>
        <w:t xml:space="preserve"> </w:t>
      </w:r>
      <w:r>
        <w:t>migration.</w:t>
      </w:r>
      <w:r>
        <w:rPr>
          <w:spacing w:val="-9"/>
        </w:rPr>
        <w:t xml:space="preserve"> </w:t>
      </w:r>
      <w:r>
        <w:t>Data</w:t>
      </w:r>
      <w:r>
        <w:rPr>
          <w:spacing w:val="-10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presented</w:t>
      </w:r>
      <w:r>
        <w:rPr>
          <w:spacing w:val="-9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mean</w:t>
      </w:r>
      <w:r>
        <w:rPr>
          <w:spacing w:val="-9"/>
        </w:rPr>
        <w:t xml:space="preserve"> </w:t>
      </w:r>
      <w:r>
        <w:t>±</w:t>
      </w:r>
      <w:r>
        <w:rPr>
          <w:spacing w:val="-8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(n</w:t>
      </w:r>
      <w:r>
        <w:rPr>
          <w:spacing w:val="-9"/>
        </w:rPr>
        <w:t xml:space="preserve"> </w:t>
      </w:r>
      <w:r>
        <w:t>=</w:t>
      </w:r>
      <w:r>
        <w:rPr>
          <w:spacing w:val="-10"/>
        </w:rPr>
        <w:t xml:space="preserve"> </w:t>
      </w:r>
      <w:r>
        <w:t>3);</w:t>
      </w:r>
      <w:r>
        <w:rPr>
          <w:spacing w:val="-8"/>
        </w:rPr>
        <w:t xml:space="preserve"> </w:t>
      </w:r>
      <w:r>
        <w:t>*P&lt;0.01.</w:t>
      </w:r>
      <w:r>
        <w:rPr>
          <w:spacing w:val="-8"/>
        </w:rPr>
        <w:t xml:space="preserve"> </w:t>
      </w:r>
      <w:r>
        <w:t>Scale</w:t>
      </w:r>
      <w:r>
        <w:rPr>
          <w:spacing w:val="-10"/>
        </w:rPr>
        <w:t xml:space="preserve"> </w:t>
      </w:r>
      <w:r>
        <w:t>bar,</w:t>
      </w:r>
      <w:r>
        <w:rPr>
          <w:spacing w:val="-9"/>
        </w:rPr>
        <w:t xml:space="preserve"> </w:t>
      </w:r>
      <w:r>
        <w:t>200</w:t>
      </w:r>
      <w:r>
        <w:rPr>
          <w:spacing w:val="-9"/>
        </w:rPr>
        <w:t xml:space="preserve"> </w:t>
      </w:r>
      <w:r>
        <w:t>µm.</w:t>
      </w:r>
    </w:p>
    <w:p w:rsidR="007943CE" w:rsidRDefault="007943CE">
      <w:pPr>
        <w:spacing w:line="360" w:lineRule="auto"/>
        <w:jc w:val="both"/>
        <w:sectPr w:rsidR="007943CE">
          <w:pgSz w:w="12240" w:h="15840"/>
          <w:pgMar w:top="1440" w:right="960" w:bottom="280" w:left="1320" w:header="720" w:footer="720" w:gutter="0"/>
          <w:cols w:space="720"/>
        </w:sectPr>
      </w:pPr>
    </w:p>
    <w:p w:rsidR="007943CE" w:rsidRDefault="00240756">
      <w:pPr>
        <w:pStyle w:val="BodyText"/>
        <w:ind w:left="866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4969275" cy="6021228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9275" cy="6021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3CE" w:rsidRDefault="007943CE">
      <w:pPr>
        <w:pStyle w:val="BodyText"/>
        <w:rPr>
          <w:sz w:val="20"/>
        </w:rPr>
      </w:pPr>
    </w:p>
    <w:p w:rsidR="007943CE" w:rsidRDefault="007943CE">
      <w:pPr>
        <w:pStyle w:val="BodyText"/>
        <w:rPr>
          <w:sz w:val="25"/>
        </w:rPr>
      </w:pPr>
    </w:p>
    <w:p w:rsidR="007943CE" w:rsidRDefault="00240756">
      <w:pPr>
        <w:pStyle w:val="Heading1"/>
        <w:spacing w:line="360" w:lineRule="auto"/>
        <w:ind w:right="479"/>
      </w:pPr>
      <w:r>
        <w:t>Supplemental Figure 2: Ykt6 knockdown results in the accumulation of P-cadherin in TGN46-positive intracellular compartments.</w:t>
      </w:r>
    </w:p>
    <w:p w:rsidR="007943CE" w:rsidRDefault="00240756">
      <w:pPr>
        <w:pStyle w:val="BodyText"/>
        <w:spacing w:line="360" w:lineRule="auto"/>
        <w:ind w:left="119" w:right="478"/>
        <w:jc w:val="both"/>
      </w:pPr>
      <w:r>
        <w:t>DU145</w:t>
      </w:r>
      <w:r>
        <w:rPr>
          <w:spacing w:val="-5"/>
        </w:rPr>
        <w:t xml:space="preserve"> </w:t>
      </w:r>
      <w:r>
        <w:t>cells</w:t>
      </w:r>
      <w:r>
        <w:rPr>
          <w:spacing w:val="-5"/>
        </w:rPr>
        <w:t xml:space="preserve"> </w:t>
      </w:r>
      <w:r>
        <w:t>were</w:t>
      </w:r>
      <w:r>
        <w:rPr>
          <w:spacing w:val="-6"/>
        </w:rPr>
        <w:t xml:space="preserve"> </w:t>
      </w:r>
      <w:r>
        <w:t>transfected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Ykt6-specific</w:t>
      </w:r>
      <w:r>
        <w:rPr>
          <w:spacing w:val="-6"/>
        </w:rPr>
        <w:t xml:space="preserve"> </w:t>
      </w:r>
      <w:r>
        <w:t>siRNA</w:t>
      </w:r>
      <w:r>
        <w:rPr>
          <w:spacing w:val="-5"/>
        </w:rPr>
        <w:t xml:space="preserve"> </w:t>
      </w:r>
      <w:r>
        <w:t>D1</w:t>
      </w:r>
      <w:r>
        <w:rPr>
          <w:spacing w:val="-5"/>
        </w:rPr>
        <w:t xml:space="preserve"> </w:t>
      </w:r>
      <w:r>
        <w:t>and,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day</w:t>
      </w:r>
      <w:r>
        <w:rPr>
          <w:spacing w:val="-9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post-transfection,</w:t>
      </w:r>
      <w:r>
        <w:rPr>
          <w:spacing w:val="-5"/>
        </w:rPr>
        <w:t xml:space="preserve"> </w:t>
      </w:r>
      <w:r>
        <w:t xml:space="preserve">were subjected to dual </w:t>
      </w:r>
      <w:proofErr w:type="spellStart"/>
      <w:r>
        <w:t>immunolabeling</w:t>
      </w:r>
      <w:proofErr w:type="spellEnd"/>
      <w:r>
        <w:t xml:space="preserve"> wi</w:t>
      </w:r>
      <w:r>
        <w:t xml:space="preserve">th antibodies to the following proteins: (upper images), P- cadherin (green)-TGN46 (red); (middle images), P-cadherin (red)-EEA1 (green) and (lower images), P-cadherin (red)-Rab7 (green). Arrows indicate the marked </w:t>
      </w:r>
      <w:proofErr w:type="spellStart"/>
      <w:r>
        <w:t>colocalization</w:t>
      </w:r>
      <w:proofErr w:type="spellEnd"/>
      <w:r>
        <w:t xml:space="preserve"> of P-cadherin and TGN46 in</w:t>
      </w:r>
      <w:r>
        <w:t xml:space="preserve"> the perinuclear compartment of Ykt6-depleted cells. Scale bar, 20</w:t>
      </w:r>
      <w:r>
        <w:rPr>
          <w:spacing w:val="-9"/>
        </w:rPr>
        <w:t xml:space="preserve"> </w:t>
      </w:r>
      <w:r>
        <w:t>µm.</w:t>
      </w:r>
    </w:p>
    <w:p w:rsidR="007943CE" w:rsidRDefault="007943CE">
      <w:pPr>
        <w:spacing w:line="360" w:lineRule="auto"/>
        <w:jc w:val="both"/>
        <w:sectPr w:rsidR="007943CE">
          <w:pgSz w:w="12240" w:h="15840"/>
          <w:pgMar w:top="1440" w:right="960" w:bottom="280" w:left="1320" w:header="720" w:footer="720" w:gutter="0"/>
          <w:cols w:space="720"/>
        </w:sectPr>
      </w:pPr>
    </w:p>
    <w:p w:rsidR="007943CE" w:rsidRDefault="007943CE">
      <w:pPr>
        <w:pStyle w:val="BodyText"/>
        <w:rPr>
          <w:sz w:val="20"/>
        </w:rPr>
      </w:pPr>
    </w:p>
    <w:p w:rsidR="007943CE" w:rsidRDefault="007943CE">
      <w:pPr>
        <w:pStyle w:val="BodyText"/>
        <w:rPr>
          <w:sz w:val="20"/>
        </w:rPr>
      </w:pPr>
    </w:p>
    <w:p w:rsidR="007943CE" w:rsidRDefault="007943CE">
      <w:pPr>
        <w:pStyle w:val="BodyText"/>
        <w:rPr>
          <w:sz w:val="20"/>
        </w:rPr>
      </w:pPr>
    </w:p>
    <w:p w:rsidR="007943CE" w:rsidRDefault="007943CE">
      <w:pPr>
        <w:pStyle w:val="BodyText"/>
        <w:spacing w:before="10"/>
        <w:rPr>
          <w:sz w:val="20"/>
        </w:rPr>
      </w:pPr>
    </w:p>
    <w:p w:rsidR="007943CE" w:rsidRDefault="00240756">
      <w:pPr>
        <w:pStyle w:val="BodyText"/>
        <w:ind w:left="169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892784" cy="5005768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2784" cy="5005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3CE" w:rsidRDefault="007943CE">
      <w:pPr>
        <w:pStyle w:val="BodyText"/>
        <w:rPr>
          <w:sz w:val="20"/>
        </w:rPr>
      </w:pPr>
    </w:p>
    <w:p w:rsidR="007943CE" w:rsidRDefault="007943CE">
      <w:pPr>
        <w:pStyle w:val="BodyText"/>
        <w:rPr>
          <w:sz w:val="20"/>
        </w:rPr>
      </w:pPr>
    </w:p>
    <w:p w:rsidR="007943CE" w:rsidRDefault="007943CE">
      <w:pPr>
        <w:pStyle w:val="BodyText"/>
        <w:rPr>
          <w:sz w:val="20"/>
        </w:rPr>
      </w:pPr>
    </w:p>
    <w:p w:rsidR="007943CE" w:rsidRDefault="007943CE">
      <w:pPr>
        <w:pStyle w:val="BodyText"/>
        <w:spacing w:before="6"/>
        <w:rPr>
          <w:sz w:val="27"/>
        </w:rPr>
      </w:pPr>
    </w:p>
    <w:p w:rsidR="007943CE" w:rsidRDefault="00240756">
      <w:pPr>
        <w:pStyle w:val="Heading1"/>
        <w:spacing w:line="360" w:lineRule="auto"/>
        <w:ind w:right="476"/>
      </w:pPr>
      <w:r>
        <w:t>Supplemental Figure 3: Overexpression of Ykt6 rescues the effects of Ykt6 knockdown on JAM-A level and the motility of prostate epithelial cells.</w:t>
      </w:r>
    </w:p>
    <w:p w:rsidR="007943CE" w:rsidRDefault="00240756">
      <w:pPr>
        <w:pStyle w:val="BodyText"/>
        <w:spacing w:line="360" w:lineRule="auto"/>
        <w:ind w:left="120" w:right="475"/>
        <w:jc w:val="both"/>
      </w:pPr>
      <w:r>
        <w:t>DU145 cells stably ex</w:t>
      </w:r>
      <w:r>
        <w:t xml:space="preserve">pressing His-tagged Ykt6 (NTAP-Ykt6), or a control vector (NTAP- Control), were transfected with either control siRNA or Ykt6 siRNA D1. </w:t>
      </w:r>
      <w:r>
        <w:rPr>
          <w:b/>
        </w:rPr>
        <w:t xml:space="preserve">(a) </w:t>
      </w:r>
      <w:r>
        <w:t>Expression of Ykt6, E-cadherin, and JAM-A in these cells was determined by immunoblotting. Cell migration was examin</w:t>
      </w:r>
      <w:r>
        <w:t>ed using wound healing (</w:t>
      </w:r>
      <w:proofErr w:type="spellStart"/>
      <w:r>
        <w:rPr>
          <w:b/>
        </w:rPr>
        <w:t>b</w:t>
      </w:r>
      <w:proofErr w:type="gramStart"/>
      <w:r>
        <w:rPr>
          <w:b/>
        </w:rPr>
        <w:t>,c</w:t>
      </w:r>
      <w:proofErr w:type="spellEnd"/>
      <w:proofErr w:type="gramEnd"/>
      <w:r>
        <w:t xml:space="preserve">) and </w:t>
      </w:r>
      <w:proofErr w:type="spellStart"/>
      <w:r>
        <w:t>Matrigel</w:t>
      </w:r>
      <w:proofErr w:type="spellEnd"/>
      <w:r>
        <w:t xml:space="preserve"> invasion (</w:t>
      </w:r>
      <w:proofErr w:type="spellStart"/>
      <w:r>
        <w:rPr>
          <w:b/>
        </w:rPr>
        <w:t>d,e</w:t>
      </w:r>
      <w:proofErr w:type="spellEnd"/>
      <w:r>
        <w:t>) assays. Data are presented as mean ± SE (n = 3); *P&lt;0.01. Scale bars, 200 µm.</w:t>
      </w:r>
    </w:p>
    <w:p w:rsidR="007943CE" w:rsidRDefault="007943CE">
      <w:pPr>
        <w:spacing w:line="360" w:lineRule="auto"/>
        <w:jc w:val="both"/>
        <w:sectPr w:rsidR="007943CE">
          <w:pgSz w:w="12240" w:h="15840"/>
          <w:pgMar w:top="1500" w:right="960" w:bottom="280" w:left="1320" w:header="720" w:footer="720" w:gutter="0"/>
          <w:cols w:space="720"/>
        </w:sectPr>
      </w:pPr>
    </w:p>
    <w:p w:rsidR="007943CE" w:rsidRDefault="00240756">
      <w:pPr>
        <w:pStyle w:val="BodyText"/>
        <w:ind w:left="959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4877292" cy="4407408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7292" cy="440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3CE" w:rsidRDefault="007943CE">
      <w:pPr>
        <w:pStyle w:val="BodyText"/>
        <w:rPr>
          <w:sz w:val="20"/>
        </w:rPr>
      </w:pPr>
    </w:p>
    <w:p w:rsidR="007943CE" w:rsidRDefault="007943CE">
      <w:pPr>
        <w:pStyle w:val="BodyText"/>
        <w:spacing w:before="1"/>
        <w:rPr>
          <w:sz w:val="20"/>
        </w:rPr>
      </w:pPr>
    </w:p>
    <w:p w:rsidR="007943CE" w:rsidRDefault="00240756">
      <w:pPr>
        <w:pStyle w:val="Heading1"/>
        <w:jc w:val="left"/>
      </w:pPr>
      <w:r>
        <w:t>Supplemental Figure 4: Loss of Ykt6 does not affect the epithelial cell proliferation.</w:t>
      </w:r>
    </w:p>
    <w:p w:rsidR="007943CE" w:rsidRDefault="00240756">
      <w:pPr>
        <w:pStyle w:val="BodyText"/>
        <w:spacing w:before="134" w:line="360" w:lineRule="auto"/>
        <w:ind w:left="120" w:right="479"/>
        <w:jc w:val="both"/>
      </w:pPr>
      <w:r>
        <w:t>Cell proliferation analysis of actively dividing control and Ykt6-depleted DU145 cells was performed</w:t>
      </w:r>
      <w:r>
        <w:rPr>
          <w:spacing w:val="-4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days</w:t>
      </w:r>
      <w:r>
        <w:rPr>
          <w:spacing w:val="-6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post-transfection,</w:t>
      </w:r>
      <w:r>
        <w:rPr>
          <w:spacing w:val="-6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counting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cells</w:t>
      </w:r>
      <w:r>
        <w:rPr>
          <w:spacing w:val="-6"/>
        </w:rPr>
        <w:t xml:space="preserve"> </w:t>
      </w:r>
      <w:r>
        <w:t>using</w:t>
      </w:r>
      <w:r>
        <w:rPr>
          <w:spacing w:val="-6"/>
        </w:rPr>
        <w:t xml:space="preserve"> </w:t>
      </w:r>
      <w:r>
        <w:t>hemocytometer.</w:t>
      </w:r>
      <w:r>
        <w:rPr>
          <w:spacing w:val="-6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are presented as mean ± SE (n =</w:t>
      </w:r>
      <w:r>
        <w:rPr>
          <w:spacing w:val="-1"/>
        </w:rPr>
        <w:t xml:space="preserve"> </w:t>
      </w:r>
      <w:r>
        <w:t>4).</w:t>
      </w:r>
    </w:p>
    <w:p w:rsidR="007943CE" w:rsidRDefault="007943CE">
      <w:pPr>
        <w:spacing w:line="360" w:lineRule="auto"/>
        <w:jc w:val="both"/>
        <w:sectPr w:rsidR="007943CE">
          <w:pgSz w:w="12240" w:h="15840"/>
          <w:pgMar w:top="1440" w:right="960" w:bottom="280" w:left="1320" w:header="720" w:footer="720" w:gutter="0"/>
          <w:cols w:space="720"/>
        </w:sectPr>
      </w:pPr>
    </w:p>
    <w:p w:rsidR="007943CE" w:rsidRDefault="00240756">
      <w:pPr>
        <w:pStyle w:val="BodyText"/>
        <w:ind w:left="1200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4583006" cy="6033039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3006" cy="6033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3CE" w:rsidRDefault="007943CE">
      <w:pPr>
        <w:pStyle w:val="BodyText"/>
        <w:rPr>
          <w:sz w:val="20"/>
        </w:rPr>
      </w:pPr>
    </w:p>
    <w:p w:rsidR="007943CE" w:rsidRDefault="007943CE">
      <w:pPr>
        <w:pStyle w:val="BodyText"/>
        <w:spacing w:before="7"/>
        <w:rPr>
          <w:sz w:val="16"/>
        </w:rPr>
      </w:pPr>
    </w:p>
    <w:p w:rsidR="007943CE" w:rsidRDefault="00240756">
      <w:pPr>
        <w:pStyle w:val="Heading1"/>
        <w:spacing w:line="360" w:lineRule="auto"/>
        <w:ind w:left="119" w:right="421"/>
        <w:jc w:val="left"/>
      </w:pPr>
      <w:r>
        <w:t>Supplemental. Figure 5: Knockdown of E-cadherin does not affect the collective migration of Du145 cell monolayers.</w:t>
      </w:r>
    </w:p>
    <w:p w:rsidR="007943CE" w:rsidRDefault="00240756">
      <w:pPr>
        <w:pStyle w:val="BodyText"/>
        <w:spacing w:line="360" w:lineRule="auto"/>
        <w:ind w:left="119" w:right="663"/>
      </w:pPr>
      <w:r>
        <w:t>DU145 cells were transfected with either control siRNA or four E-cadherin-specific siRNA duplexes (D1-D4). (</w:t>
      </w:r>
      <w:r>
        <w:rPr>
          <w:b/>
        </w:rPr>
        <w:t>a</w:t>
      </w:r>
      <w:r>
        <w:t xml:space="preserve">) Immunoblotting analysis shows </w:t>
      </w:r>
      <w:r>
        <w:t>the efficiency of E-cadherin knockdown on day 4 post-transfection. (</w:t>
      </w:r>
      <w:r>
        <w:rPr>
          <w:b/>
        </w:rPr>
        <w:t>b</w:t>
      </w:r>
      <w:r>
        <w:t>) Representative images of wound healing of control and E- cadherin-depleted cell monolayers. (</w:t>
      </w:r>
      <w:r>
        <w:rPr>
          <w:b/>
        </w:rPr>
        <w:t>c</w:t>
      </w:r>
      <w:r>
        <w:t>) Quantitation of wound closure during 8 h of cell migration. Scale bar, 200 µm.</w:t>
      </w:r>
    </w:p>
    <w:p w:rsidR="007943CE" w:rsidRDefault="007943CE">
      <w:pPr>
        <w:spacing w:line="360" w:lineRule="auto"/>
        <w:sectPr w:rsidR="007943CE">
          <w:pgSz w:w="12240" w:h="15840"/>
          <w:pgMar w:top="1440" w:right="960" w:bottom="280" w:left="1320" w:header="720" w:footer="720" w:gutter="0"/>
          <w:cols w:space="720"/>
        </w:sectPr>
      </w:pPr>
    </w:p>
    <w:p w:rsidR="007943CE" w:rsidRDefault="00240756">
      <w:pPr>
        <w:pStyle w:val="BodyText"/>
        <w:ind w:left="1240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4472963" cy="5824156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2963" cy="5824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3CE" w:rsidRDefault="007943CE">
      <w:pPr>
        <w:pStyle w:val="BodyText"/>
        <w:rPr>
          <w:sz w:val="20"/>
        </w:rPr>
      </w:pPr>
    </w:p>
    <w:p w:rsidR="007943CE" w:rsidRDefault="007943CE">
      <w:pPr>
        <w:pStyle w:val="BodyText"/>
        <w:spacing w:before="6"/>
        <w:rPr>
          <w:sz w:val="28"/>
        </w:rPr>
      </w:pPr>
    </w:p>
    <w:p w:rsidR="007943CE" w:rsidRDefault="00240756">
      <w:pPr>
        <w:pStyle w:val="Heading1"/>
        <w:spacing w:line="360" w:lineRule="auto"/>
        <w:ind w:left="119" w:right="478"/>
      </w:pPr>
      <w:r>
        <w:t xml:space="preserve">Supplemental Figure 6: Depletion of either β1-integrin or </w:t>
      </w:r>
      <w:proofErr w:type="spellStart"/>
      <w:r>
        <w:t>paxillin</w:t>
      </w:r>
      <w:proofErr w:type="spellEnd"/>
      <w:r>
        <w:t xml:space="preserve"> does not recapitulate the effects of YKT6 knockdown on DU145 cell motility.</w:t>
      </w:r>
    </w:p>
    <w:p w:rsidR="007943CE" w:rsidRDefault="00240756">
      <w:pPr>
        <w:pStyle w:val="BodyText"/>
        <w:spacing w:line="360" w:lineRule="auto"/>
        <w:ind w:left="119" w:right="477"/>
        <w:jc w:val="both"/>
      </w:pPr>
      <w:r>
        <w:t>DU145</w:t>
      </w:r>
      <w:r>
        <w:rPr>
          <w:spacing w:val="-7"/>
        </w:rPr>
        <w:t xml:space="preserve"> </w:t>
      </w:r>
      <w:r>
        <w:t>cells</w:t>
      </w:r>
      <w:r>
        <w:rPr>
          <w:spacing w:val="-7"/>
        </w:rPr>
        <w:t xml:space="preserve"> </w:t>
      </w:r>
      <w:r>
        <w:t>were</w:t>
      </w:r>
      <w:r>
        <w:rPr>
          <w:spacing w:val="-6"/>
        </w:rPr>
        <w:t xml:space="preserve"> </w:t>
      </w:r>
      <w:r>
        <w:t>transfected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either</w:t>
      </w:r>
      <w:r>
        <w:rPr>
          <w:spacing w:val="-6"/>
        </w:rPr>
        <w:t xml:space="preserve"> </w:t>
      </w:r>
      <w:r>
        <w:t>control</w:t>
      </w:r>
      <w:r>
        <w:rPr>
          <w:spacing w:val="-7"/>
        </w:rPr>
        <w:t xml:space="preserve"> </w:t>
      </w:r>
      <w:r>
        <w:t>siRNA,</w:t>
      </w:r>
      <w:r>
        <w:rPr>
          <w:spacing w:val="-7"/>
        </w:rPr>
        <w:t xml:space="preserve"> </w:t>
      </w:r>
      <w:r>
        <w:t>β1-integrin-specific</w:t>
      </w:r>
      <w:r>
        <w:rPr>
          <w:spacing w:val="-8"/>
        </w:rPr>
        <w:t xml:space="preserve"> </w:t>
      </w:r>
      <w:r>
        <w:t>siRNAs</w:t>
      </w:r>
      <w:r>
        <w:rPr>
          <w:spacing w:val="-7"/>
        </w:rPr>
        <w:t xml:space="preserve"> </w:t>
      </w:r>
      <w:r>
        <w:t>D1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 xml:space="preserve">D2, or </w:t>
      </w:r>
      <w:proofErr w:type="spellStart"/>
      <w:r>
        <w:t>paxillin</w:t>
      </w:r>
      <w:proofErr w:type="spellEnd"/>
      <w:r>
        <w:t>-spec</w:t>
      </w:r>
      <w:r>
        <w:t>ific siRNAs D1 and D2. (</w:t>
      </w:r>
      <w:r>
        <w:rPr>
          <w:b/>
        </w:rPr>
        <w:t>a</w:t>
      </w:r>
      <w:r>
        <w:t xml:space="preserve">) Immunoblotting analysis shows the efficiency of β1- integrin and </w:t>
      </w:r>
      <w:proofErr w:type="spellStart"/>
      <w:r>
        <w:t>paxillin</w:t>
      </w:r>
      <w:proofErr w:type="spellEnd"/>
      <w:r>
        <w:t xml:space="preserve"> knockdown on day 4 post-transfection. (</w:t>
      </w:r>
      <w:r>
        <w:rPr>
          <w:b/>
        </w:rPr>
        <w:t>b</w:t>
      </w:r>
      <w:r>
        <w:t xml:space="preserve">) Representative images of wound healing of control monolayers and of β1-integrin or </w:t>
      </w:r>
      <w:proofErr w:type="spellStart"/>
      <w:r>
        <w:t>paxillin</w:t>
      </w:r>
      <w:proofErr w:type="spellEnd"/>
      <w:r>
        <w:t>-depleted cell monolay</w:t>
      </w:r>
      <w:r>
        <w:t>ers. (</w:t>
      </w:r>
      <w:r>
        <w:rPr>
          <w:b/>
        </w:rPr>
        <w:t>c</w:t>
      </w:r>
      <w:r>
        <w:t>) Quantitation of wound closure during 8 h of cell migration. Scale bar, 200</w:t>
      </w:r>
      <w:r>
        <w:rPr>
          <w:spacing w:val="-8"/>
        </w:rPr>
        <w:t xml:space="preserve"> </w:t>
      </w:r>
      <w:r>
        <w:t>µm</w:t>
      </w:r>
      <w:r>
        <w:rPr>
          <w:color w:val="FF0000"/>
        </w:rPr>
        <w:t>.</w:t>
      </w:r>
    </w:p>
    <w:p w:rsidR="007943CE" w:rsidRDefault="007943CE">
      <w:pPr>
        <w:spacing w:line="360" w:lineRule="auto"/>
        <w:jc w:val="both"/>
        <w:sectPr w:rsidR="007943CE">
          <w:pgSz w:w="12240" w:h="15840"/>
          <w:pgMar w:top="1440" w:right="960" w:bottom="280" w:left="1320" w:header="720" w:footer="720" w:gutter="0"/>
          <w:cols w:space="720"/>
        </w:sectPr>
      </w:pPr>
    </w:p>
    <w:p w:rsidR="007943CE" w:rsidRDefault="00240756">
      <w:pPr>
        <w:pStyle w:val="BodyText"/>
        <w:ind w:left="1410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4335493" cy="5146548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5493" cy="5146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3CE" w:rsidRDefault="00240756">
      <w:pPr>
        <w:pStyle w:val="Heading1"/>
        <w:spacing w:before="71"/>
        <w:jc w:val="left"/>
      </w:pPr>
      <w:r>
        <w:t>Supplemental Figure 7: Ykt6 depletion accelerates the spreading of epithelial cells.</w:t>
      </w:r>
    </w:p>
    <w:p w:rsidR="007943CE" w:rsidRDefault="00240756">
      <w:pPr>
        <w:pStyle w:val="BodyText"/>
        <w:spacing w:before="134" w:line="360" w:lineRule="auto"/>
        <w:ind w:left="120" w:right="477"/>
        <w:jc w:val="both"/>
      </w:pPr>
      <w:r>
        <w:t>DU145 cells were transfected with either control or Ykt6-specific siRNAs and, on day 4 post- transfection, were subjected to a cell spreading assay as described in the Methods section. Representative images (</w:t>
      </w:r>
      <w:r>
        <w:rPr>
          <w:b/>
        </w:rPr>
        <w:t>a</w:t>
      </w:r>
      <w:r>
        <w:t>) and quantitation analysis of the cell area (</w:t>
      </w:r>
      <w:r>
        <w:rPr>
          <w:b/>
        </w:rPr>
        <w:t>b</w:t>
      </w:r>
      <w:r>
        <w:t>) of control and Ykt6- depleted DU145 cells after 1 h spreading on collagen I ECM. Data are presented as mean ± SE (n</w:t>
      </w:r>
    </w:p>
    <w:p w:rsidR="007943CE" w:rsidRDefault="00240756">
      <w:pPr>
        <w:pStyle w:val="BodyText"/>
        <w:ind w:left="120"/>
        <w:jc w:val="both"/>
      </w:pPr>
      <w:r>
        <w:t>= 50); *P&lt;0.01. Scale bar, 20 µm</w:t>
      </w:r>
      <w:r>
        <w:rPr>
          <w:color w:val="FF0000"/>
        </w:rPr>
        <w:t>.</w:t>
      </w:r>
    </w:p>
    <w:p w:rsidR="007943CE" w:rsidRDefault="007943CE">
      <w:pPr>
        <w:jc w:val="both"/>
        <w:sectPr w:rsidR="007943CE">
          <w:pgSz w:w="12240" w:h="15840"/>
          <w:pgMar w:top="1440" w:right="960" w:bottom="280" w:left="1320" w:header="720" w:footer="720" w:gutter="0"/>
          <w:cols w:space="720"/>
        </w:sectPr>
      </w:pPr>
    </w:p>
    <w:p w:rsidR="007943CE" w:rsidRDefault="00240756">
      <w:pPr>
        <w:pStyle w:val="BodyText"/>
        <w:ind w:left="120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680956" cy="5349240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0956" cy="534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3CE" w:rsidRDefault="007943CE">
      <w:pPr>
        <w:pStyle w:val="BodyText"/>
        <w:rPr>
          <w:sz w:val="20"/>
        </w:rPr>
      </w:pPr>
    </w:p>
    <w:p w:rsidR="007943CE" w:rsidRDefault="007943CE">
      <w:pPr>
        <w:pStyle w:val="BodyText"/>
        <w:spacing w:before="9"/>
        <w:rPr>
          <w:sz w:val="18"/>
        </w:rPr>
      </w:pPr>
    </w:p>
    <w:p w:rsidR="007943CE" w:rsidRDefault="00240756">
      <w:pPr>
        <w:pStyle w:val="BodyText"/>
        <w:spacing w:before="90" w:line="360" w:lineRule="auto"/>
        <w:ind w:left="119" w:right="475"/>
        <w:jc w:val="both"/>
      </w:pPr>
      <w:r>
        <w:rPr>
          <w:b/>
        </w:rPr>
        <w:t xml:space="preserve">Supplemental Figure 8: Loss of Ykt6 disrupts organization of the Golgi in DU145 cells. </w:t>
      </w:r>
      <w:r>
        <w:t xml:space="preserve">DU145 cells were transfected with either control siRNA or Ykt6-specific siRNA D1. On day 4 post-transfection, cells were fixed and </w:t>
      </w:r>
      <w:proofErr w:type="spellStart"/>
      <w:r>
        <w:t>immunolabeled</w:t>
      </w:r>
      <w:proofErr w:type="spellEnd"/>
      <w:r>
        <w:t xml:space="preserve"> for two different markers of the Golgi complex, </w:t>
      </w:r>
      <w:proofErr w:type="spellStart"/>
      <w:r>
        <w:t>Giantin</w:t>
      </w:r>
      <w:proofErr w:type="spellEnd"/>
      <w:r>
        <w:t xml:space="preserve"> and TGN46. Arrows point to Golgi organization in contro</w:t>
      </w:r>
      <w:r>
        <w:t>l cells. Arrowheads indicate altered localization of Golgi markers in Ykt6-depleted cells. Images shown are representative of 3 independent experiments with multiple images taken per slide. Scale bar, 20</w:t>
      </w:r>
    </w:p>
    <w:p w:rsidR="007943CE" w:rsidRDefault="00240756">
      <w:pPr>
        <w:pStyle w:val="BodyText"/>
        <w:spacing w:line="271" w:lineRule="exact"/>
        <w:ind w:left="119"/>
        <w:jc w:val="both"/>
      </w:pPr>
      <w:r>
        <w:t>µm.</w:t>
      </w:r>
    </w:p>
    <w:p w:rsidR="007943CE" w:rsidRDefault="007943CE">
      <w:pPr>
        <w:spacing w:line="271" w:lineRule="exact"/>
        <w:jc w:val="both"/>
        <w:sectPr w:rsidR="007943CE">
          <w:pgSz w:w="12240" w:h="15840"/>
          <w:pgMar w:top="1440" w:right="960" w:bottom="280" w:left="1320" w:header="720" w:footer="720" w:gutter="0"/>
          <w:cols w:space="720"/>
        </w:sectPr>
      </w:pPr>
    </w:p>
    <w:p w:rsidR="007943CE" w:rsidRDefault="00240756">
      <w:pPr>
        <w:pStyle w:val="BodyText"/>
        <w:ind w:left="38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595851" cy="3874579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5851" cy="3874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3CE" w:rsidRDefault="007943CE">
      <w:pPr>
        <w:pStyle w:val="BodyText"/>
        <w:rPr>
          <w:sz w:val="20"/>
        </w:rPr>
      </w:pPr>
    </w:p>
    <w:p w:rsidR="007943CE" w:rsidRDefault="007943CE">
      <w:pPr>
        <w:pStyle w:val="BodyText"/>
        <w:spacing w:before="7"/>
        <w:rPr>
          <w:sz w:val="21"/>
        </w:rPr>
      </w:pPr>
    </w:p>
    <w:p w:rsidR="007943CE" w:rsidRDefault="00240756">
      <w:pPr>
        <w:pStyle w:val="BodyText"/>
        <w:spacing w:before="90" w:line="360" w:lineRule="auto"/>
        <w:ind w:left="119" w:right="475"/>
        <w:jc w:val="both"/>
      </w:pPr>
      <w:r>
        <w:rPr>
          <w:b/>
        </w:rPr>
        <w:t xml:space="preserve">Supplemental Figure 9: Depletion of </w:t>
      </w:r>
      <w:r>
        <w:rPr>
          <w:b/>
        </w:rPr>
        <w:t xml:space="preserve">Ykt6 disrupts compact Golgi structure in HeLa cells. </w:t>
      </w:r>
      <w:r>
        <w:t>HeLa</w:t>
      </w:r>
      <w:r>
        <w:rPr>
          <w:spacing w:val="-11"/>
        </w:rPr>
        <w:t xml:space="preserve"> </w:t>
      </w:r>
      <w:r>
        <w:t>cells</w:t>
      </w:r>
      <w:r>
        <w:rPr>
          <w:spacing w:val="-9"/>
        </w:rPr>
        <w:t xml:space="preserve"> </w:t>
      </w:r>
      <w:r>
        <w:t>were</w:t>
      </w:r>
      <w:r>
        <w:rPr>
          <w:spacing w:val="-11"/>
        </w:rPr>
        <w:t xml:space="preserve"> </w:t>
      </w:r>
      <w:r>
        <w:t>transfected</w:t>
      </w:r>
      <w:r>
        <w:rPr>
          <w:spacing w:val="-10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either</w:t>
      </w:r>
      <w:r>
        <w:rPr>
          <w:spacing w:val="-10"/>
        </w:rPr>
        <w:t xml:space="preserve"> </w:t>
      </w:r>
      <w:r>
        <w:t>control</w:t>
      </w:r>
      <w:r>
        <w:rPr>
          <w:spacing w:val="-9"/>
        </w:rPr>
        <w:t xml:space="preserve"> </w:t>
      </w:r>
      <w:r>
        <w:t>siRNA</w:t>
      </w:r>
      <w:r>
        <w:rPr>
          <w:spacing w:val="-10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Ykt6-specific</w:t>
      </w:r>
      <w:r>
        <w:rPr>
          <w:spacing w:val="-11"/>
        </w:rPr>
        <w:t xml:space="preserve"> </w:t>
      </w:r>
      <w:r>
        <w:t>siRNA</w:t>
      </w:r>
      <w:r>
        <w:rPr>
          <w:spacing w:val="-10"/>
        </w:rPr>
        <w:t xml:space="preserve"> </w:t>
      </w:r>
      <w:r>
        <w:t>D1.</w:t>
      </w:r>
      <w:r>
        <w:rPr>
          <w:spacing w:val="-10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day</w:t>
      </w:r>
      <w:r>
        <w:rPr>
          <w:spacing w:val="-17"/>
        </w:rPr>
        <w:t xml:space="preserve"> </w:t>
      </w:r>
      <w:r>
        <w:t>4</w:t>
      </w:r>
      <w:r>
        <w:rPr>
          <w:spacing w:val="-10"/>
        </w:rPr>
        <w:t xml:space="preserve"> </w:t>
      </w:r>
      <w:r>
        <w:t>post- transfection,</w:t>
      </w:r>
      <w:r>
        <w:rPr>
          <w:spacing w:val="-5"/>
        </w:rPr>
        <w:t xml:space="preserve"> </w:t>
      </w:r>
      <w:r>
        <w:t>cells</w:t>
      </w:r>
      <w:r>
        <w:rPr>
          <w:spacing w:val="-5"/>
        </w:rPr>
        <w:t xml:space="preserve"> </w:t>
      </w:r>
      <w:r>
        <w:t>were</w:t>
      </w:r>
      <w:r>
        <w:rPr>
          <w:spacing w:val="-8"/>
        </w:rPr>
        <w:t xml:space="preserve"> </w:t>
      </w:r>
      <w:r>
        <w:t>subjected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dual</w:t>
      </w:r>
      <w:r>
        <w:rPr>
          <w:spacing w:val="-7"/>
        </w:rPr>
        <w:t xml:space="preserve"> </w:t>
      </w:r>
      <w:proofErr w:type="spellStart"/>
      <w:r>
        <w:t>immunolabeling</w:t>
      </w:r>
      <w:proofErr w:type="spellEnd"/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Golgi</w:t>
      </w:r>
      <w:r>
        <w:rPr>
          <w:spacing w:val="-7"/>
        </w:rPr>
        <w:t xml:space="preserve"> </w:t>
      </w:r>
      <w:r>
        <w:t>markers</w:t>
      </w:r>
      <w:r>
        <w:rPr>
          <w:spacing w:val="-7"/>
        </w:rPr>
        <w:t xml:space="preserve"> </w:t>
      </w:r>
      <w:proofErr w:type="spellStart"/>
      <w:r>
        <w:t>Giantin</w:t>
      </w:r>
      <w:proofErr w:type="spellEnd"/>
      <w:r>
        <w:rPr>
          <w:spacing w:val="-7"/>
        </w:rPr>
        <w:t xml:space="preserve"> </w:t>
      </w:r>
      <w:r>
        <w:t>(green)</w:t>
      </w:r>
      <w:r>
        <w:rPr>
          <w:spacing w:val="-6"/>
        </w:rPr>
        <w:t xml:space="preserve"> </w:t>
      </w:r>
      <w:r>
        <w:t>and TGN46 (red</w:t>
      </w:r>
      <w:r>
        <w:t>). Arrows point to the compact Golgi complex in control cells. Arrowheads indicate the marked fragmentation of the Golgi in Ykt6-depleted HeLa cells. Images shown are representative</w:t>
      </w:r>
      <w:r>
        <w:rPr>
          <w:spacing w:val="11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3</w:t>
      </w:r>
      <w:r>
        <w:rPr>
          <w:spacing w:val="12"/>
        </w:rPr>
        <w:t xml:space="preserve"> </w:t>
      </w:r>
      <w:r>
        <w:t>independent</w:t>
      </w:r>
      <w:r>
        <w:rPr>
          <w:spacing w:val="12"/>
        </w:rPr>
        <w:t xml:space="preserve"> </w:t>
      </w:r>
      <w:r>
        <w:t>experiments</w:t>
      </w:r>
      <w:r>
        <w:rPr>
          <w:spacing w:val="12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multiple</w:t>
      </w:r>
      <w:r>
        <w:rPr>
          <w:spacing w:val="11"/>
        </w:rPr>
        <w:t xml:space="preserve"> </w:t>
      </w:r>
      <w:r>
        <w:t>images</w:t>
      </w:r>
      <w:r>
        <w:rPr>
          <w:spacing w:val="12"/>
        </w:rPr>
        <w:t xml:space="preserve"> </w:t>
      </w:r>
      <w:r>
        <w:t>taken</w:t>
      </w:r>
      <w:r>
        <w:rPr>
          <w:spacing w:val="12"/>
        </w:rPr>
        <w:t xml:space="preserve"> </w:t>
      </w:r>
      <w:r>
        <w:t>per</w:t>
      </w:r>
      <w:r>
        <w:rPr>
          <w:spacing w:val="11"/>
        </w:rPr>
        <w:t xml:space="preserve"> </w:t>
      </w:r>
      <w:r>
        <w:t>slide.</w:t>
      </w:r>
      <w:r>
        <w:rPr>
          <w:spacing w:val="12"/>
        </w:rPr>
        <w:t xml:space="preserve"> </w:t>
      </w:r>
      <w:r>
        <w:t>Scale</w:t>
      </w:r>
      <w:r>
        <w:rPr>
          <w:spacing w:val="11"/>
        </w:rPr>
        <w:t xml:space="preserve"> </w:t>
      </w:r>
      <w:r>
        <w:t>bar,</w:t>
      </w:r>
      <w:r>
        <w:rPr>
          <w:spacing w:val="12"/>
        </w:rPr>
        <w:t xml:space="preserve"> </w:t>
      </w:r>
      <w:r>
        <w:t>20</w:t>
      </w:r>
    </w:p>
    <w:p w:rsidR="007943CE" w:rsidRDefault="00240756">
      <w:pPr>
        <w:pStyle w:val="BodyText"/>
        <w:spacing w:line="271" w:lineRule="exact"/>
        <w:ind w:left="119"/>
        <w:jc w:val="both"/>
      </w:pPr>
      <w:r>
        <w:t>µm.</w:t>
      </w:r>
    </w:p>
    <w:p w:rsidR="007943CE" w:rsidRDefault="007943CE">
      <w:pPr>
        <w:spacing w:line="271" w:lineRule="exact"/>
        <w:jc w:val="both"/>
        <w:sectPr w:rsidR="007943CE">
          <w:pgSz w:w="12240" w:h="15840"/>
          <w:pgMar w:top="1440" w:right="960" w:bottom="280" w:left="1320" w:header="720" w:footer="720" w:gutter="0"/>
          <w:cols w:space="720"/>
        </w:sectPr>
      </w:pPr>
    </w:p>
    <w:p w:rsidR="007943CE" w:rsidRDefault="00240756">
      <w:pPr>
        <w:pStyle w:val="BodyText"/>
        <w:ind w:left="3520"/>
        <w:rPr>
          <w:sz w:val="20"/>
        </w:rPr>
      </w:pP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9" type="#_x0000_t202" style="width:93.45pt;height:24.4pt;mso-left-percent:-10001;mso-top-percent:-10001;mso-position-horizontal:absolute;mso-position-horizontal-relative:char;mso-position-vertical:absolute;mso-position-vertical-relative:line;mso-left-percent:-10001;mso-top-percent:-10001" filled="f" strokeweight=".21997mm">
            <v:textbox inset="0,0,0,0">
              <w:txbxContent>
                <w:p w:rsidR="007943CE" w:rsidRDefault="00240756">
                  <w:pPr>
                    <w:spacing w:before="46"/>
                    <w:ind w:left="93"/>
                    <w:rPr>
                      <w:rFonts w:ascii="Calibri"/>
                      <w:sz w:val="31"/>
                    </w:rPr>
                  </w:pPr>
                  <w:r>
                    <w:rPr>
                      <w:rFonts w:ascii="Calibri"/>
                      <w:sz w:val="31"/>
                    </w:rPr>
                    <w:t>Loss of Ykt6</w:t>
                  </w:r>
                </w:p>
              </w:txbxContent>
            </v:textbox>
            <w10:wrap type="none"/>
            <w10:anchorlock/>
          </v:shape>
        </w:pict>
      </w:r>
    </w:p>
    <w:p w:rsidR="007943CE" w:rsidRDefault="00240756">
      <w:pPr>
        <w:pStyle w:val="BodyText"/>
        <w:ind w:left="438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104292" cy="180975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92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3CE" w:rsidRDefault="00240756">
      <w:pPr>
        <w:spacing w:before="86" w:after="4"/>
        <w:ind w:left="1641"/>
        <w:jc w:val="center"/>
        <w:rPr>
          <w:rFonts w:ascii="Calibri"/>
          <w:sz w:val="23"/>
        </w:rPr>
      </w:pPr>
      <w:r>
        <w:pict>
          <v:shape id="_x0000_s1058" type="#_x0000_t202" style="position:absolute;left:0;text-align:left;margin-left:366.8pt;margin-top:2.45pt;width:106.55pt;height:43.35pt;z-index:1240;mso-position-horizontal-relative:page" filled="f" strokeweight=".21994mm">
            <v:textbox inset="0,0,0,0">
              <w:txbxContent>
                <w:p w:rsidR="007943CE" w:rsidRDefault="00240756">
                  <w:pPr>
                    <w:spacing w:before="48"/>
                    <w:ind w:left="270" w:right="264"/>
                    <w:jc w:val="center"/>
                    <w:rPr>
                      <w:rFonts w:ascii="Calibri"/>
                      <w:sz w:val="31"/>
                    </w:rPr>
                  </w:pPr>
                  <w:r>
                    <w:rPr>
                      <w:rFonts w:ascii="Calibri"/>
                      <w:sz w:val="31"/>
                    </w:rPr>
                    <w:t>AJ/TJ</w:t>
                  </w:r>
                </w:p>
                <w:p w:rsidR="007943CE" w:rsidRDefault="00240756">
                  <w:pPr>
                    <w:spacing w:before="1"/>
                    <w:ind w:left="270" w:right="269"/>
                    <w:jc w:val="center"/>
                    <w:rPr>
                      <w:rFonts w:ascii="Calibri"/>
                      <w:sz w:val="31"/>
                    </w:rPr>
                  </w:pPr>
                  <w:r>
                    <w:rPr>
                      <w:rFonts w:ascii="Calibri"/>
                      <w:sz w:val="31"/>
                    </w:rPr>
                    <w:t>Disassembly</w:t>
                  </w:r>
                </w:p>
              </w:txbxContent>
            </v:textbox>
            <w10:wrap anchorx="page"/>
          </v:shape>
        </w:pict>
      </w:r>
      <w:r>
        <w:pict>
          <v:shape id="_x0000_s1057" type="#_x0000_t202" style="position:absolute;left:0;text-align:left;margin-left:215.85pt;margin-top:1.75pt;width:128.2pt;height:43.45pt;z-index:1264;mso-position-horizontal-relative:page" filled="f" strokeweight=".21997mm">
            <v:textbox inset="0,0,0,0">
              <w:txbxContent>
                <w:p w:rsidR="007943CE" w:rsidRDefault="00240756">
                  <w:pPr>
                    <w:spacing w:before="49"/>
                    <w:ind w:left="280" w:hanging="75"/>
                    <w:rPr>
                      <w:rFonts w:ascii="Calibri"/>
                      <w:sz w:val="31"/>
                    </w:rPr>
                  </w:pPr>
                  <w:r>
                    <w:rPr>
                      <w:rFonts w:ascii="Calibri"/>
                      <w:sz w:val="31"/>
                    </w:rPr>
                    <w:t>Disruption of ER- Golgi trafficking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w w:val="101"/>
          <w:sz w:val="23"/>
        </w:rPr>
        <w:t>?</w:t>
      </w:r>
    </w:p>
    <w:p w:rsidR="007943CE" w:rsidRDefault="00240756">
      <w:pPr>
        <w:pStyle w:val="BodyText"/>
        <w:spacing w:line="139" w:lineRule="exact"/>
        <w:ind w:left="5673"/>
        <w:rPr>
          <w:rFonts w:ascii="Calibri"/>
          <w:sz w:val="13"/>
        </w:rPr>
      </w:pPr>
      <w:r>
        <w:rPr>
          <w:rFonts w:ascii="Calibri"/>
          <w:noProof/>
          <w:position w:val="-2"/>
          <w:sz w:val="13"/>
          <w:lang w:bidi="ar-SA"/>
        </w:rPr>
        <w:drawing>
          <wp:inline distT="0" distB="0" distL="0" distR="0">
            <wp:extent cx="157488" cy="88677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488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3CE" w:rsidRDefault="007943CE">
      <w:pPr>
        <w:pStyle w:val="BodyText"/>
        <w:rPr>
          <w:rFonts w:ascii="Calibri"/>
          <w:sz w:val="20"/>
        </w:rPr>
      </w:pPr>
    </w:p>
    <w:p w:rsidR="007943CE" w:rsidRDefault="00240756">
      <w:pPr>
        <w:pStyle w:val="BodyText"/>
        <w:spacing w:before="6"/>
        <w:rPr>
          <w:rFonts w:ascii="Calibri"/>
          <w:sz w:val="11"/>
        </w:rPr>
      </w:pPr>
      <w:r>
        <w:pict>
          <v:group id="_x0000_s1031" style="position:absolute;margin-left:137.75pt;margin-top:9pt;width:203.95pt;height:343.95pt;z-index:1168;mso-wrap-distance-left:0;mso-wrap-distance-right:0;mso-position-horizontal-relative:page" coordorigin="2755,180" coordsize="4079,6879">
            <v:shape id="_x0000_s1056" style="position:absolute;left:2843;top:5247;width:2154;height:1804" coordorigin="2844,5248" coordsize="2154,1804" path="m2844,6150r3,-68l2855,6016r15,-64l2889,5889r25,-61l2944,5770r34,-57l3017,5659r43,-52l3108,5558r51,-46l3214,5469r58,-40l3334,5393r65,-32l3467,5332r70,-25l3610,5286r74,-16l3761,5258r79,-8l3920,5248r81,2l4080,5258r77,12l4231,5286r73,21l4374,5332r68,29l4507,5393r61,36l4627,5469r55,43l4733,5558r47,49l4824,5659r39,54l4897,5770r30,58l4952,5889r19,63l4986,6016r8,66l4997,6150r-3,67l4986,6283r-15,64l4952,6410r-25,61l4897,6530r-34,57l4824,6641r-44,52l4733,6741r-51,46l4627,6830r-59,40l4507,6906r-65,33l4374,6968r-70,25l4231,7013r-74,17l4080,7042r-79,7l3920,7052r-80,-3l3761,7042r-77,-12l3610,7013r-73,-20l3467,6968r-68,-29l3334,6906r-62,-36l3214,6830r-55,-43l3108,6741r-48,-48l3017,6641r-39,-54l2944,6530r-30,-59l2889,6410r-19,-63l2855,6283r-8,-66l2844,6150xe" filled="f" strokeweight=".21989mm">
              <v:path arrowok="t"/>
            </v:shape>
            <v:shape id="_x0000_s1055" style="position:absolute;left:4981;top:4164;width:1782;height:984" coordorigin="4982,4164" coordsize="1782,984" path="m4982,4656r20,-105l5061,4453r42,-45l5154,4366r57,-39l5276,4291r70,-32l5423,4232r81,-24l5591,4189r90,-13l5775,4167r97,-3l5969,4167r94,9l6154,4189r86,19l6322,4232r76,27l6469,4291r65,36l6591,4366r50,42l6684,4453r58,98l6763,4656r-5,54l6718,4812r-77,93l6591,4947r-57,39l6469,5021r-71,32l6322,5081r-82,23l6154,5123r-91,14l5969,5145r-97,3l5775,5145r-94,-8l5591,5123r-87,-19l5423,5081r-77,-28l5276,5021r-65,-35l5154,4947r-51,-42l5061,4859r-59,-97l4982,4656xe" filled="f" strokeweight=".21992mm">
              <v:path arrowok="t"/>
            </v:shape>
            <v:line id="_x0000_s1054" style="position:absolute" from="6756,4689" to="6741,4287" strokeweight=".5905mm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3" type="#_x0000_t75" style="position:absolute;left:6654;top:4179;width:179;height:183">
              <v:imagedata r:id="rId15" o:title=""/>
            </v:shape>
            <v:shape id="_x0000_s1052" style="position:absolute;left:5053;top:5193;width:736;height:578" coordorigin="5053,5193" coordsize="736,578" o:spt="100" adj="0,,0" path="m5091,5680r45,60l5789,5253r-44,-60l5091,5680xm5053,5755r105,15l5069,5650r-16,105xe" fillcolor="black" stroked="f">
              <v:stroke joinstyle="round"/>
              <v:formulas/>
              <v:path arrowok="t" o:connecttype="segments"/>
            </v:shape>
            <v:shape id="_x0000_s1051" style="position:absolute;left:5053;top:5193;width:736;height:578" coordorigin="5053,5193" coordsize="736,578" path="m5158,5770r-22,-30l5789,5253r-44,-60l5091,5680r-22,-30l5053,5755r105,15xe" filled="f" strokeweight=".229mm">
              <v:path arrowok="t"/>
            </v:shape>
            <v:shape id="_x0000_s1050" style="position:absolute;left:5233;top:6127;width:986;height:142" coordorigin="5234,6127" coordsize="986,142" o:spt="100" adj="0,,0" path="m6149,6234r,-71l5234,6163r,71l6149,6234xm6220,6198r-71,-71l6149,6269r71,-71xe" fillcolor="black" stroked="f">
              <v:stroke joinstyle="round"/>
              <v:formulas/>
              <v:path arrowok="t" o:connecttype="segments"/>
            </v:shape>
            <v:shape id="_x0000_s1049" style="position:absolute;left:5233;top:6127;width:986;height:142" coordorigin="5234,6127" coordsize="986,142" path="m6149,6127r,36l5234,6163r,71l6149,6234r,35l6220,6198r-71,-71xe" filled="f" strokeweight=".21972mm">
              <v:path arrowok="t"/>
            </v:shape>
            <v:shape id="_x0000_s1048" style="position:absolute;left:4984;top:1376;width:1741;height:1042" coordorigin="4985,1377" coordsize="1741,1042" path="m4985,1898r20,-112l5062,1683r42,-48l5153,1590r56,-41l5272,1511r69,-34l5416,1448r80,-25l5580,1403r88,-14l5760,1380r95,-3l5950,1380r92,9l6130,1403r85,20l6295,1448r74,29l6438,1511r63,38l6558,1590r49,45l6648,1683r33,50l6721,1841r5,57l6721,1954r-40,108l6648,2113r-41,47l6558,2205r-57,42l6438,2284r-69,34l6295,2347r-80,25l6130,2392r-88,14l5950,2415r-95,3l5760,2415r-92,-9l5580,2392r-84,-20l5416,2347r-75,-29l5272,2284r-63,-37l5153,2205r-49,-45l5062,2113r-33,-51l4990,1954r-5,-56xe" filled="f" strokeweight=".21992mm">
              <v:path arrowok="t"/>
            </v:shape>
            <v:shape id="_x0000_s1047" style="position:absolute;left:4972;top:2761;width:1743;height:1042" coordorigin="4972,2761" coordsize="1743,1042" path="m4972,3282r20,-112l5050,3067r41,-48l5140,2974r57,-41l5260,2895r69,-33l5404,2832r80,-24l5568,2788r89,-15l5749,2764r95,-3l5938,2764r92,9l6119,2788r84,20l6283,2832r75,30l6427,2895r63,38l6547,2974r49,45l6637,3067r33,50l6710,3225r5,57l6710,3339r-40,108l6637,3497r-41,48l6547,3590r-57,41l6427,3669r-69,33l6283,3732r-80,24l6119,3776r-89,15l5938,3800r-94,3l5749,3800r-92,-9l5568,3776r-84,-20l5404,3732r-75,-30l5260,3669r-63,-38l5140,3590r-49,-45l5050,3497r-33,-50l4977,3339r-5,-57xe" filled="f" strokeweight=".21992mm">
              <v:path arrowok="t"/>
            </v:shape>
            <v:shape id="_x0000_s1046" type="#_x0000_t75" style="position:absolute;left:6622;top:2813;width:180;height:473">
              <v:imagedata r:id="rId16" o:title=""/>
            </v:shape>
            <v:shape id="_x0000_s1045" type="#_x0000_t75" style="position:absolute;left:5774;top:2460;width:164;height:286">
              <v:imagedata r:id="rId17" o:title=""/>
            </v:shape>
            <v:shape id="_x0000_s1044" type="#_x0000_t75" style="position:absolute;left:5758;top:3843;width:164;height:286">
              <v:imagedata r:id="rId17" o:title=""/>
            </v:shape>
            <v:shape id="_x0000_s1043" type="#_x0000_t75" style="position:absolute;left:6624;top:1441;width:180;height:473">
              <v:imagedata r:id="rId16" o:title=""/>
            </v:shape>
            <v:line id="_x0000_s1042" style="position:absolute" from="2834,6108" to="2819,5654" strokeweight=".59053mm"/>
            <v:shape id="_x0000_s1041" type="#_x0000_t75" style="position:absolute;left:2755;top:5546;width:156;height:177">
              <v:imagedata r:id="rId18" o:title=""/>
            </v:shape>
            <v:rect id="_x0000_s1040" style="position:absolute;left:5194;top:531;width:1293;height:510" filled="f" strokeweight=".21994mm"/>
            <v:shape id="_x0000_s1039" type="#_x0000_t75" style="position:absolute;left:5707;top:179;width:164;height:312">
              <v:imagedata r:id="rId19" o:title=""/>
            </v:shape>
            <v:shape id="_x0000_s1038" type="#_x0000_t75" style="position:absolute;left:5753;top:1065;width:162;height:284">
              <v:imagedata r:id="rId20" o:title=""/>
            </v:shape>
            <v:shape id="_x0000_s1037" type="#_x0000_t75" style="position:absolute;left:5106;top:814;width:180;height:473">
              <v:imagedata r:id="rId21" o:title=""/>
            </v:shape>
            <v:shape id="_x0000_s1036" type="#_x0000_t202" style="position:absolute;left:5299;top:189;width:1102;height:782" filled="f" stroked="f">
              <v:textbox inset="0,0,0,0">
                <w:txbxContent>
                  <w:p w:rsidR="007943CE" w:rsidRDefault="00240756">
                    <w:pPr>
                      <w:spacing w:line="237" w:lineRule="exact"/>
                      <w:ind w:left="188"/>
                      <w:rPr>
                        <w:rFonts w:ascii="Calibri"/>
                        <w:sz w:val="23"/>
                      </w:rPr>
                    </w:pPr>
                    <w:r>
                      <w:rPr>
                        <w:rFonts w:ascii="Calibri"/>
                        <w:w w:val="101"/>
                        <w:sz w:val="23"/>
                      </w:rPr>
                      <w:t>?</w:t>
                    </w:r>
                  </w:p>
                  <w:p w:rsidR="007943CE" w:rsidRDefault="00240756">
                    <w:pPr>
                      <w:spacing w:before="171" w:line="373" w:lineRule="exact"/>
                      <w:rPr>
                        <w:rFonts w:ascii="Calibri"/>
                        <w:sz w:val="31"/>
                      </w:rPr>
                    </w:pPr>
                    <w:r>
                      <w:rPr>
                        <w:rFonts w:ascii="Calibri"/>
                        <w:sz w:val="31"/>
                      </w:rPr>
                      <w:t>mir145A</w:t>
                    </w:r>
                  </w:p>
                </w:txbxContent>
              </v:textbox>
            </v:shape>
            <v:shape id="_x0000_s1035" type="#_x0000_t202" style="position:absolute;left:5428;top:1749;width:794;height:312" filled="f" stroked="f">
              <v:textbox inset="0,0,0,0">
                <w:txbxContent>
                  <w:p w:rsidR="007943CE" w:rsidRDefault="00240756">
                    <w:pPr>
                      <w:spacing w:line="312" w:lineRule="exact"/>
                      <w:rPr>
                        <w:rFonts w:ascii="Calibri"/>
                        <w:sz w:val="31"/>
                      </w:rPr>
                    </w:pPr>
                    <w:r>
                      <w:rPr>
                        <w:rFonts w:ascii="Calibri"/>
                        <w:sz w:val="31"/>
                      </w:rPr>
                      <w:t>Jam-A</w:t>
                    </w:r>
                  </w:p>
                </w:txbxContent>
              </v:textbox>
            </v:shape>
            <v:shape id="_x0000_s1034" type="#_x0000_t202" style="position:absolute;left:5238;top:3149;width:1238;height:312" filled="f" stroked="f">
              <v:textbox inset="0,0,0,0">
                <w:txbxContent>
                  <w:p w:rsidR="007943CE" w:rsidRDefault="00240756">
                    <w:pPr>
                      <w:spacing w:line="312" w:lineRule="exact"/>
                      <w:rPr>
                        <w:rFonts w:ascii="Calibri"/>
                        <w:sz w:val="31"/>
                      </w:rPr>
                    </w:pPr>
                    <w:r>
                      <w:rPr>
                        <w:rFonts w:ascii="Calibri"/>
                        <w:sz w:val="31"/>
                      </w:rPr>
                      <w:t>Rap1 GTP</w:t>
                    </w:r>
                  </w:p>
                </w:txbxContent>
              </v:textbox>
            </v:shape>
            <v:shape id="_x0000_s1033" type="#_x0000_t202" style="position:absolute;left:5302;top:4512;width:1207;height:312" filled="f" stroked="f">
              <v:textbox inset="0,0,0,0">
                <w:txbxContent>
                  <w:p w:rsidR="007943CE" w:rsidRDefault="00240756">
                    <w:pPr>
                      <w:spacing w:line="312" w:lineRule="exact"/>
                      <w:rPr>
                        <w:rFonts w:ascii="Calibri"/>
                        <w:sz w:val="31"/>
                      </w:rPr>
                    </w:pPr>
                    <w:r>
                      <w:rPr>
                        <w:rFonts w:ascii="Calibri"/>
                        <w:sz w:val="31"/>
                      </w:rPr>
                      <w:t>Rac1 GTP</w:t>
                    </w:r>
                  </w:p>
                </w:txbxContent>
              </v:textbox>
            </v:shape>
            <v:shape id="_x0000_s1032" type="#_x0000_t202" style="position:absolute;left:3036;top:6028;width:1800;height:312" filled="f" stroked="f">
              <v:textbox inset="0,0,0,0">
                <w:txbxContent>
                  <w:p w:rsidR="007943CE" w:rsidRDefault="00240756">
                    <w:pPr>
                      <w:spacing w:line="312" w:lineRule="exact"/>
                      <w:rPr>
                        <w:rFonts w:ascii="Calibri"/>
                        <w:sz w:val="31"/>
                      </w:rPr>
                    </w:pPr>
                    <w:r>
                      <w:rPr>
                        <w:rFonts w:ascii="Calibri"/>
                        <w:sz w:val="31"/>
                      </w:rPr>
                      <w:t>Cell spreading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943CE" w:rsidRDefault="007943CE">
      <w:pPr>
        <w:pStyle w:val="BodyText"/>
        <w:rPr>
          <w:rFonts w:ascii="Calibri"/>
          <w:sz w:val="20"/>
        </w:rPr>
      </w:pPr>
    </w:p>
    <w:p w:rsidR="007943CE" w:rsidRDefault="007943CE">
      <w:pPr>
        <w:pStyle w:val="BodyText"/>
        <w:spacing w:before="9"/>
        <w:rPr>
          <w:rFonts w:ascii="Calibri"/>
          <w:sz w:val="17"/>
        </w:rPr>
      </w:pPr>
    </w:p>
    <w:p w:rsidR="007943CE" w:rsidRDefault="00240756">
      <w:pPr>
        <w:pStyle w:val="Heading1"/>
        <w:spacing w:line="360" w:lineRule="auto"/>
        <w:ind w:left="119" w:right="479"/>
      </w:pPr>
      <w:r>
        <w:pict>
          <v:group id="_x0000_s1026" style="position:absolute;left:0;text-align:left;margin-left:314.95pt;margin-top:-111.95pt;width:117.25pt;height:88.2pt;z-index:1216;mso-position-horizontal-relative:page" coordorigin="6299,-2239" coordsize="2345,1764">
            <v:shape id="_x0000_s1030" style="position:absolute;left:6305;top:-2234;width:2294;height:1751" coordorigin="6305,-2233" coordsize="2294,1751" path="m6305,-1358r3,-65l6318,-1487r15,-63l6354,-1611r26,-59l6412,-1727r36,-55l6490,-1835r46,-50l6587,-1932r54,-45l6700,-2019r62,-38l6828,-2092r69,-32l6969,-2152r74,-24l7121,-2196r80,-16l7283,-2224r83,-7l7452,-2233r86,2l7621,-2224r82,12l7783,-2196r78,20l7935,-2152r72,28l8076,-2092r66,35l8204,-2019r59,42l8318,-1932r50,47l8414,-1835r42,53l8492,-1727r32,57l8550,-1611r21,61l8586,-1487r10,64l8599,-1358r-3,65l8586,-1229r-15,63l8550,-1105r-26,59l8492,-989r-36,55l8414,-881r-46,50l8318,-784r-55,45l8204,-697r-62,38l8076,-624r-69,32l7935,-564r-74,24l7783,-520r-80,16l7621,-492r-83,7l7452,-483r-86,-2l7283,-492r-82,-12l7121,-520r-78,-20l6969,-564r-72,-28l6828,-624r-66,-35l6700,-697r-59,-42l6587,-784r-51,-47l6490,-881r-42,-53l6412,-989r-32,-57l6354,-1105r-21,-61l6318,-1229r-10,-64l6305,-1358xe" filled="f" strokeweight=".21989mm">
              <v:path arrowok="t"/>
            </v:shape>
            <v:line id="_x0000_s1029" style="position:absolute" from="8567,-1526" to="8552,-1980" strokeweight=".59053mm"/>
            <v:shape id="_x0000_s1028" type="#_x0000_t75" style="position:absolute;left:8464;top:-2088;width:179;height:183">
              <v:imagedata r:id="rId22" o:title=""/>
            </v:shape>
            <v:shape id="_x0000_s1027" type="#_x0000_t202" style="position:absolute;left:6298;top:-2240;width:2345;height:1764" filled="f" stroked="f">
              <v:textbox inset="0,0,0,0">
                <w:txbxContent>
                  <w:p w:rsidR="007943CE" w:rsidRDefault="007943CE">
                    <w:pPr>
                      <w:rPr>
                        <w:sz w:val="30"/>
                      </w:rPr>
                    </w:pPr>
                  </w:p>
                  <w:p w:rsidR="007943CE" w:rsidRDefault="007943CE">
                    <w:pPr>
                      <w:spacing w:before="3"/>
                      <w:rPr>
                        <w:sz w:val="27"/>
                      </w:rPr>
                    </w:pPr>
                  </w:p>
                  <w:p w:rsidR="007943CE" w:rsidRDefault="00240756">
                    <w:pPr>
                      <w:ind w:left="434"/>
                      <w:rPr>
                        <w:rFonts w:ascii="Calibri"/>
                        <w:sz w:val="31"/>
                      </w:rPr>
                    </w:pPr>
                    <w:r>
                      <w:rPr>
                        <w:rFonts w:ascii="Calibri"/>
                        <w:sz w:val="31"/>
                      </w:rPr>
                      <w:t>Cell motility</w:t>
                    </w:r>
                  </w:p>
                </w:txbxContent>
              </v:textbox>
            </v:shape>
            <w10:wrap anchorx="page"/>
          </v:group>
        </w:pict>
      </w:r>
      <w:r>
        <w:t>Supplemental Figure 10: A schematic diagram describing molecular events that mediate accelerated motility and disrupted cell-cell adhesions of Ykt6-depleted epithelial cells.</w:t>
      </w:r>
    </w:p>
    <w:p w:rsidR="007943CE" w:rsidRDefault="00240756">
      <w:pPr>
        <w:pStyle w:val="BodyText"/>
        <w:spacing w:line="360" w:lineRule="auto"/>
        <w:ind w:left="119" w:right="479"/>
        <w:jc w:val="both"/>
      </w:pPr>
      <w:r>
        <w:t>The diagram outlines the proposed signaling cascade, which is activated by Ykt6 depletion and results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increased</w:t>
      </w:r>
      <w:r>
        <w:rPr>
          <w:spacing w:val="-16"/>
        </w:rPr>
        <w:t xml:space="preserve"> </w:t>
      </w:r>
      <w:r>
        <w:t>migration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invasion</w:t>
      </w:r>
      <w:r>
        <w:rPr>
          <w:spacing w:val="-16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epithelial</w:t>
      </w:r>
      <w:r>
        <w:rPr>
          <w:spacing w:val="-15"/>
        </w:rPr>
        <w:t xml:space="preserve"> </w:t>
      </w:r>
      <w:r>
        <w:t>cells,</w:t>
      </w:r>
      <w:r>
        <w:rPr>
          <w:spacing w:val="-16"/>
        </w:rPr>
        <w:t xml:space="preserve"> </w:t>
      </w:r>
      <w:r>
        <w:t>as</w:t>
      </w:r>
      <w:r>
        <w:rPr>
          <w:spacing w:val="-16"/>
        </w:rPr>
        <w:t xml:space="preserve"> </w:t>
      </w:r>
      <w:r>
        <w:t>well</w:t>
      </w:r>
      <w:r>
        <w:rPr>
          <w:spacing w:val="-15"/>
        </w:rPr>
        <w:t xml:space="preserve"> </w:t>
      </w:r>
      <w:r>
        <w:t>as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disassembly</w:t>
      </w:r>
      <w:r>
        <w:rPr>
          <w:spacing w:val="-21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epithelial junctions.</w:t>
      </w:r>
    </w:p>
    <w:sectPr w:rsidR="007943CE">
      <w:pgSz w:w="12240" w:h="15840"/>
      <w:pgMar w:top="1460" w:right="960" w:bottom="280" w:left="1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7943CE"/>
    <w:rsid w:val="00240756"/>
    <w:rsid w:val="00794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</o:shapelayout>
  </w:shapeDefaults>
  <w:decimalSymbol w:val="."/>
  <w:listSeparator w:val=","/>
  <w15:docId w15:val="{AE8D49F0-B3DF-4089-9773-6F8AA8A11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bidi="en-US"/>
    </w:rPr>
  </w:style>
  <w:style w:type="paragraph" w:styleId="Heading1">
    <w:name w:val="heading 1"/>
    <w:basedOn w:val="Normal"/>
    <w:uiPriority w:val="1"/>
    <w:qFormat/>
    <w:pPr>
      <w:spacing w:before="90"/>
      <w:ind w:left="120"/>
      <w:jc w:val="both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240756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864</Words>
  <Characters>4928</Characters>
  <Application>Microsoft Office Word</Application>
  <DocSecurity>0</DocSecurity>
  <Lines>41</Lines>
  <Paragraphs>11</Paragraphs>
  <ScaleCrop>false</ScaleCrop>
  <Company>Cleveland Clinic</Company>
  <LinksUpToDate>false</LinksUpToDate>
  <CharactersWithSpaces>5781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Naydenov, Nayden</dc:creator>
  <cp:lastModifiedBy>Naydenov, Nayden</cp:lastModifiedBy>
  <cp:revision>2</cp:revision>
  <dcterms:created xsi:type="dcterms:W3CDTF">2018-06-18T21:20:00Z</dcterms:created>
  <dcterms:modified xsi:type="dcterms:W3CDTF">2018-06-18T21:22:00Z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2018-02-27T00:00:00Z</vt:filetime>
  </property>
  <property fmtid="{D5CDD505-2E9C-101B-9397-08002B2CF9AE}" pid="3" name="Creator">
    <vt:lpwstr>Acrobat PDFMaker 18 for Word</vt:lpwstr>
  </property>
  <property fmtid="{D5CDD505-2E9C-101B-9397-08002B2CF9AE}" pid="4" name="LastSaved">
    <vt:filetime>2018-06-18T00:00:00Z</vt:filetime>
  </property>
</Properties>
</file>