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6" w:rsidRPr="00447051" w:rsidRDefault="00B70802" w:rsidP="0032678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326786" w:rsidRPr="00447051">
        <w:rPr>
          <w:b/>
          <w:sz w:val="24"/>
          <w:szCs w:val="24"/>
        </w:rPr>
        <w:t>Table</w:t>
      </w:r>
      <w:r w:rsidR="00326786">
        <w:rPr>
          <w:b/>
          <w:sz w:val="24"/>
          <w:szCs w:val="24"/>
        </w:rPr>
        <w:t xml:space="preserve"> 1: Varia</w:t>
      </w:r>
      <w:bookmarkStart w:id="0" w:name="_GoBack"/>
      <w:bookmarkEnd w:id="0"/>
      <w:r w:rsidR="00326786">
        <w:rPr>
          <w:b/>
          <w:sz w:val="24"/>
          <w:szCs w:val="24"/>
        </w:rPr>
        <w:t>ble Descriptions, Sources, and Summary Statistics</w:t>
      </w:r>
    </w:p>
    <w:tbl>
      <w:tblPr>
        <w:tblW w:w="8780" w:type="dxa"/>
        <w:tblInd w:w="95" w:type="dxa"/>
        <w:tblLook w:val="04A0" w:firstRow="1" w:lastRow="0" w:firstColumn="1" w:lastColumn="0" w:noHBand="0" w:noVBand="1"/>
      </w:tblPr>
      <w:tblGrid>
        <w:gridCol w:w="2280"/>
        <w:gridCol w:w="4580"/>
        <w:gridCol w:w="960"/>
        <w:gridCol w:w="960"/>
      </w:tblGrid>
      <w:tr w:rsidR="00326786" w:rsidRPr="00447051" w:rsidTr="00C164F5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47051">
              <w:rPr>
                <w:rFonts w:eastAsia="Times New Roman" w:cs="Times New Roman"/>
                <w:b/>
                <w:bCs/>
                <w:color w:val="000000"/>
              </w:rPr>
              <w:t>Variable Label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47051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7051">
              <w:rPr>
                <w:rFonts w:eastAsia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7051">
              <w:rPr>
                <w:rFonts w:eastAsia="Times New Roman" w:cs="Times New Roman"/>
                <w:b/>
                <w:bCs/>
                <w:color w:val="000000"/>
              </w:rPr>
              <w:t>Std. Dev.</w:t>
            </w:r>
          </w:p>
        </w:tc>
      </w:tr>
      <w:tr w:rsidR="00326786" w:rsidRPr="00447051" w:rsidTr="00C164F5">
        <w:trPr>
          <w:trHeight w:val="67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ln</w:t>
            </w:r>
            <w:proofErr w:type="spellEnd"/>
            <w:r w:rsidRPr="00447051">
              <w:rPr>
                <w:rFonts w:eastAsia="Times New Roman" w:cs="Times New Roman"/>
                <w:color w:val="000000"/>
              </w:rPr>
              <w:t>(Property Tax Revenue)</w:t>
            </w:r>
            <w:r w:rsidRPr="00447051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General property taxes from real property.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0.066</w:t>
            </w:r>
          </w:p>
        </w:tc>
      </w:tr>
      <w:tr w:rsidR="00326786" w:rsidRPr="00447051" w:rsidTr="00C164F5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ln</w:t>
            </w:r>
            <w:proofErr w:type="spellEnd"/>
            <w:r w:rsidRPr="00447051">
              <w:rPr>
                <w:rFonts w:eastAsia="Times New Roman" w:cs="Times New Roman"/>
                <w:color w:val="000000"/>
              </w:rPr>
              <w:t>(Local Revenue)</w:t>
            </w:r>
            <w:r w:rsidRPr="00447051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Total revenue raised from local sources.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0.059</w:t>
            </w:r>
          </w:p>
        </w:tc>
      </w:tr>
      <w:tr w:rsidR="00326786" w:rsidRPr="00447051" w:rsidTr="00C164F5">
        <w:trPr>
          <w:trHeight w:val="63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(Property Tax Revenue Share)</w:t>
            </w:r>
            <w:r w:rsidRPr="00447051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General property taxes as a share of total revenue sources, including state and federal grants.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0.064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ln</w:t>
            </w:r>
            <w:proofErr w:type="spellEnd"/>
            <w:r w:rsidRPr="00447051">
              <w:rPr>
                <w:rFonts w:eastAsia="Times New Roman" w:cs="Times New Roman"/>
                <w:color w:val="000000"/>
              </w:rPr>
              <w:t>(Current Expenditures)</w:t>
            </w:r>
            <w:r w:rsidRPr="00447051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Total expenditures on the maintenance and operation of government.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0.050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ln</w:t>
            </w:r>
            <w:proofErr w:type="spellEnd"/>
            <w:r w:rsidRPr="00447051">
              <w:rPr>
                <w:rFonts w:eastAsia="Times New Roman" w:cs="Times New Roman"/>
                <w:color w:val="000000"/>
              </w:rPr>
              <w:t>(Capital Expenditures)</w:t>
            </w:r>
            <w:r w:rsidRPr="00447051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Total expenditures on capital projects.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-0.048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2.018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ln</w:t>
            </w:r>
            <w:proofErr w:type="spellEnd"/>
            <w:r w:rsidRPr="00447051">
              <w:rPr>
                <w:rFonts w:eastAsia="Times New Roman" w:cs="Times New Roman"/>
                <w:color w:val="000000"/>
              </w:rPr>
              <w:t>(Non-Revenue Receipts)</w:t>
            </w:r>
            <w:r w:rsidRPr="00447051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Cash receipts from non-reoccurring sources.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6.471</w:t>
            </w:r>
          </w:p>
        </w:tc>
      </w:tr>
      <w:tr w:rsidR="00326786" w:rsidRPr="00447051" w:rsidTr="00C164F5">
        <w:trPr>
          <w:trHeight w:val="9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 xml:space="preserve">Decrease </w:t>
            </w:r>
            <w:r>
              <w:rPr>
                <w:rFonts w:eastAsia="Times New Roman" w:cs="Times New Roman"/>
                <w:color w:val="000000"/>
              </w:rPr>
              <w:t>Tax Visibility</w:t>
            </w:r>
            <w:r w:rsidRPr="00447051">
              <w:rPr>
                <w:rFonts w:eastAsia="Times New Roman" w:cs="Times New Roman"/>
                <w:color w:val="000000"/>
              </w:rPr>
              <w:t xml:space="preserve"> Next Year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Equals 1 if, </w:t>
            </w:r>
            <w:r w:rsidRPr="00447051">
              <w:rPr>
                <w:rFonts w:eastAsia="Times New Roman" w:cs="Times New Roman"/>
                <w:color w:val="000000"/>
              </w:rPr>
              <w:t>in the next period, the taxable value of real property w</w:t>
            </w:r>
            <w:r>
              <w:rPr>
                <w:rFonts w:eastAsia="Times New Roman" w:cs="Times New Roman"/>
                <w:color w:val="000000"/>
              </w:rPr>
              <w:t>ill increase due to a mass reappraisal; else zero.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0.386</w:t>
            </w:r>
          </w:p>
        </w:tc>
      </w:tr>
      <w:tr w:rsidR="00326786" w:rsidRPr="00447051" w:rsidTr="00C164F5">
        <w:trPr>
          <w:trHeight w:val="9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 xml:space="preserve">Decrease </w:t>
            </w:r>
            <w:r>
              <w:rPr>
                <w:rFonts w:eastAsia="Times New Roman" w:cs="Times New Roman"/>
                <w:color w:val="000000"/>
              </w:rPr>
              <w:t>Tax Visibility</w:t>
            </w:r>
            <w:r w:rsidRPr="00447051">
              <w:rPr>
                <w:rFonts w:eastAsia="Times New Roman" w:cs="Times New Roman"/>
                <w:color w:val="000000"/>
              </w:rPr>
              <w:t xml:space="preserve"> This Year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Equals 1 if</w:t>
            </w:r>
            <w:r w:rsidRPr="00447051">
              <w:rPr>
                <w:rFonts w:eastAsia="Times New Roman" w:cs="Times New Roman"/>
                <w:color w:val="000000"/>
              </w:rPr>
              <w:t xml:space="preserve"> the taxable value of real property w</w:t>
            </w:r>
            <w:r>
              <w:rPr>
                <w:rFonts w:eastAsia="Times New Roman" w:cs="Times New Roman"/>
                <w:color w:val="000000"/>
              </w:rPr>
              <w:t>ill increase due to a mass reappraisal; else zero.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0.484</w:t>
            </w:r>
          </w:p>
        </w:tc>
      </w:tr>
      <w:tr w:rsidR="00326786" w:rsidRPr="00447051" w:rsidTr="00C164F5">
        <w:trPr>
          <w:trHeight w:val="9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 xml:space="preserve">Decrease </w:t>
            </w:r>
            <w:r>
              <w:rPr>
                <w:rFonts w:eastAsia="Times New Roman" w:cs="Times New Roman"/>
                <w:color w:val="000000"/>
              </w:rPr>
              <w:t>Tax Visibility</w:t>
            </w:r>
            <w:r w:rsidRPr="00447051">
              <w:rPr>
                <w:rFonts w:eastAsia="Times New Roman" w:cs="Times New Roman"/>
                <w:color w:val="000000"/>
              </w:rPr>
              <w:t xml:space="preserve"> Last Year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Equals 1 if, in the previous year, </w:t>
            </w:r>
            <w:r w:rsidRPr="00447051">
              <w:rPr>
                <w:rFonts w:eastAsia="Times New Roman" w:cs="Times New Roman"/>
                <w:color w:val="000000"/>
              </w:rPr>
              <w:t>the taxable value of real property increased</w:t>
            </w:r>
            <w:r>
              <w:rPr>
                <w:rFonts w:eastAsia="Times New Roman" w:cs="Times New Roman"/>
                <w:color w:val="000000"/>
              </w:rPr>
              <w:t xml:space="preserve"> due to a mass reappraisal; else zero.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0.391</w:t>
            </w:r>
          </w:p>
        </w:tc>
      </w:tr>
      <w:tr w:rsidR="00326786" w:rsidRPr="00447051" w:rsidTr="00C164F5">
        <w:trPr>
          <w:trHeight w:val="9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 xml:space="preserve">Increase </w:t>
            </w:r>
            <w:r>
              <w:rPr>
                <w:rFonts w:eastAsia="Times New Roman" w:cs="Times New Roman"/>
                <w:color w:val="000000"/>
              </w:rPr>
              <w:t>Tax Visibility</w:t>
            </w:r>
            <w:r w:rsidRPr="00447051">
              <w:rPr>
                <w:rFonts w:eastAsia="Times New Roman" w:cs="Times New Roman"/>
                <w:color w:val="000000"/>
              </w:rPr>
              <w:t xml:space="preserve"> Next Year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Equals 1 if, </w:t>
            </w:r>
            <w:r w:rsidRPr="00447051">
              <w:rPr>
                <w:rFonts w:eastAsia="Times New Roman" w:cs="Times New Roman"/>
                <w:color w:val="000000"/>
              </w:rPr>
              <w:t>in the next period, the taxable value of real property w</w:t>
            </w:r>
            <w:r>
              <w:rPr>
                <w:rFonts w:eastAsia="Times New Roman" w:cs="Times New Roman"/>
                <w:color w:val="000000"/>
              </w:rPr>
              <w:t>ill decrease due to a mass reappraisal; else zero.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0.180</w:t>
            </w:r>
          </w:p>
        </w:tc>
      </w:tr>
      <w:tr w:rsidR="00326786" w:rsidRPr="00447051" w:rsidTr="00C164F5">
        <w:trPr>
          <w:trHeight w:val="9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 xml:space="preserve">Increase </w:t>
            </w:r>
            <w:r>
              <w:rPr>
                <w:rFonts w:eastAsia="Times New Roman" w:cs="Times New Roman"/>
                <w:color w:val="000000"/>
              </w:rPr>
              <w:t>Tax Visibility</w:t>
            </w:r>
            <w:r w:rsidRPr="00447051">
              <w:rPr>
                <w:rFonts w:eastAsia="Times New Roman" w:cs="Times New Roman"/>
                <w:color w:val="000000"/>
              </w:rPr>
              <w:t xml:space="preserve"> This Year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Equals 1 if</w:t>
            </w:r>
            <w:r w:rsidRPr="00447051">
              <w:rPr>
                <w:rFonts w:eastAsia="Times New Roman" w:cs="Times New Roman"/>
                <w:color w:val="000000"/>
              </w:rPr>
              <w:t xml:space="preserve"> the taxable value of real property w</w:t>
            </w:r>
            <w:r>
              <w:rPr>
                <w:rFonts w:eastAsia="Times New Roman" w:cs="Times New Roman"/>
                <w:color w:val="000000"/>
              </w:rPr>
              <w:t>ill decrease due to a mass reappraisal; else zero.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0.223</w:t>
            </w:r>
          </w:p>
        </w:tc>
      </w:tr>
      <w:tr w:rsidR="00326786" w:rsidRPr="00447051" w:rsidTr="00C164F5">
        <w:trPr>
          <w:trHeight w:val="9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 xml:space="preserve">Increase </w:t>
            </w:r>
            <w:r>
              <w:rPr>
                <w:rFonts w:eastAsia="Times New Roman" w:cs="Times New Roman"/>
                <w:color w:val="000000"/>
              </w:rPr>
              <w:t>Tax Visibility</w:t>
            </w:r>
            <w:r w:rsidRPr="00447051">
              <w:rPr>
                <w:rFonts w:eastAsia="Times New Roman" w:cs="Times New Roman"/>
                <w:color w:val="000000"/>
              </w:rPr>
              <w:t xml:space="preserve"> Last Year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Equals 1 if, in the previous year, </w:t>
            </w:r>
            <w:r w:rsidRPr="00447051">
              <w:rPr>
                <w:rFonts w:eastAsia="Times New Roman" w:cs="Times New Roman"/>
                <w:color w:val="000000"/>
              </w:rPr>
              <w:t xml:space="preserve">the taxable value of real property </w:t>
            </w:r>
            <w:r>
              <w:rPr>
                <w:rFonts w:eastAsia="Times New Roman" w:cs="Times New Roman"/>
                <w:color w:val="000000"/>
              </w:rPr>
              <w:t>decreased due to a mass reappraisal; else zero.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0.140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(Non-property tax revenue)</w:t>
            </w:r>
            <w:r w:rsidRPr="00447051">
              <w:rPr>
                <w:rFonts w:eastAsia="Times New Roman" w:cs="Times New Roman"/>
                <w:vertAlign w:val="superscript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Local revenue from non-property tax sources.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0.078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(Fair Market Value of Property)</w:t>
            </w:r>
            <w:r w:rsidRPr="00447051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Estimated fair market value of real property.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0.133</w:t>
            </w:r>
          </w:p>
        </w:tc>
      </w:tr>
      <w:tr w:rsidR="00326786" w:rsidRPr="00447051" w:rsidTr="00C164F5">
        <w:trPr>
          <w:trHeight w:val="72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(Median Tax Price)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Median household income</w:t>
            </w:r>
            <w:r w:rsidRPr="00447051">
              <w:rPr>
                <w:rFonts w:eastAsia="Times New Roman" w:cs="Times New Roman"/>
                <w:vertAlign w:val="superscript"/>
              </w:rPr>
              <w:t>4</w:t>
            </w:r>
            <w:r w:rsidRPr="00447051">
              <w:rPr>
                <w:rFonts w:eastAsia="Times New Roman" w:cs="Times New Roman"/>
              </w:rPr>
              <w:t xml:space="preserve"> divided by total personal income</w:t>
            </w:r>
            <w:r w:rsidRPr="00447051">
              <w:rPr>
                <w:rFonts w:eastAsia="Times New Roman" w:cs="Times New Roman"/>
                <w:vertAlign w:val="superscript"/>
              </w:rPr>
              <w:t>3</w:t>
            </w:r>
            <w:r w:rsidRPr="00447051">
              <w:rPr>
                <w:rFonts w:eastAsia="Times New Roman" w:cs="Times New Roman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0.168</w:t>
            </w:r>
          </w:p>
        </w:tc>
      </w:tr>
      <w:tr w:rsidR="00326786" w:rsidRPr="00447051" w:rsidTr="00C164F5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(Population)</w:t>
            </w:r>
            <w:r w:rsidRPr="00447051">
              <w:rPr>
                <w:rFonts w:eastAsia="Times New Roman" w:cs="Times New Roman"/>
                <w:vertAlign w:val="superscript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Population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0.015</w:t>
            </w:r>
          </w:p>
        </w:tc>
      </w:tr>
      <w:tr w:rsidR="00326786" w:rsidRPr="00447051" w:rsidTr="00C164F5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lastRenderedPageBreak/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(Median Income)</w:t>
            </w:r>
            <w:r w:rsidRPr="00447051">
              <w:rPr>
                <w:rFonts w:eastAsia="Times New Roman" w:cs="Times New Roman"/>
                <w:vertAlign w:val="superscript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Median adjusted gross income.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0.163</w:t>
            </w:r>
          </w:p>
        </w:tc>
      </w:tr>
      <w:tr w:rsidR="00326786" w:rsidRPr="00447051" w:rsidTr="00C164F5">
        <w:trPr>
          <w:trHeight w:val="9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Median Income Post 2007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Dummy variable that is slope modifier for "median income" variable to take into account the change in definition used in household income.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0.160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(Share of Population Under 19)</w:t>
            </w:r>
            <w:r w:rsidRPr="00447051">
              <w:rPr>
                <w:rFonts w:eastAsia="Times New Roman" w:cs="Times New Roman"/>
                <w:vertAlign w:val="superscript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Share of population under age 19 years.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-0.006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0.011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(Share of Population Over 65)</w:t>
            </w:r>
            <w:r w:rsidRPr="00447051">
              <w:rPr>
                <w:rFonts w:eastAsia="Times New Roman" w:cs="Times New Roman"/>
                <w:vertAlign w:val="superscript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r w:rsidRPr="00447051">
              <w:rPr>
                <w:rFonts w:eastAsia="Times New Roman" w:cs="Times New Roman"/>
              </w:rPr>
              <w:t>Share of population over age 19 years.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0.018</w:t>
            </w:r>
          </w:p>
        </w:tc>
      </w:tr>
      <w:tr w:rsidR="00326786" w:rsidRPr="00447051" w:rsidTr="00C164F5">
        <w:trPr>
          <w:trHeight w:val="6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Δ</w:t>
            </w:r>
            <w:r w:rsidRPr="00447051">
              <w:rPr>
                <w:rFonts w:eastAsia="Times New Roman" w:cs="Times New Roman"/>
              </w:rPr>
              <w:t>ln</w:t>
            </w:r>
            <w:proofErr w:type="spellEnd"/>
            <w:r w:rsidRPr="00447051">
              <w:rPr>
                <w:rFonts w:eastAsia="Times New Roman" w:cs="Times New Roman"/>
              </w:rPr>
              <w:t>(Racial Fractionalization)</w:t>
            </w:r>
            <w:r w:rsidRPr="00447051">
              <w:rPr>
                <w:rFonts w:eastAsia="Times New Roman" w:cs="Times New Roman"/>
                <w:vertAlign w:val="superscript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47051">
              <w:rPr>
                <w:rFonts w:eastAsia="Times New Roman" w:cs="Times New Roman"/>
              </w:rPr>
              <w:t>Herfindahl</w:t>
            </w:r>
            <w:proofErr w:type="spellEnd"/>
            <w:r w:rsidRPr="00447051">
              <w:rPr>
                <w:rFonts w:eastAsia="Times New Roman" w:cs="Times New Roman"/>
              </w:rPr>
              <w:t xml:space="preserve"> Hirschman Index of population by race.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6786" w:rsidRPr="00447051" w:rsidRDefault="00326786" w:rsidP="00C16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0.007</w:t>
            </w:r>
          </w:p>
        </w:tc>
      </w:tr>
      <w:tr w:rsidR="00326786" w:rsidRPr="00447051" w:rsidTr="00C164F5">
        <w:trPr>
          <w:trHeight w:val="3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Notes: Sample size is 1,310. Year over year change indicated by "</w:t>
            </w:r>
            <w:r w:rsidRPr="00FD2B22">
              <w:rPr>
                <w:rFonts w:ascii="Arial" w:eastAsia="Times New Roman" w:hAnsi="Arial" w:cs="Arial"/>
                <w:bCs/>
                <w:sz w:val="20"/>
                <w:szCs w:val="20"/>
              </w:rPr>
              <w:t>Δ</w:t>
            </w:r>
            <w:r w:rsidRPr="00447051">
              <w:rPr>
                <w:rFonts w:eastAsia="Times New Roman" w:cs="Times New Roman"/>
                <w:color w:val="000000"/>
              </w:rPr>
              <w:t>" and natural log by "ln()".</w:t>
            </w:r>
          </w:p>
        </w:tc>
      </w:tr>
      <w:tr w:rsidR="00326786" w:rsidRPr="00447051" w:rsidTr="00C164F5">
        <w:trPr>
          <w:trHeight w:val="16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6786" w:rsidRPr="00447051" w:rsidRDefault="00326786" w:rsidP="00C164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47051">
              <w:rPr>
                <w:rFonts w:eastAsia="Times New Roman" w:cs="Times New Roman"/>
                <w:color w:val="000000"/>
              </w:rPr>
              <w:t>Data sources:  1) Annual Comparative Reports of Local Government Revenues and Expenditures from Virginia Auditor of Public Accounts; 2) Virginia Assessment Sales Ratio Studies from Virginia Department of Taxation; 3) Bureau of Economic Analysis; 4) Virginia Department of Housing and Community Development's Commission on Local Government's annual report on "Comparative Revenue Capacity, Revenue Effort, and Fiscal Stress."; 5) U.S. Census Bureau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</w:tbl>
    <w:p w:rsidR="00326786" w:rsidRDefault="00326786" w:rsidP="00444F1F">
      <w:pPr>
        <w:jc w:val="center"/>
        <w:rPr>
          <w:rFonts w:cs="Times New Roman"/>
          <w:b/>
        </w:rPr>
      </w:pPr>
    </w:p>
    <w:p w:rsidR="00326786" w:rsidRDefault="00326786" w:rsidP="00444F1F">
      <w:pPr>
        <w:jc w:val="center"/>
        <w:rPr>
          <w:rFonts w:cs="Times New Roman"/>
          <w:b/>
        </w:rPr>
      </w:pPr>
    </w:p>
    <w:p w:rsidR="007A57E9" w:rsidRDefault="007A57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F1F" w:rsidRPr="007B78E2" w:rsidRDefault="00B70802" w:rsidP="00444F1F">
      <w:pPr>
        <w:jc w:val="center"/>
        <w:rPr>
          <w:rFonts w:cs="Times New Roman"/>
          <w:b/>
        </w:rPr>
      </w:pPr>
      <w:r>
        <w:rPr>
          <w:b/>
          <w:sz w:val="24"/>
          <w:szCs w:val="24"/>
        </w:rPr>
        <w:lastRenderedPageBreak/>
        <w:t xml:space="preserve">Supplementary </w:t>
      </w:r>
      <w:r w:rsidR="00444F1F" w:rsidRPr="007B78E2">
        <w:rPr>
          <w:rFonts w:cs="Times New Roman"/>
          <w:b/>
        </w:rPr>
        <w:t xml:space="preserve">Table </w:t>
      </w:r>
      <w:r>
        <w:rPr>
          <w:rFonts w:cs="Times New Roman"/>
          <w:b/>
        </w:rPr>
        <w:t>2</w:t>
      </w:r>
      <w:r w:rsidR="00444F1F" w:rsidRPr="007B78E2">
        <w:rPr>
          <w:rFonts w:cs="Times New Roman"/>
          <w:b/>
        </w:rPr>
        <w:t>: Full Results of Table</w:t>
      </w:r>
      <w:r w:rsidR="003717B4">
        <w:rPr>
          <w:rFonts w:cs="Times New Roman"/>
          <w:b/>
        </w:rPr>
        <w:t xml:space="preserve"> 1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690"/>
        <w:gridCol w:w="966"/>
        <w:gridCol w:w="966"/>
        <w:gridCol w:w="966"/>
        <w:gridCol w:w="966"/>
        <w:gridCol w:w="966"/>
        <w:gridCol w:w="1000"/>
      </w:tblGrid>
      <w:tr w:rsidR="00444F1F" w:rsidRPr="007B78E2" w:rsidTr="00444F1F">
        <w:trPr>
          <w:trHeight w:val="885"/>
        </w:trPr>
        <w:tc>
          <w:tcPr>
            <w:tcW w:w="46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b/>
                <w:bCs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b/>
                <w:bCs/>
                <w:sz w:val="20"/>
                <w:szCs w:val="20"/>
              </w:rPr>
              <w:t>(Property Tax Revenue)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b/>
                <w:bCs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b/>
                <w:bCs/>
                <w:sz w:val="20"/>
                <w:szCs w:val="20"/>
              </w:rPr>
              <w:t>(Local Revenue)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8E2">
              <w:rPr>
                <w:rFonts w:eastAsia="Times New Roman" w:cs="Times New Roman"/>
                <w:b/>
                <w:bCs/>
                <w:sz w:val="20"/>
                <w:szCs w:val="20"/>
              </w:rPr>
              <w:t>Δ(Property Tax Revenue/Total Revenue)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Decrease Tax Visibility Next Year (DTV</w:t>
            </w:r>
            <w:r w:rsidRPr="0088208E">
              <w:rPr>
                <w:rFonts w:eastAsia="Times New Roman" w:cs="Times New Roman"/>
                <w:sz w:val="20"/>
                <w:szCs w:val="20"/>
                <w:vertAlign w:val="subscript"/>
              </w:rPr>
              <w:t>t+1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-0.002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(0.009)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Decrease Tax Visibility This Year (</w:t>
            </w:r>
            <w:proofErr w:type="spellStart"/>
            <w:r w:rsidRPr="0088208E">
              <w:rPr>
                <w:rFonts w:eastAsia="Times New Roman" w:cs="Times New Roman"/>
                <w:sz w:val="20"/>
                <w:szCs w:val="20"/>
              </w:rPr>
              <w:t>DTV</w:t>
            </w:r>
            <w:r w:rsidRPr="0088208E">
              <w:rPr>
                <w:rFonts w:eastAsia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208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0.042***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0.043***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0.013***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0.013**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0.035***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0.036***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(0.007)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Decrease Tax Visibility Last Year (DTV</w:t>
            </w:r>
            <w:r w:rsidRPr="0088208E">
              <w:rPr>
                <w:rFonts w:eastAsia="Times New Roman" w:cs="Times New Roman"/>
                <w:sz w:val="20"/>
                <w:szCs w:val="20"/>
                <w:vertAlign w:val="subscript"/>
              </w:rPr>
              <w:t>t-1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0.006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(0.006)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Increase Tax Visibility Next Year (ITV</w:t>
            </w:r>
            <w:r w:rsidRPr="0088208E">
              <w:rPr>
                <w:rFonts w:eastAsia="Times New Roman" w:cs="Times New Roman"/>
                <w:sz w:val="20"/>
                <w:szCs w:val="20"/>
                <w:vertAlign w:val="subscript"/>
              </w:rPr>
              <w:t>t+1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0.042***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0.039***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0.020*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0.034**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0.033**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(0.014)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Increase Tax Visibility This Year (</w:t>
            </w:r>
            <w:proofErr w:type="spellStart"/>
            <w:r w:rsidRPr="0088208E">
              <w:rPr>
                <w:rFonts w:eastAsia="Times New Roman" w:cs="Times New Roman"/>
                <w:sz w:val="20"/>
                <w:szCs w:val="20"/>
              </w:rPr>
              <w:t>ITV</w:t>
            </w:r>
            <w:r w:rsidRPr="0088208E">
              <w:rPr>
                <w:rFonts w:eastAsia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8208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0.000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(0.009)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8208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08E">
              <w:rPr>
                <w:rFonts w:eastAsia="Times New Roman" w:cs="Times New Roman"/>
                <w:sz w:val="20"/>
                <w:szCs w:val="20"/>
              </w:rPr>
              <w:t>Increase Tax Visibility Last Year (ITV</w:t>
            </w:r>
            <w:r w:rsidRPr="0088208E">
              <w:rPr>
                <w:rFonts w:eastAsia="Times New Roman" w:cs="Times New Roman"/>
                <w:sz w:val="20"/>
                <w:szCs w:val="20"/>
                <w:vertAlign w:val="subscript"/>
              </w:rPr>
              <w:t>t-1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0.009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(0.013)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(Non-property tax revenue)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0.093**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(0.039)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(Fair Market Value of Property)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0.075***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0.054***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0.035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(0.023)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(0.023)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(Median Tax Price)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0.104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(0.106)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(0.087)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(0.099)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(Population)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-0.186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(0.262)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(Median Income)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-0.314**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-0.419***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(0.138)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Median Income Post 2007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0.266***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0.322**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(0.095)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(0.067)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(0.126)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(Share of Population Under 19)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0.307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(0.182)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(0.263)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(Share of Population Over 65)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-0.063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(0.162)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(0.248)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8E2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7B78E2">
              <w:rPr>
                <w:rFonts w:eastAsia="Times New Roman" w:cs="Times New Roman"/>
                <w:sz w:val="20"/>
                <w:szCs w:val="20"/>
              </w:rPr>
              <w:t>(Racial Fractionalization)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0.820**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0.106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(0.375)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(0.330)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(0.395)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Within-R</w:t>
            </w:r>
            <w:r w:rsidRPr="007B78E2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0.119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Between-R</w:t>
            </w:r>
            <w:r w:rsidRPr="007B78E2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0.009</w:t>
            </w:r>
          </w:p>
        </w:tc>
      </w:tr>
      <w:tr w:rsidR="00444F1F" w:rsidRPr="007B78E2" w:rsidTr="00444F1F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Overall-R</w:t>
            </w:r>
            <w:r w:rsidRPr="007B78E2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7B78E2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>0.100</w:t>
            </w:r>
          </w:p>
        </w:tc>
      </w:tr>
      <w:tr w:rsidR="00444F1F" w:rsidRPr="007B78E2" w:rsidTr="00444F1F">
        <w:trPr>
          <w:trHeight w:val="135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F1F" w:rsidRPr="007B78E2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B78E2">
              <w:rPr>
                <w:rFonts w:eastAsia="Times New Roman" w:cs="Times New Roman"/>
                <w:sz w:val="20"/>
                <w:szCs w:val="20"/>
              </w:rPr>
              <w:t xml:space="preserve">Notes:  Sample size is 131 cross sectional groups over 10 years for total sample size of 1,310.  All specifications include area and year fixed effects. </w:t>
            </w:r>
            <w:r>
              <w:rPr>
                <w:rFonts w:eastAsia="Times New Roman" w:cs="Times New Roman"/>
                <w:sz w:val="20"/>
                <w:szCs w:val="20"/>
              </w:rPr>
              <w:t>Robust s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>tandard errors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clustered by county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78E2">
              <w:rPr>
                <w:rFonts w:eastAsia="Times New Roman" w:cs="Times New Roman"/>
                <w:sz w:val="20"/>
                <w:szCs w:val="20"/>
              </w:rPr>
              <w:t xml:space="preserve">are reported in parentheses and statistical significance indicated by *** (p&lt;0.01), ** (p&lt;0.05), and * (p&lt;0.1).  </w:t>
            </w:r>
          </w:p>
        </w:tc>
      </w:tr>
    </w:tbl>
    <w:p w:rsidR="00444F1F" w:rsidRPr="007B78E2" w:rsidRDefault="00B70802" w:rsidP="00444F1F">
      <w:pPr>
        <w:jc w:val="center"/>
        <w:rPr>
          <w:rFonts w:cs="Times New Roman"/>
          <w:b/>
        </w:rPr>
      </w:pPr>
      <w:r>
        <w:rPr>
          <w:b/>
          <w:sz w:val="24"/>
          <w:szCs w:val="24"/>
        </w:rPr>
        <w:lastRenderedPageBreak/>
        <w:t xml:space="preserve">Supplementary </w:t>
      </w:r>
      <w:r w:rsidR="00444F1F" w:rsidRPr="007B78E2">
        <w:rPr>
          <w:rFonts w:cs="Times New Roman"/>
          <w:b/>
        </w:rPr>
        <w:t>Table A</w:t>
      </w:r>
      <w:r>
        <w:rPr>
          <w:rFonts w:cs="Times New Roman"/>
          <w:b/>
        </w:rPr>
        <w:t>3</w:t>
      </w:r>
      <w:r w:rsidR="00444F1F" w:rsidRPr="007B78E2">
        <w:rPr>
          <w:rFonts w:cs="Times New Roman"/>
          <w:b/>
        </w:rPr>
        <w:t xml:space="preserve">: Full Results of Table </w:t>
      </w:r>
      <w:r w:rsidR="00326786">
        <w:rPr>
          <w:rFonts w:cs="Times New Roman"/>
          <w:b/>
        </w:rPr>
        <w:t>2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4660"/>
        <w:gridCol w:w="893"/>
        <w:gridCol w:w="1027"/>
        <w:gridCol w:w="886"/>
        <w:gridCol w:w="1034"/>
        <w:gridCol w:w="902"/>
        <w:gridCol w:w="1018"/>
      </w:tblGrid>
      <w:tr w:rsidR="00444F1F" w:rsidRPr="00893B7B" w:rsidTr="00444F1F">
        <w:trPr>
          <w:trHeight w:val="795"/>
        </w:trPr>
        <w:tc>
          <w:tcPr>
            <w:tcW w:w="4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b/>
                <w:bCs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b/>
                <w:bCs/>
                <w:sz w:val="20"/>
                <w:szCs w:val="20"/>
              </w:rPr>
              <w:t>(Current Expenditures)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b/>
                <w:bCs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b/>
                <w:bCs/>
                <w:sz w:val="20"/>
                <w:szCs w:val="20"/>
              </w:rPr>
              <w:t>(Capital Funds)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b/>
                <w:bCs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b/>
                <w:bCs/>
                <w:sz w:val="20"/>
                <w:szCs w:val="20"/>
              </w:rPr>
              <w:t>(Non-Revenue Receipts)</w:t>
            </w:r>
          </w:p>
        </w:tc>
      </w:tr>
      <w:tr w:rsidR="00444F1F" w:rsidRPr="00893B7B" w:rsidTr="00444F1F">
        <w:trPr>
          <w:trHeight w:val="3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Decrease Tax Visibility Next Year (DTV</w:t>
            </w:r>
            <w:r w:rsidRPr="00893B7B">
              <w:rPr>
                <w:rFonts w:eastAsia="Times New Roman" w:cs="Times New Roman"/>
                <w:sz w:val="20"/>
                <w:szCs w:val="20"/>
                <w:vertAlign w:val="subscript"/>
              </w:rPr>
              <w:t>t+1</w:t>
            </w:r>
            <w:r w:rsidRPr="00893B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1.035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(0.267)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(0.649)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(0.802)</w:t>
            </w:r>
          </w:p>
        </w:tc>
      </w:tr>
      <w:tr w:rsidR="00444F1F" w:rsidRPr="00893B7B" w:rsidTr="00444F1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Decrease Tax Visibility This Year (</w:t>
            </w: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DTV</w:t>
            </w:r>
            <w:r w:rsidRPr="00893B7B">
              <w:rPr>
                <w:rFonts w:eastAsia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0.455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(0.192)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(0.200)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(0.725)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(0.719)</w:t>
            </w:r>
          </w:p>
        </w:tc>
      </w:tr>
      <w:tr w:rsidR="00444F1F" w:rsidRPr="00893B7B" w:rsidTr="00444F1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Decrease Tax Visibility Last Year (DTV</w:t>
            </w:r>
            <w:r w:rsidRPr="00893B7B">
              <w:rPr>
                <w:rFonts w:eastAsia="Times New Roman" w:cs="Times New Roman"/>
                <w:sz w:val="20"/>
                <w:szCs w:val="20"/>
                <w:vertAlign w:val="subscript"/>
              </w:rPr>
              <w:t>t-1</w:t>
            </w:r>
            <w:r w:rsidRPr="00893B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1.444**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1.396**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(0.228)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(0.227)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(0.563)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(0.570)</w:t>
            </w:r>
          </w:p>
        </w:tc>
      </w:tr>
      <w:tr w:rsidR="00444F1F" w:rsidRPr="00893B7B" w:rsidTr="00444F1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Increase Tax Visibility Next Year (ITV</w:t>
            </w:r>
            <w:r w:rsidRPr="00893B7B">
              <w:rPr>
                <w:rFonts w:eastAsia="Times New Roman" w:cs="Times New Roman"/>
                <w:sz w:val="20"/>
                <w:szCs w:val="20"/>
                <w:vertAlign w:val="subscript"/>
              </w:rPr>
              <w:t>t+1</w:t>
            </w:r>
            <w:r w:rsidRPr="00893B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0.420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-2.148*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-2.256**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(0.344)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(0.353)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(1.149)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(1.139)</w:t>
            </w:r>
          </w:p>
        </w:tc>
      </w:tr>
      <w:tr w:rsidR="00444F1F" w:rsidRPr="00893B7B" w:rsidTr="00444F1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Increase Tax Visibility This Year (</w:t>
            </w: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ITV</w:t>
            </w:r>
            <w:r w:rsidRPr="00893B7B">
              <w:rPr>
                <w:rFonts w:eastAsia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-0.164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(0.263)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(0.288)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(0.860)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(0.858)</w:t>
            </w:r>
          </w:p>
        </w:tc>
      </w:tr>
      <w:tr w:rsidR="00444F1F" w:rsidRPr="00893B7B" w:rsidTr="00444F1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Increase Tax Visibility Last Year (ITV</w:t>
            </w:r>
            <w:r w:rsidRPr="00893B7B">
              <w:rPr>
                <w:rFonts w:eastAsia="Times New Roman" w:cs="Times New Roman"/>
                <w:sz w:val="20"/>
                <w:szCs w:val="20"/>
                <w:vertAlign w:val="subscript"/>
              </w:rPr>
              <w:t>t-1</w:t>
            </w:r>
            <w:r w:rsidRPr="00893B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-0.462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0.672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(0.451)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(0.459)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(1.026)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(1.028)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(Non-property tax revenue)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0.147***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2.198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3B7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3B7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(0.039)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(1.346)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3B7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3B7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(Total Revenue)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1.222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(7.546)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(Fair Market Value of Property)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-1.297**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-1.195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(0.580)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(2.228)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(Median Tax Price)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-3.404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-4.647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(3.151)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(10.970)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(Population)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4.405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-6.751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(6.556)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(21.650)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(Median Income)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7.277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5.083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(5.392)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(13.744)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Median Income Post 2007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-4.696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-0.720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(0.069)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(4.895)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(10.514)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(Share of Population Under 19)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-7.063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7.648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(0.146)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(7.956)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(20.779)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(Share of Population Over 65)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-0.125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-6.086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30.067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(5.431)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(18.385)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93B7B">
              <w:rPr>
                <w:rFonts w:eastAsia="Times New Roman" w:cs="Times New Roman"/>
                <w:sz w:val="20"/>
                <w:szCs w:val="20"/>
              </w:rPr>
              <w:t>Δln</w:t>
            </w:r>
            <w:proofErr w:type="spellEnd"/>
            <w:r w:rsidRPr="00893B7B">
              <w:rPr>
                <w:rFonts w:eastAsia="Times New Roman" w:cs="Times New Roman"/>
                <w:sz w:val="20"/>
                <w:szCs w:val="20"/>
              </w:rPr>
              <w:t>(Racial Fractionalization)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1.563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14.562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(0.323)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(12.175)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(36.556)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Within-R</w:t>
            </w:r>
            <w:r w:rsidRPr="00893B7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0.017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Between-R</w:t>
            </w:r>
            <w:r w:rsidRPr="00893B7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</w:tr>
      <w:tr w:rsidR="00444F1F" w:rsidRPr="00893B7B" w:rsidTr="00444F1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Overall-R</w:t>
            </w:r>
            <w:r w:rsidRPr="00893B7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F1F" w:rsidRPr="00893B7B" w:rsidRDefault="00444F1F" w:rsidP="00444F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B7B">
              <w:rPr>
                <w:rFonts w:eastAsia="Times New Roman" w:cs="Times New Roman"/>
                <w:sz w:val="20"/>
                <w:szCs w:val="20"/>
              </w:rPr>
              <w:t>0.012</w:t>
            </w:r>
          </w:p>
        </w:tc>
      </w:tr>
      <w:tr w:rsidR="00444F1F" w:rsidRPr="00893B7B" w:rsidTr="00444F1F">
        <w:trPr>
          <w:trHeight w:val="300"/>
        </w:trPr>
        <w:tc>
          <w:tcPr>
            <w:tcW w:w="1042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444F1F" w:rsidRPr="0099143E" w:rsidRDefault="00444F1F" w:rsidP="00444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143E">
              <w:rPr>
                <w:rFonts w:eastAsia="Times New Roman" w:cs="Times New Roman"/>
                <w:sz w:val="20"/>
                <w:szCs w:val="20"/>
              </w:rPr>
              <w:t xml:space="preserve">Notes:  Sample size is 131 cross sectional groups over 10 years for total sample size of 1,310.  All specifications include area and year fixed effects. </w:t>
            </w:r>
            <w:r>
              <w:rPr>
                <w:rFonts w:eastAsia="Times New Roman" w:cs="Times New Roman"/>
                <w:sz w:val="20"/>
                <w:szCs w:val="20"/>
              </w:rPr>
              <w:t>Robust s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>tandard errors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clustered by county</w:t>
            </w:r>
            <w:r w:rsidRPr="008820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9143E">
              <w:rPr>
                <w:rFonts w:eastAsia="Times New Roman" w:cs="Times New Roman"/>
                <w:sz w:val="20"/>
                <w:szCs w:val="20"/>
              </w:rPr>
              <w:t xml:space="preserve">are reported in parentheses and statistical significance indicated by *** (p&lt;0.01), ** (p&lt;0.05), and * (p&lt;0.1).  </w:t>
            </w:r>
          </w:p>
        </w:tc>
      </w:tr>
    </w:tbl>
    <w:p w:rsidR="00A76105" w:rsidRDefault="00A76105"/>
    <w:sectPr w:rsidR="00A7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1F"/>
    <w:rsid w:val="00326786"/>
    <w:rsid w:val="003717B4"/>
    <w:rsid w:val="00444F1F"/>
    <w:rsid w:val="007A57E9"/>
    <w:rsid w:val="00A76105"/>
    <w:rsid w:val="00B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Ross</dc:creator>
  <cp:lastModifiedBy>Justin Ross</cp:lastModifiedBy>
  <cp:revision>4</cp:revision>
  <dcterms:created xsi:type="dcterms:W3CDTF">2016-09-09T18:26:00Z</dcterms:created>
  <dcterms:modified xsi:type="dcterms:W3CDTF">2016-09-21T19:44:00Z</dcterms:modified>
</cp:coreProperties>
</file>